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dGVyczwvdGl0bGU+PHNlY29uZGFyeS10aXRsZT5JRUVFIEludGVybmF0aW9uYWwgV29ya3Nob3Ag
b24gSW5mb3JtYXRpb24gRm9yZW5zaWNzIGFuZCBTZWN1cml0eSAoV0lGUyAyMDEyKTwvc2Vjb25k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bWFnZSBzdGVnYW5vZ3JhcGh5PC90aXRsZT48c2Vjb25kYXJ5LXRpdGxlPklFRUUgSW50ZXJuYXRp
b25hbCBDb25mZXJlbmNlIG9uIEltYWdlIFByb2Nlc3NpbmcgKElDSVAgMjAxNCk8L3NlY29uZGFy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feed noise-residual statistics, such as Spatial Rich Model (SRM) features, to a classifier like the Fisher linear discriminant ensemble,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aXRsZT5JRUVFIEludGVybmF0aW9uYWwgQ29uZmVyZW5jZSBvbiBBY291c3RpY3MsIFNwZWVjaCBh
bmQgU2lnbmFsIFByb2Nlc3NpbmcgKElDQVNTUCAyMDE4KTwvc2Vjb25kYXJ5LXRpdGxlPjwvdGl0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bmFseXNpczwvdGl0bGU+PHNlY29uZGFyeS10aXRsZT5JRUVFIEludGVybmF0aW9uYWwgQ29uZmVy
ZW5jZSBvbiBBY291c3RpY3MsIFNwZWVjaCBhbmQgU2lnbmFsIFByb2Nlc3NpbmcgKElDQVNTUCAy
MDE4KTwvc2Vjb25kYXJ5LXRpdGxlPjwvdGl0bGVzPjxwYWdlcz4yMDkyLTIwOTY8L3BhZ2VzPjxk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SUVFRSBJbnRlcm5hdGlvbmFsIFdvcmtzaG9wIG9uIEluZm9ybWF0aW9uIEZvcmVuc2ljcyBhbmQg
U2VjdXJpdHkgKFdJRlMgMjAxMik8L3NlY29uZGFyeS10aXRsZT48L3RpdGxlcz48cGFnZXM+MjM0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Y29uZGFyeS10aXRsZT5JRUVFIEludGVybmF0aW9uYWwgQ29uZmVyZW5jZSBvbiBJbWFnZSBQcm9j
ZXNzaW5nIChJQ0lQIDIwMTQpPC9zZWNvbmRhcnktdGl0bGU+PC90aXRsZXM+PHBhZ2VzPjQyMDYt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matrix&lt;/title&gt;&lt;secondary-title&gt;11th ACM Workshop on Multimedia and Security (MM&amp;amp;Sec 2009)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for algorithm shift,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summarizes the pipeline: the left column builds a leakage-controlled dataset, the two middle lanes train the detectors in parallel under protocols P1-P3, and the right side evaluates every trained model on one fixed set of test covers.</w:t>
      </w:r>
      <w:r w:rsidR="002C710A">
        <w:t xml:space="preserve"/>
      </w:r>
      <w:r>
        <w:t xml:space="preserve"/>
      </w:r>
      <w:r w:rsidR="002C710A">
        <w:t xml:space="preserve"/>
      </w:r>
      <w:r>
        <w:t xml:space="preserve"/>
      </w:r>
      <w:r w:rsidR="002C710A">
        <w:t xml:space="preserve"/>
      </w:r>
      <w:r>
        <w:t xml:space="preserve"/>
      </w:r>
      <w:r w:rsidR="002C710A">
        <w:t xml:space="preserve"/>
      </w:r>
      <w:r>
        <w:t xml:space="preserve"/>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downsampled each to 256 × 256 with bicubic interpolation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filters&lt;/title&gt;&lt;secondary-title&gt;IEEE International Workshop on Information Forensics and Security (WIFS 2012)&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w:t>
      </w:r>
      <w:proofErr w:type="spellStart"/>
      <w:r>
        <w:t>bpp</w:t>
      </w:r>
      <w:proofErr w:type="spellEnd"/>
      <w:r>
        <w:t xml:space="preserve">, giving six variants per cover: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gives a normalized 17-bin histogram of its values clipped to [−8, 8] plus the mean absolute value and standard deviation of the unclipped residual (4 × 19 = 76 features). A StandardScaler fitted only on each run's training features standardizes all splits; the classifier uses L2 regularization with C = 1.0, the deterministic lbfgs solver, no class weights and max_iter = 2000, and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package&lt;/secondary-title&gt;&lt;/titles&gt;&lt;dates&gt;&lt;year&gt;2024&lt;/year&gt;&lt;/dates&gt;&lt;publisher&gt;University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 xml:space="preserve">variant sampling (P2, P3)</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42-44 control the variant draws and the random parts of SRM+Ensemble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The evaluation code resamples the 120 test covers B = 1,000 times with seed 2026, so every condition and run uses the same resampled cover IDs; the 2.5th and 97.5th percentiles give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capture only test-cover sampling variation and do not extend to other image sources. A direction is called supported only when its interval excludes zero; an interval containing zero is inconclusive, not evidence of equivalence. The 18 RQ3 intervals are not adjusted for multiplicity. Every run stores its per-image test scores and validation thresholds,</w:t>
      </w:r>
      <w:proofErr w:type="gramStart"/>
      <w:r>
        <w:t xml:space="preserve"/>
      </w:r>
      <w:proofErr w:type="gramEnd"/>
      <w:r>
        <w:t xml:space="preserve"> and the manifest stores the embedding seed and SHA-256 hash of every image, so all tables can be recomputed from the saved files.</w:t>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its three runs are identical (P1 has no variant sampling and the lbfgs fit is deterministic), so that is 5/120 per run, </w:t>
      </w:r>
      <w:proofErr w:type="gramStart"/>
      <w:r>
        <w:t>whose</w:t>
      </w:r>
      <w:proofErr w:type="gramEnd"/>
      <w:r>
        <w:t xml:space="preserve"> exact 95% Clopper</w:t>
      </w:r>
      <w:r w:rsidR="002C710A">
        <w:t>-</w:t>
      </w:r>
      <w:r>
        <w:t xml:space="preserve">Pearson interval, [1.4%, 9.5%], excludes 1%. A likely reason is that </w:t>
      </w:r>
      <w:proofErr w:type="spellStart"/>
      <w:r>
        <w:t>τ</w:t>
      </w:r>
      <w:r>
        <w:rPr>
          <w:vertAlign w:val="subscript"/>
        </w:rPr>
        <w:t>low</w:t>
      </w:r>
      <w:proofErr w:type="spellEnd"/>
      <w:r>
        <w:t xml:space="preserve"> rests on the second-highest of only 120 validation cover scores, an extreme order statistic that varies strongly between samples; an exchangeable test cover exceeds it with probability 2/121 ≈ 1.7%.</w:t>
      </w:r>
      <w:r>
        <w:lastRenderedPageBreak/>
        <w:t xml:space="preserve"/>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 xml:space="preserve">0.069</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so these are repeated measurements, not independent samples; the false positives in Table 7 are also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Electronic Imaging, Media Watermarking, Security, and Forensics 2019, pp. 534-1–534-11. IS&amp;T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33rd ACM International Conference on Multimedia (MM 2025),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11th ACM Workshop on Multimedia and Security (MM&amp;Sec 2009),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ACM Workshop on Information Hiding and Multimedia Security (IH&amp;MMSec 2019),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 https://hal.science/hal-05101274</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University of Innsbruck (2024). </w:t>
      </w:r>
      <w:hyperlink r:id="rId10" w:history="1">
        <w:r w:rsidRPr="00253E27">
          <w:rPr>
            <w:rStyle w:val="Siuktni"/>
          </w:rPr>
          <w:t xml:space="preserve">https://github.com/uibk-uncover/sealwatch</w:t>
        </w:r>
      </w:hyperlink>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0&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9&lt;/FontSize&gt;&lt;ReflistTitle&gt;&lt;/ReflistTitle&gt;&lt;StartingRefnum&gt;1&lt;/StartingRefnum&gt;&lt;FirstLineIndent&gt;0&lt;/FirstLineIndent&gt;&lt;HangingIndent&gt;341&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