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Verwerkingsstroom Afwijsredenen</w:t>
      </w:r>
    </w:p>
    <w:p>
      <w:pPr>
        <w:jc w:val="center"/>
      </w:pPr>
      <w:r>
        <w:t>Dit document visualiseert de volledige verwerkingsstroom van afwijsredenen, van gebruikersinteractie tot weergave in de grid.</w:t>
      </w:r>
    </w:p>
    <w:p/>
    <w:p>
      <w:pPr>
        <w:pStyle w:val="Heading2"/>
      </w:pPr>
      <w:r>
        <w:t>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290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wijsredenen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2904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Legenda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Vorm / kleur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Hex</w:t>
            </w:r>
          </w:p>
        </w:tc>
        <w:tc>
          <w:tcPr>
            <w:tcW w:type="dxa" w:w="3216"/>
          </w:tcPr>
          <w:p>
            <w:r>
              <w:rPr>
                <w:b/>
              </w:rPr>
              <w:t>Betekenis</w:t>
            </w:r>
          </w:p>
        </w:tc>
      </w:tr>
      <w:tr>
        <w:tc>
          <w:tcPr>
            <w:tcW w:type="dxa" w:w="3216"/>
          </w:tcPr>
          <w:p>
            <w:r>
              <w:t>🟢 Groen (ellips)</w:t>
            </w:r>
          </w:p>
        </w:tc>
        <w:tc>
          <w:tcPr>
            <w:tcW w:type="dxa" w:w="3216"/>
          </w:tcPr>
          <w:p>
            <w:r>
              <w:t>#c8e6c9</w:t>
            </w:r>
          </w:p>
        </w:tc>
        <w:tc>
          <w:tcPr>
            <w:tcW w:type="dxa" w:w="3216"/>
          </w:tcPr>
          <w:p>
            <w:r>
              <w:t>Start / succes / gebruiker ziet resultaat</w:t>
            </w:r>
          </w:p>
        </w:tc>
      </w:tr>
      <w:tr>
        <w:tc>
          <w:tcPr>
            <w:tcW w:type="dxa" w:w="3216"/>
          </w:tcPr>
          <w:p>
            <w:r>
              <w:t>🔴 Rood (ellips)</w:t>
            </w:r>
          </w:p>
        </w:tc>
        <w:tc>
          <w:tcPr>
            <w:tcW w:type="dxa" w:w="3216"/>
          </w:tcPr>
          <w:p>
            <w:r>
              <w:t>#ffcdd2</w:t>
            </w:r>
          </w:p>
        </w:tc>
        <w:tc>
          <w:tcPr>
            <w:tcW w:type="dxa" w:w="3216"/>
          </w:tcPr>
          <w:p>
            <w:r>
              <w:t>Einde / fout / lege staat</w:t>
            </w:r>
          </w:p>
        </w:tc>
      </w:tr>
      <w:tr>
        <w:tc>
          <w:tcPr>
            <w:tcW w:type="dxa" w:w="3216"/>
          </w:tcPr>
          <w:p>
            <w:r>
              <w:t>🟡 Geel (diamond)</w:t>
            </w:r>
          </w:p>
        </w:tc>
        <w:tc>
          <w:tcPr>
            <w:tcW w:type="dxa" w:w="3216"/>
          </w:tcPr>
          <w:p>
            <w:r>
              <w:t>#fff9c4</w:t>
            </w:r>
          </w:p>
        </w:tc>
        <w:tc>
          <w:tcPr>
            <w:tcW w:type="dxa" w:w="3216"/>
          </w:tcPr>
          <w:p>
            <w:r>
              <w:t>Beslissingspunten</w:t>
            </w:r>
          </w:p>
        </w:tc>
      </w:tr>
      <w:tr>
        <w:tc>
          <w:tcPr>
            <w:tcW w:type="dxa" w:w="3216"/>
          </w:tcPr>
          <w:p>
            <w:r>
              <w:t>🔵 Blauw (cilinder)</w:t>
            </w:r>
          </w:p>
        </w:tc>
        <w:tc>
          <w:tcPr>
            <w:tcW w:type="dxa" w:w="3216"/>
          </w:tcPr>
          <w:p>
            <w:r>
              <w:t>#bbdefb</w:t>
            </w:r>
          </w:p>
        </w:tc>
        <w:tc>
          <w:tcPr>
            <w:tcW w:type="dxa" w:w="3216"/>
          </w:tcPr>
          <w:p>
            <w:r>
              <w:t>Database-views / SQL-queries / Oracle-operaties</w:t>
            </w:r>
          </w:p>
        </w:tc>
      </w:tr>
      <w:tr>
        <w:tc>
          <w:tcPr>
            <w:tcW w:type="dxa" w:w="3216"/>
          </w:tcPr>
          <w:p>
            <w:r>
              <w:t>⬜ Grijs (rechthoek)</w:t>
            </w:r>
          </w:p>
        </w:tc>
        <w:tc>
          <w:tcPr>
            <w:tcW w:type="dxa" w:w="3216"/>
          </w:tcPr>
          <w:p>
            <w:r>
              <w:t>#f5f5f5</w:t>
            </w:r>
          </w:p>
        </w:tc>
        <w:tc>
          <w:tcPr>
            <w:tcW w:type="dxa" w:w="3216"/>
          </w:tcPr>
          <w:p>
            <w:r>
              <w:t>Verwerking / processtap</w:t>
            </w:r>
          </w:p>
        </w:tc>
      </w:tr>
    </w:tbl>
    <w:p/>
    <w:p>
      <w:pPr>
        <w:pStyle w:val="Heading2"/>
      </w:pPr>
      <w:r>
        <w:t>Beschrijving van de fasen</w:t>
      </w:r>
    </w:p>
    <w:p>
      <w:pPr>
        <w:pStyle w:val="Heading3"/>
      </w:pPr>
      <w:r>
        <w:t>Fase 1 – Gebruikersinteractie</w:t>
      </w:r>
    </w:p>
    <w:p>
      <w:r>
        <w:t>De gebruiker klikt op de Afwijsredenen Tab. Als de tab nog niet bestaat, worden de UI-componenten aangemaakt: AfwijsredenenSubTab, NOWAfwijsredenenGridPanel en NOWAfwijsredenenGrid. De grid krijgt de configuratie setAllRowsVisible=true, SelectionMode.NONE en de kolom Omschrijving.</w:t>
      </w:r>
    </w:p>
    <w:p>
      <w:pPr>
        <w:pStyle w:val="Heading3"/>
      </w:pPr>
      <w:r>
        <w:t>Fase 2 – Data Provider &amp; Trigger</w:t>
      </w:r>
    </w:p>
    <w:p>
      <w:r>
        <w:t>Na initialisatie koppelt de grid een Vaadin data provider via setItemsPageable. Zodra de tab zichtbaar wordt, triggert Vaadin automatisch de methode fetchData.</w:t>
      </w:r>
    </w:p>
    <w:p>
      <w:pPr>
        <w:pStyle w:val="Heading3"/>
      </w:pPr>
      <w:r>
        <w:t>Fase 3 – LHNR-controle</w:t>
      </w:r>
    </w:p>
    <w:p>
      <w:r>
        <w:t>fetchData controleert of er een LHNR beschikbaar is. Zo niet, dan wordt een lege lijst teruggegeven en toont de grid "Geen gegevens beschikbaar".</w:t>
      </w:r>
    </w:p>
    <w:p>
      <w:pPr>
        <w:pStyle w:val="Heading3"/>
      </w:pPr>
      <w:r>
        <w:t>Fase 4 – Service &amp; DAO</w:t>
      </w:r>
    </w:p>
    <w:p>
      <w:r>
        <w:t>NOWService.findAfwijsredenen(config, lhnr) wordt aangeroepen. De service haalt de AfwijsredenenDao op en delegeert de databasequery.</w:t>
      </w:r>
    </w:p>
    <w:p>
      <w:pPr>
        <w:pStyle w:val="Heading3"/>
      </w:pPr>
      <w:r>
        <w:t>Fase 5 – Query bepaling (regelingId)</w:t>
      </w:r>
    </w:p>
    <w:p>
      <w:r>
        <w:t>• regelingId == 1  →  view RAN_NOW1_AFWIJSREDENEN_VW</w:t>
        <w:br/>
        <w:t xml:space="preserve">  Bind-parameter: LHNR</w:t>
        <w:br/>
        <w:br/>
        <w:t>• anders  →  view RAN_NOWX_AFWIJSREDENEN_VW</w:t>
        <w:br/>
        <w:t xml:space="preserve">  Bind-parameters: LHNR + regelingId</w:t>
      </w:r>
    </w:p>
    <w:p>
      <w:pPr>
        <w:pStyle w:val="Heading3"/>
      </w:pPr>
      <w:r>
        <w:t>Fase 6 – Database &amp; Mapping</w:t>
      </w:r>
    </w:p>
    <w:p>
      <w:r>
        <w:t>De native SQL-query draait op de Oracle Database. De resultset wordt als Stream&lt;NOWAfwijsredenEntity&gt; geretourneerd. De service mapt elke entity naar een NOWAfwijsredenBean via CopyProperties en verzamelt alles in een List.</w:t>
      </w:r>
    </w:p>
    <w:p>
      <w:pPr>
        <w:pStyle w:val="Heading3"/>
      </w:pPr>
      <w:r>
        <w:t>Fase 7 – Grid Rendering</w:t>
      </w:r>
    </w:p>
    <w:p>
      <w:r>
        <w:t>De lijst wordt aan de Vaadin-grid teruggegeven. De grid rendert elke bean als een rij en past de hoogte dynamisch aan het aantal resultaten aan. De gebruiker ziet de afwijsredenen.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