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21B6"/>
          <w:sz w:val="30"/>
          <w:szCs w:val="30"/>
        </w:rPr>
        <w:t xml:space="preserve">Erfindungsmeldung KAȲȲA OS</w:t>
      </w:r>
    </w:p>
    <w:p>
      <w:pPr>
        <w:pBdr>
          <w:bottom w:val="single" w:color="C026D3" w:sz="8" w:space="6"/>
        </w:pBdr>
        <w:spacing w:after="200"/>
      </w:pPr>
      <w:r>
        <w:rPr>
          <w:i/>
          <w:iCs/>
          <w:color w:val="6E6785"/>
          <w:sz w:val="17"/>
          <w:szCs w:val="17"/>
        </w:rPr>
        <w:t xml:space="preserve">Vertraulich. Nicht veröffentlichen, nicht in den Ordner docs legen. Grundlage für die Prüfung durch einen Patentanwalt. Stand: Oktober 2026</w:t>
      </w:r>
    </w:p>
    <w:p>
      <w:pPr>
        <w:spacing w:after="140" w:line="264"/>
      </w:pPr>
      <w:r>
        <w:rPr>
          <w:color w:val="241B3A"/>
          <w:sz w:val="21"/>
          <w:szCs w:val="21"/>
        </w:rPr>
        <w:t xml:space="preserve">Eine Geschäftsidee ist nicht schutzfähig, ihre technische Umsetzung unter Umständen schon. Diese Meldung beschreibt den technischen Kern von KAȲȲA OS so, dass ein Patentanwalt Neuheit, erfinderische Tätigkeit und den passenden Schutzweg prüfen kann. Ob ein Patent oder ein Gebrauchsmuster erreichbar ist, ist offen. Bis zur Entscheidung gilt: keine weitere Veröffentlichung der hier beschriebenen Einzelheiten.</w:t>
      </w:r>
    </w:p>
    <w:p>
      <w:pPr>
        <w:spacing w:after="100" w:before="260"/>
      </w:pPr>
      <w:r>
        <w:rPr>
          <w:b/>
          <w:bCs/>
          <w:color w:val="5B21B6"/>
          <w:sz w:val="23"/>
          <w:szCs w:val="23"/>
        </w:rPr>
        <w:t xml:space="preserve">1. Bezeichnung</w:t>
      </w:r>
    </w:p>
    <w:p>
      <w:pPr>
        <w:spacing w:after="140" w:line="264"/>
      </w:pPr>
      <w:r>
        <w:rPr>
          <w:color w:val="241B3A"/>
          <w:sz w:val="21"/>
          <w:szCs w:val="21"/>
        </w:rPr>
        <w:t xml:space="preserve">Verfahren und System zur manipulationssicheren, für den Kostenträger in Echtzeit prüfbaren Nachweisführung öffentlich finanzierter Maßnahmen, mit freigabegebundener Verarbeitung durch KI und herkunftsgesicherter Einbindung externer Live-Daten.</w:t>
      </w:r>
    </w:p>
    <w:p>
      <w:pPr>
        <w:spacing w:after="100" w:before="260"/>
      </w:pPr>
      <w:r>
        <w:rPr>
          <w:b/>
          <w:bCs/>
          <w:color w:val="5B21B6"/>
          <w:sz w:val="23"/>
          <w:szCs w:val="23"/>
        </w:rPr>
        <w:t xml:space="preserve">2. Erfinder und Inhaber</w:t>
      </w:r>
    </w:p>
    <w:p>
      <w:pPr>
        <w:spacing w:after="140" w:line="264"/>
      </w:pPr>
      <w:r>
        <w:rPr>
          <w:color w:val="241B3A"/>
          <w:sz w:val="21"/>
          <w:szCs w:val="21"/>
        </w:rPr>
        <w:t xml:space="preserve">Erfinder: Bernhard Krug [weitere beteiligte Personen ergänzen]. Die Umsetzung entstand unter Nutzung von KI-Werkzeugen. Als Erfinder ist eine natürliche Person zu benennen; die Unterstützung durch KI steht dem nach der Rechtsprechung nicht entgegen (BGH, Beschluss vom 11.06.2024, X ZB 5/22, DABUS). Inhaber: offen, Einzelunternehmen Bernhard Krug oder KAYYA GmbH. Vor einer Anmeldung zu klären, weil davon Lizenz und Verkauf abhängen.</w:t>
      </w:r>
    </w:p>
    <w:p>
      <w:pPr>
        <w:spacing w:after="100" w:before="260"/>
      </w:pPr>
      <w:r>
        <w:rPr>
          <w:b/>
          <w:bCs/>
          <w:color w:val="5B21B6"/>
          <w:sz w:val="23"/>
          <w:szCs w:val="23"/>
        </w:rPr>
        <w:t xml:space="preserve">3. Technisches Problem</w:t>
      </w:r>
    </w:p>
    <w:p>
      <w:pPr>
        <w:spacing w:after="140" w:line="264"/>
      </w:pPr>
      <w:r>
        <w:rPr>
          <w:color w:val="241B3A"/>
          <w:sz w:val="21"/>
          <w:szCs w:val="21"/>
        </w:rPr>
        <w:t xml:space="preserve">Bei öffentlich finanzierten Bildungs- und Eingliederungsmaßnahmen entstehen die Nachweise, die ein Kostenträger verlangt, nachträglich und mehrfach. Anwesenheit, Leistung, Kosten und Ergebnis werden in getrennten Systemen erfasst, für Abrechnung und Prüfung erneut zusammengestellt und über Schnittstellen wie eM@w übertragen. Daraus folgen vier technische Probleme.</w:t>
      </w:r>
    </w:p>
    <w:p>
      <w:pPr>
        <w:spacing w:after="140" w:line="264"/>
      </w:pPr>
      <w:r>
        <w:rPr>
          <w:color w:val="241B3A"/>
          <w:sz w:val="21"/>
          <w:szCs w:val="21"/>
        </w:rPr>
        <w:t xml:space="preserve">Erstens lässt sich die Übereinstimmung zwischen tatsächlicher Leistung und abgerechnetem Nachweis maschinell nicht prüfen. Die Bundesregierung räumt ein, die Ausgaben einer Maßnahme nicht einmal einzelnen Teilnahmen zuordnen zu können (BT-Drucksache 21/5631). Zweitens können KI-Modelle Schreiben, Buchungen und Berichte erzeugen, ohne dass technisch sichergestellt ist, dass nichts davon ohne menschliche Prüfung nach außen wirkt. Drittens widerspricht eine unveränderliche Nachweiskette der Pflicht, personenbezogene Daten zu löschen (Art. 17 DSGVO). Viertens sind externe Live-Daten wie Stellenangebote oder Ausschreibungen flüchtig, so dass eine darauf gestützte Empfehlung später nicht nachvollziehbar ist.</w:t>
      </w:r>
    </w:p>
    <w:p>
      <w:pPr>
        <w:spacing w:after="100" w:before="260"/>
      </w:pPr>
      <w:r>
        <w:rPr>
          <w:b/>
          <w:bCs/>
          <w:color w:val="5B21B6"/>
          <w:sz w:val="23"/>
          <w:szCs w:val="23"/>
        </w:rPr>
        <w:t xml:space="preserve">4. Bekannter Stand der Technik</w:t>
      </w:r>
    </w:p>
    <w:p>
      <w:pPr>
        <w:spacing w:after="140" w:line="264"/>
      </w:pPr>
      <w:r>
        <w:rPr>
          <w:color w:val="241B3A"/>
          <w:sz w:val="21"/>
          <w:szCs w:val="21"/>
        </w:rPr>
        <w:t xml:space="preserve">Vom Patentanwalt zu recherchieren. Bekannt sind uns Programme zur elektronischen Maßnahmeabwicklung mit der Bundesagentur, die Daten erfassen und übertragen, allgemeine Freigabeabläufe in Unternehmenssoftware, hash-verkettete Protokolle und das Krypto-Shredding als allgemeine Technik. Neu sein kann nach unserer Einschätzung nicht ein einzelner Baustein, sondern ihr technisches Zusammenwirken.</w:t>
      </w:r>
    </w:p>
    <w:p>
      <w:pPr>
        <w:spacing w:after="100" w:before="260"/>
      </w:pPr>
      <w:r>
        <w:rPr>
          <w:b/>
          <w:bCs/>
          <w:color w:val="5B21B6"/>
          <w:sz w:val="23"/>
          <w:szCs w:val="23"/>
        </w:rPr>
        <w:t xml:space="preserve">5. Kern der Lösung</w:t>
      </w:r>
    </w:p>
    <w:p>
      <w:pPr>
        <w:spacing w:after="140" w:line="264"/>
      </w:pPr>
      <w:r>
        <w:rPr>
          <w:b/>
          <w:bCs/>
          <w:color w:val="241B3A"/>
          <w:sz w:val="21"/>
          <w:szCs w:val="21"/>
        </w:rPr>
        <w:t xml:space="preserve">5.1 Einmalige Erfassung als Ereigniskette. </w:t>
      </w:r>
      <w:r>
        <w:rPr>
          <w:color w:val="241B3A"/>
          <w:sz w:val="21"/>
          <w:szCs w:val="21"/>
        </w:rPr>
        <w:t xml:space="preserve">Jedes operative Ereignis, etwa der Check-in eines Teilnehmers, eine gehaltene Einheit, eine Eingangsrechnung oder ein Prüfungsergebnis, wird genau einmal im Moment seines Entstehens erfasst und an eine hash-verkettete, nur anfügbare Kette angehängt. Jedes Ereignis trägt zwingend die Kennung der Maßnahme; Ereignisse ohne gültige Kennung werden bei der Erfassung abgewiesen. Alle Nachweise, also Anwesenheitslisten für eM@w, Rechnungen, Berichte, Zeugnisse und die Ansicht des Kostenträgers, werden nicht zusammengestellt, sondern deterministisch aus der Kette berechnet. Derselbe Stand der Kette ergibt immer denselben Nachweis.</w:t>
      </w:r>
    </w:p>
    <w:p>
      <w:pPr>
        <w:spacing w:after="140" w:line="264"/>
      </w:pPr>
      <w:r>
        <w:rPr>
          <w:b/>
          <w:bCs/>
          <w:color w:val="241B3A"/>
          <w:sz w:val="21"/>
          <w:szCs w:val="21"/>
        </w:rPr>
        <w:t xml:space="preserve">5.2 Freigabegebundene KI. </w:t>
      </w:r>
      <w:r>
        <w:rPr>
          <w:color w:val="241B3A"/>
          <w:sz w:val="21"/>
          <w:szCs w:val="21"/>
        </w:rPr>
        <w:t xml:space="preserve">Ausgaben eines KI-Modells entstehen ausschließlich als Entwurfsobjekte mit eigenem Hashwert. Wirksam wird ein Entwurf erst durch ein Freigabeereignis, das den Hashwert des Entwurfs, die Identität der freigebenden Person, die Prüfdauer und den Zeitpunkt kryptografisch verbindet und in die Kette aufnimmt. Jede ausgehende Schnittstelle, also eM@w, Buchhaltungsexport, Zahlungsverkehr und Versand an den Kostenträger, prüft technisch, ob für das Objekt eine gültige Freigabe in der Kette existiert, und verweigert sonst die Übertragung. Wird eine Freigabe unterhalb einer Mindestprüfdauer erteilt, entsteht eine protokollierte Prüfanforderung an eine zweite Person.</w:t>
      </w:r>
    </w:p>
    <w:p>
      <w:pPr>
        <w:spacing w:after="140" w:line="264"/>
      </w:pPr>
      <w:r>
        <w:rPr>
          <w:b/>
          <w:bCs/>
          <w:color w:val="241B3A"/>
          <w:sz w:val="21"/>
          <w:szCs w:val="21"/>
        </w:rPr>
        <w:t xml:space="preserve">5.3 Herkunftsgesicherte Live-Daten. </w:t>
      </w:r>
      <w:r>
        <w:rPr>
          <w:color w:val="241B3A"/>
          <w:sz w:val="21"/>
          <w:szCs w:val="21"/>
        </w:rPr>
        <w:t xml:space="preserve">Externe Daten, etwa Stellenangebote der Bundesagentur, Ausschreibungen aus TED oder Förderaufrufe, werden serverseitig abgerufen und je Datensatz mit Quelle, Abrufzeitpunkt und Hashwert des Rohdatensatzes gespeichert. Eine Empfehlung, etwa der Abgleich zwischen Teilnehmerprofil und Stellenangebot, verweist auf genau diese Momentaufnahme und bleibt dadurch überprüfbar, auch wenn die Quelle sich später ändert. Ist eine Quelle nicht erreichbar, wird kein Ersatzwert als live dargestellt.</w:t>
      </w:r>
    </w:p>
    <w:p>
      <w:pPr>
        <w:spacing w:after="140" w:line="264"/>
      </w:pPr>
      <w:r>
        <w:rPr>
          <w:b/>
          <w:bCs/>
          <w:color w:val="241B3A"/>
          <w:sz w:val="21"/>
          <w:szCs w:val="21"/>
        </w:rPr>
        <w:t xml:space="preserve">5.4 Löschbare Unveränderlichkeit. </w:t>
      </w:r>
      <w:r>
        <w:rPr>
          <w:color w:val="241B3A"/>
          <w:sz w:val="21"/>
          <w:szCs w:val="21"/>
        </w:rPr>
        <w:t xml:space="preserve">Personenbezogene Inhalte werden je betroffener Person mit einem eigenen Schlüssel verschlüsselt; in der Kette stehen nur Chiffrat und Hashwerte. Zur Löschung wird allein der Schlüssel vernichtet. Die Kette bleibt vollständig und prüfbar, der Personenbezug ist nicht mehr herstellbar. Prüfcodes von Zeugnissen bleiben verifizierbar, weil sie auf Hashwerten beruhen.</w:t>
      </w:r>
    </w:p>
    <w:p>
      <w:pPr>
        <w:spacing w:after="140" w:line="264"/>
      </w:pPr>
      <w:r>
        <w:rPr>
          <w:b/>
          <w:bCs/>
          <w:color w:val="241B3A"/>
          <w:sz w:val="21"/>
          <w:szCs w:val="21"/>
        </w:rPr>
        <w:t xml:space="preserve">5.5 Prüfschnittstelle für den Kostenträger. </w:t>
      </w:r>
      <w:r>
        <w:rPr>
          <w:color w:val="241B3A"/>
          <w:sz w:val="21"/>
          <w:szCs w:val="21"/>
        </w:rPr>
        <w:t xml:space="preserve">Der Kostenträger erhält lesenden Zugriff auf die berechneten Nachweise bis zum einzelnen Beleg und kann jede Angabe gegen die Kette prüfen, ohne Zugang zu personenbezogenen Rohdaten, die ihm nicht zustehen. Jeder Prüfzugriff wird selbst als Ereignis erfasst.</w:t>
      </w:r>
    </w:p>
    <w:p>
      <w:pPr>
        <w:spacing w:after="100" w:before="260"/>
      </w:pPr>
      <w:r>
        <w:rPr>
          <w:b/>
          <w:bCs/>
          <w:color w:val="5B21B6"/>
          <w:sz w:val="23"/>
          <w:szCs w:val="23"/>
        </w:rPr>
        <w:t xml:space="preserve">6. Technische Wirkung</w:t>
      </w:r>
    </w:p>
    <w:p>
      <w:pPr>
        <w:spacing w:after="140" w:line="264"/>
      </w:pPr>
      <w:r>
        <w:rPr>
          <w:color w:val="241B3A"/>
          <w:sz w:val="21"/>
          <w:szCs w:val="21"/>
        </w:rPr>
        <w:t xml:space="preserve">Nachweis und Leistung können nicht auseinanderfallen, weil es nur eine Quelle gibt. Die menschliche Kontrolle über KI-Ausgaben ist nicht organisatorisch geregelt, sondern an jeder Schnittstelle technisch erzwungen. Unveränderlichkeit und Löschpflicht sind vereinbar. Entscheidungen auf Grundlage externer Daten bleiben reproduzierbar. Der Aufwand für die Erstellung von Nachweisen entfällt weitgehend, weil sie berechnet und nicht erstellt werden.</w:t>
      </w:r>
    </w:p>
    <w:p>
      <w:pPr>
        <w:spacing w:after="100" w:before="260"/>
      </w:pPr>
      <w:r>
        <w:rPr>
          <w:b/>
          <w:bCs/>
          <w:color w:val="5B21B6"/>
          <w:sz w:val="23"/>
          <w:szCs w:val="23"/>
        </w:rPr>
        <w:t xml:space="preserve">7. Ausführungsbeispiel</w:t>
      </w:r>
    </w:p>
    <w:p>
      <w:pPr>
        <w:spacing w:after="140" w:line="264"/>
      </w:pPr>
      <w:r>
        <w:rPr>
          <w:color w:val="241B3A"/>
          <w:sz w:val="21"/>
          <w:szCs w:val="21"/>
        </w:rPr>
        <w:t xml:space="preserve">Der Prototyp KAȲȲA OS mit Datenbank zeigt bereits wesentliche Bausteine: ein Ereignisprotokoll in der Datenbank, Check-in per QR-Code, die Maßnahmen-Kennung als Pflichtfeld bei Eingangsrechnungen mit Dublettenprüfung, die Kennzeichnung jeder KI-Ausgabe als Entwurf mit Freigabe, die Erkennung zu schneller Freigaben, den serverseitigen Abruf der BA-Jobsuche und von TED mit Quelle und Abrufzeit sowie Prüfcode und Prüflink für Zeugnisse. Als Planung beschrieben und noch umzusetzen sind die kryptografische Bindung der Freigabe an den Entwurfshash, die Sperre an den ausgehenden Schnittstellen und das Vernichten von Schlüsseln je Person. [Bernhard: bitte mit dem tatsächlichen Stand abgleichen.]</w:t>
      </w:r>
    </w:p>
    <w:p>
      <w:pPr>
        <w:spacing w:after="100" w:before="260"/>
      </w:pPr>
      <w:r>
        <w:rPr>
          <w:b/>
          <w:bCs/>
          <w:color w:val="5B21B6"/>
          <w:sz w:val="23"/>
          <w:szCs w:val="23"/>
        </w:rPr>
        <w:t xml:space="preserve">8. Entwurf möglicher Ansprüche</w:t>
      </w:r>
    </w:p>
    <w:p>
      <w:pPr>
        <w:spacing w:after="140" w:line="264"/>
      </w:pPr>
      <w:r>
        <w:rPr>
          <w:i/>
          <w:iCs/>
          <w:color w:val="6E6785"/>
          <w:sz w:val="19"/>
          <w:szCs w:val="19"/>
        </w:rPr>
        <w:t xml:space="preserve">Nur Arbeitsgrundlage; die Formulierung übernimmt der Patentanwalt.</w:t>
      </w:r>
    </w:p>
    <w:p>
      <w:pPr>
        <w:spacing w:after="140" w:line="264"/>
      </w:pPr>
      <w:r>
        <w:rPr>
          <w:color w:val="241B3A"/>
          <w:sz w:val="21"/>
          <w:szCs w:val="21"/>
        </w:rPr>
        <w:t xml:space="preserve">1. Computerimplementiertes Verfahren zur Nachweisführung für eine von einem Kostenträger finanzierte Maßnahme, bei dem (a) operative Ereignisse der Maßnahme jeweils einmalig erfasst, mit einer Kennung der Maßnahme versehen und an eine hash-verkettete, nur anfügbare Ereigniskette angehängt werden, wobei Ereignisse ohne gültige Kennung abgewiesen werden; (b) ein KI-Modell aus Inhalten der Ereigniskette Entwurfsobjekte erzeugt, deren Hashwert gespeichert wird; (c) ein Entwurfsobjekt erst durch ein Freigabeereignis wirksam wird, das den Hashwert des Entwurfsobjekts mit der Identität einer freigebenden Person und einem Zeitpunkt kryptografisch verknüpft und an die Ereigniskette angehängt wird; und (d) eine ausgehende Schnittstelle die Übertragung eines Objekts an ein externes System nur zulässt, wenn für dieses Objekt ein gültiges Freigabeereignis in der Ereigniskette nachgewiesen ist.</w:t>
      </w:r>
    </w:p>
    <w:p>
      <w:pPr>
        <w:spacing w:after="140" w:line="264"/>
      </w:pPr>
      <w:r>
        <w:rPr>
          <w:color w:val="241B3A"/>
          <w:sz w:val="21"/>
          <w:szCs w:val="21"/>
        </w:rPr>
        <w:t xml:space="preserve">2. Verfahren nach Anspruch 1, bei dem Nachweisdokumente für den Kostenträger deterministisch aus der Ereigniskette berechnet werden.</w:t>
      </w:r>
    </w:p>
    <w:p>
      <w:pPr>
        <w:spacing w:after="140" w:line="264"/>
      </w:pPr>
      <w:r>
        <w:rPr>
          <w:color w:val="241B3A"/>
          <w:sz w:val="21"/>
          <w:szCs w:val="21"/>
        </w:rPr>
        <w:t xml:space="preserve">3. Verfahren nach Anspruch 1 oder 2, bei dem personenbezogene Inhalte je betroffener Person mit einem eigenen Schlüssel verschlüsselt werden und eine Löschung durch Vernichtung dieses Schlüssels erfolgt, während Hashwerte und Prüfcodes verifizierbar bleiben.</w:t>
      </w:r>
    </w:p>
    <w:p>
      <w:pPr>
        <w:spacing w:after="140" w:line="264"/>
      </w:pPr>
      <w:r>
        <w:rPr>
          <w:color w:val="241B3A"/>
          <w:sz w:val="21"/>
          <w:szCs w:val="21"/>
        </w:rPr>
        <w:t xml:space="preserve">4. Verfahren nach einem der vorhergehenden Ansprüche, bei dem externe Live-Daten mit Quelle, Abrufzeitpunkt und Hashwert gespeichert werden und eine darauf beruhende Empfehlung auf diese Momentaufnahme verweist.</w:t>
      </w:r>
    </w:p>
    <w:p>
      <w:pPr>
        <w:spacing w:after="140" w:line="264"/>
      </w:pPr>
      <w:r>
        <w:rPr>
          <w:color w:val="241B3A"/>
          <w:sz w:val="21"/>
          <w:szCs w:val="21"/>
        </w:rPr>
        <w:t xml:space="preserve">5. Verfahren nach einem der vorhergehenden Ansprüche, bei dem ein Freigabeereignis, dessen Prüfdauer eine Mindestdauer unterschreitet, eine Prüfanforderung an eine weitere Person erzeugt.</w:t>
      </w:r>
    </w:p>
    <w:p>
      <w:pPr>
        <w:spacing w:after="140" w:line="264"/>
      </w:pPr>
      <w:r>
        <w:rPr>
          <w:color w:val="241B3A"/>
          <w:sz w:val="21"/>
          <w:szCs w:val="21"/>
        </w:rPr>
        <w:t xml:space="preserve">6. Verfahren nach einem der vorhergehenden Ansprüche, bei dem der Kostenträger über eine Prüfschnittstelle lesend auf berechnete Nachweise zugreift und jeder Zugriff als Ereignis angehängt wird.</w:t>
      </w:r>
    </w:p>
    <w:p>
      <w:pPr>
        <w:spacing w:after="140" w:line="264"/>
      </w:pPr>
      <w:r>
        <w:rPr>
          <w:color w:val="241B3A"/>
          <w:sz w:val="21"/>
          <w:szCs w:val="21"/>
        </w:rPr>
        <w:t xml:space="preserve">7. Verfahren nach einem der vorhergehenden Ansprüche, bei dem Inhalte anhand ihrer Datenklasse einem lokal betriebenen oder einem externen KI-Modell zugeordnet werden und besondere Kategorien personenbezogener Daten das System nicht verlassen.</w:t>
      </w:r>
    </w:p>
    <w:p>
      <w:pPr>
        <w:spacing w:after="140" w:line="264"/>
      </w:pPr>
      <w:r>
        <w:rPr>
          <w:color w:val="241B3A"/>
          <w:sz w:val="21"/>
          <w:szCs w:val="21"/>
        </w:rPr>
        <w:t xml:space="preserve">8. System mit Mitteln zur Ausführung des Verfahrens nach einem der Ansprüche 1 bis 7.</w:t>
      </w:r>
    </w:p>
    <w:p>
      <w:pPr>
        <w:spacing w:after="100" w:before="260"/>
      </w:pPr>
      <w:r>
        <w:rPr>
          <w:b/>
          <w:bCs/>
          <w:color w:val="5B21B6"/>
          <w:sz w:val="23"/>
          <w:szCs w:val="23"/>
        </w:rPr>
        <w:t xml:space="preserve">9. Was jetzt zu beachten ist</w:t>
      </w:r>
    </w:p>
    <w:p>
      <w:pPr>
        <w:spacing w:after="140" w:line="264"/>
      </w:pPr>
      <w:r>
        <w:rPr>
          <w:b/>
          <w:bCs/>
          <w:color w:val="241B3A"/>
          <w:sz w:val="21"/>
          <w:szCs w:val="21"/>
        </w:rPr>
        <w:t xml:space="preserve">Neuheit. </w:t>
      </w:r>
      <w:r>
        <w:rPr>
          <w:color w:val="241B3A"/>
          <w:sz w:val="21"/>
          <w:szCs w:val="21"/>
        </w:rPr>
        <w:t xml:space="preserve">Patentfähig ist nur, was vor der Anmeldung nicht öffentlich zugänglich war, auch nicht durch euch selbst. Der Förderfahrplan beschreibt Krypto-Shredding und das Routing nach Datenklassen bereits, das Lastenheft Schnittstellen und Freigaben, und beide liegen im Ordner docs auf dem Webspace. Deshalb diese Dateien sofort vom Webspace nehmen, die Serverprotokolle sichern (seit wann online, wurde abgerufen) und beides dem Patentanwalt vorlegen.</w:t>
      </w:r>
    </w:p>
    <w:p>
      <w:pPr>
        <w:spacing w:after="140" w:line="264"/>
      </w:pPr>
      <w:r>
        <w:rPr>
          <w:b/>
          <w:bCs/>
          <w:color w:val="241B3A"/>
          <w:sz w:val="21"/>
          <w:szCs w:val="21"/>
        </w:rPr>
        <w:t xml:space="preserve">Gebrauchsmuster. </w:t>
      </w:r>
      <w:r>
        <w:rPr>
          <w:color w:val="241B3A"/>
          <w:sz w:val="21"/>
          <w:szCs w:val="21"/>
        </w:rPr>
        <w:t xml:space="preserve">Beim Gebrauchsmuster bleiben eigene Veröffentlichungen der letzten sechs Monate vor der Anmeldung außer Betracht. Verfahren und Programme als solche sind ausgeschlossen, ein System mit technischem Charakter möglicherweise nicht. Waren die Unterlagen seit etwa Ende August 2026 abrufbar, endet diese Frist etwa Ende Februar 2027. Vom Patentanwalt prüfen lassen.</w:t>
      </w:r>
    </w:p>
    <w:p>
      <w:pPr>
        <w:spacing w:after="140" w:line="264"/>
      </w:pPr>
      <w:r>
        <w:rPr>
          <w:b/>
          <w:bCs/>
          <w:color w:val="241B3A"/>
          <w:sz w:val="21"/>
          <w:szCs w:val="21"/>
        </w:rPr>
        <w:t xml:space="preserve">Prioritätsnachweis. </w:t>
      </w:r>
      <w:r>
        <w:rPr>
          <w:color w:val="241B3A"/>
          <w:sz w:val="21"/>
          <w:szCs w:val="21"/>
        </w:rPr>
        <w:t xml:space="preserve">Das Skript KAYYA-Prioritaet.ps1 versiegelt den heutigen Stand aller Projektdateien mit unabhängigen Zeitstempeln. Das ersetzt keine Anmeldung, belegt aber, wer was wann hatte.</w:t>
      </w:r>
    </w:p>
    <w:p>
      <w:pPr>
        <w:spacing w:after="140" w:line="264"/>
      </w:pPr>
      <w:r>
        <w:rPr>
          <w:b/>
          <w:bCs/>
          <w:color w:val="241B3A"/>
          <w:sz w:val="21"/>
          <w:szCs w:val="21"/>
        </w:rPr>
        <w:t xml:space="preserve">Geheimhaltung. </w:t>
      </w:r>
      <w:r>
        <w:rPr>
          <w:color w:val="241B3A"/>
          <w:sz w:val="21"/>
          <w:szCs w:val="21"/>
        </w:rPr>
        <w:t xml:space="preserve">Diese Meldung nur unter Vertraulichkeit weitergeben. Ein Patentanwalt ist berufsrechtlich zur Verschwiegenheit verpflichtet.</w:t>
      </w:r>
    </w:p>
    <w:p>
      <w:pPr>
        <w:pBdr>
          <w:top w:val="single" w:color="E7E0F9" w:sz="6" w:space="6"/>
        </w:pBdr>
        <w:spacing w:before="280"/>
      </w:pPr>
      <w:r>
        <w:rPr>
          <w:color w:val="6E6785"/>
          <w:sz w:val="16"/>
          <w:szCs w:val="16"/>
        </w:rPr>
        <w:t xml:space="preserve">Bernhard Krug</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1B3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Erfindungsmeldung KAȲȲA OS</dc:title>
  <dc:creator>Bernhard Krug</dc:creator>
  <cp:lastModifiedBy>Un-named</cp:lastModifiedBy>
  <cp:revision>1</cp:revision>
  <dcterms:created xsi:type="dcterms:W3CDTF">2026-10-21T18:17:20.099Z</dcterms:created>
  <dcterms:modified xsi:type="dcterms:W3CDTF">2026-10-21T18:17:20.112Z</dcterms:modified>
</cp:coreProperties>
</file>

<file path=docProps/custom.xml><?xml version="1.0" encoding="utf-8"?>
<Properties xmlns="http://schemas.openxmlformats.org/officeDocument/2006/custom-properties" xmlns:vt="http://schemas.openxmlformats.org/officeDocument/2006/docPropsVTypes"/>
</file>