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Markenanmeldung KAȲȲA</w:t>
      </w:r>
    </w:p>
    <w:p>
      <w:pPr>
        <w:pBdr>
          <w:bottom w:val="single" w:color="C026D3" w:sz="8" w:space="6"/>
        </w:pBdr>
        <w:spacing w:after="200"/>
      </w:pPr>
      <w:r>
        <w:rPr>
          <w:i/>
          <w:iCs/>
          <w:color w:val="6E6785"/>
          <w:sz w:val="17"/>
          <w:szCs w:val="17"/>
        </w:rPr>
        <w:t xml:space="preserve">Checkliste für die Anmeldung beim DPMA. Grundlage für RA Bernhard M. Krug. Stand: Oktober 2026</w:t>
      </w:r>
    </w:p>
    <w:p>
      <w:pPr>
        <w:spacing w:after="140" w:line="264"/>
      </w:pPr>
      <w:r>
        <w:rPr>
          <w:color w:val="241B3A"/>
          <w:sz w:val="21"/>
          <w:szCs w:val="21"/>
        </w:rPr>
        <w:t xml:space="preserve">Die Marke schützt nicht vor einem Nachbau der Idee, aber davor, dass jemand ihn unter dem Namen KAȲȲA anbietet. Bei Marken gilt der Zeitrang der Anmeldung, deshalb sollte sie erfolgen, bevor der Name breiter bekannt wird.</w:t>
      </w:r>
    </w:p>
    <w:p>
      <w:pPr>
        <w:spacing w:after="100" w:before="240"/>
      </w:pPr>
      <w:r>
        <w:rPr>
          <w:b/>
          <w:bCs/>
          <w:color w:val="5B21B6"/>
          <w:sz w:val="23"/>
          <w:szCs w:val="23"/>
        </w:rPr>
        <w:t xml:space="preserve">1. Was angemeldet wird</w:t>
      </w:r>
    </w:p>
    <w:p>
      <w:pPr>
        <w:spacing w:after="140" w:line="264"/>
      </w:pPr>
      <w:r>
        <w:rPr>
          <w:b/>
          <w:bCs/>
          <w:color w:val="241B3A"/>
          <w:sz w:val="21"/>
          <w:szCs w:val="21"/>
        </w:rPr>
        <w:t xml:space="preserve">Wortmarke „KAYYA“. </w:t>
      </w:r>
      <w:r>
        <w:rPr>
          <w:color w:val="241B3A"/>
          <w:sz w:val="21"/>
          <w:szCs w:val="21"/>
        </w:rPr>
        <w:t xml:space="preserve">Sie schützt den Namen unabhängig von Schreibweise und Gestaltung, auch gesprochen. Das Zeichen Ȳ (Y mit Querstrich) ist ein Sonderzeichen; ob das DPMA „KAȲȲA“ als Wortmarke in Standardzeichen annimmt, sollte vorab geklärt werden. Die Wortmarke KAYYA deckt den Namen in jedem Fall ab.</w:t>
      </w:r>
    </w:p>
    <w:p>
      <w:pPr>
        <w:spacing w:after="140" w:line="264"/>
      </w:pPr>
      <w:r>
        <w:rPr>
          <w:b/>
          <w:bCs/>
          <w:color w:val="241B3A"/>
          <w:sz w:val="21"/>
          <w:szCs w:val="21"/>
        </w:rPr>
        <w:t xml:space="preserve">Wort-Bild-Marke für das Logo. </w:t>
      </w:r>
      <w:r>
        <w:rPr>
          <w:color w:val="241B3A"/>
          <w:sz w:val="21"/>
          <w:szCs w:val="21"/>
        </w:rPr>
        <w:t xml:space="preserve">Für die gestaltete Schreibweise mit Ȳ, sobald das Logo endgültig steht. Das kann später folgen.</w:t>
      </w:r>
    </w:p>
    <w:p>
      <w:pPr>
        <w:spacing w:after="140" w:line="264"/>
      </w:pPr>
      <w:r>
        <w:rPr>
          <w:b/>
          <w:bCs/>
          <w:color w:val="241B3A"/>
          <w:sz w:val="21"/>
          <w:szCs w:val="21"/>
        </w:rPr>
        <w:t xml:space="preserve">„KAȲȲA OS“. </w:t>
      </w:r>
      <w:r>
        <w:rPr>
          <w:color w:val="241B3A"/>
          <w:sz w:val="21"/>
          <w:szCs w:val="21"/>
        </w:rPr>
        <w:t xml:space="preserve">Wird vom Schutz der Wortmarke KAYYA weitgehend erfasst; eine eigene Anmeldung ist in der Regel nicht nötig.</w:t>
      </w:r>
    </w:p>
    <w:p>
      <w:pPr>
        <w:spacing w:after="100" w:before="240"/>
      </w:pPr>
      <w:r>
        <w:rPr>
          <w:b/>
          <w:bCs/>
          <w:color w:val="5B21B6"/>
          <w:sz w:val="23"/>
          <w:szCs w:val="23"/>
        </w:rPr>
        <w:t xml:space="preserve">2. Wer anmeldet</w:t>
      </w:r>
    </w:p>
    <w:p>
      <w:pPr>
        <w:spacing w:after="140" w:line="264"/>
      </w:pPr>
      <w:r>
        <w:rPr>
          <w:color w:val="241B3A"/>
          <w:sz w:val="21"/>
          <w:szCs w:val="21"/>
        </w:rPr>
        <w:t xml:space="preserve">Inhaber der Marke wird, wer sie anmeldet. Zur Wahl stehen Bernhard Krug als Einzelunternehmer, wie im Impressum, oder die KAYYA GmbH (HRB 354345). Das ist mehr als eine Formalie: Wenn KAȲȲA OS später an andere Träger lizenziert oder verkauft werden soll, sollte die Marke bei derselben Rechtsperson liegen wie die Software. Entscheidung offen.</w:t>
      </w:r>
    </w:p>
    <w:p>
      <w:pPr>
        <w:spacing w:after="100" w:before="240"/>
      </w:pPr>
      <w:r>
        <w:rPr>
          <w:b/>
          <w:bCs/>
          <w:color w:val="5B21B6"/>
          <w:sz w:val="23"/>
          <w:szCs w:val="23"/>
        </w:rPr>
        <w:t xml:space="preserve">3. Klassen</w:t>
      </w:r>
    </w:p>
    <w:p>
      <w:pPr>
        <w:spacing w:after="140" w:line="264"/>
      </w:pPr>
      <w:r>
        <w:rPr>
          <w:color w:val="241B3A"/>
          <w:sz w:val="21"/>
          <w:szCs w:val="21"/>
        </w:rPr>
        <w:t xml:space="preserve">Vorschlag, vier Klassen nach der Nizza-Klassifikation: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840"/>
      </w:tblGrid>
      <w:tr>
        <w:tc>
          <w:tcPr>
            <w:tcW w:type="dxa" w:w="1100"/>
            <w:shd w:fill="F3EEFE" w:color="auto" w:val="clear"/>
            <w:tcMar>
              <w:top w:type="dxa" w:w="80"/>
              <w:left w:type="dxa" w:w="110"/>
              <w:bottom w:type="dxa" w:w="80"/>
              <w:right w:type="dxa" w:w="110"/>
            </w:tcMar>
          </w:tcPr>
          <w:p>
            <w:r>
              <w:rPr>
                <w:b/>
                <w:bCs/>
                <w:color w:val="241B3A"/>
                <w:sz w:val="19"/>
                <w:szCs w:val="19"/>
              </w:rPr>
              <w:t xml:space="preserve">Klasse</w:t>
            </w:r>
          </w:p>
        </w:tc>
        <w:tc>
          <w:tcPr>
            <w:tcW w:type="dxa" w:w="3900"/>
            <w:shd w:fill="F3EEFE" w:color="auto" w:val="clear"/>
            <w:tcMar>
              <w:top w:type="dxa" w:w="80"/>
              <w:left w:type="dxa" w:w="110"/>
              <w:bottom w:type="dxa" w:w="80"/>
              <w:right w:type="dxa" w:w="110"/>
            </w:tcMar>
          </w:tcPr>
          <w:p>
            <w:r>
              <w:rPr>
                <w:b/>
                <w:bCs/>
                <w:color w:val="241B3A"/>
                <w:sz w:val="19"/>
                <w:szCs w:val="19"/>
              </w:rPr>
              <w:t xml:space="preserve">Inhalt (Kurzform)</w:t>
            </w:r>
          </w:p>
        </w:tc>
        <w:tc>
          <w:tcPr>
            <w:tcW w:type="dxa" w:w="4840"/>
            <w:shd w:fill="F3EEFE" w:color="auto" w:val="clear"/>
            <w:tcMar>
              <w:top w:type="dxa" w:w="80"/>
              <w:left w:type="dxa" w:w="110"/>
              <w:bottom w:type="dxa" w:w="80"/>
              <w:right w:type="dxa" w:w="110"/>
            </w:tcMar>
          </w:tcPr>
          <w:p>
            <w:r>
              <w:rPr>
                <w:b/>
                <w:bCs/>
                <w:color w:val="241B3A"/>
                <w:sz w:val="19"/>
                <w:szCs w:val="19"/>
              </w:rPr>
              <w:t xml:space="preserve">Warum für KAȲȲA</w:t>
            </w:r>
          </w:p>
        </w:tc>
      </w:tr>
      <w:tr>
        <w:tc>
          <w:tcPr>
            <w:tcW w:type="dxa" w:w="1100"/>
            <w:tcMar>
              <w:top w:type="dxa" w:w="80"/>
              <w:left w:type="dxa" w:w="110"/>
              <w:bottom w:type="dxa" w:w="80"/>
              <w:right w:type="dxa" w:w="110"/>
            </w:tcMar>
          </w:tcPr>
          <w:p>
            <w:r>
              <w:rPr>
                <w:b w:val="false"/>
                <w:bCs w:val="false"/>
                <w:color w:val="241B3A"/>
                <w:sz w:val="19"/>
                <w:szCs w:val="19"/>
              </w:rPr>
              <w:t xml:space="preserve">9</w:t>
            </w:r>
          </w:p>
        </w:tc>
        <w:tc>
          <w:tcPr>
            <w:tcW w:type="dxa" w:w="3900"/>
            <w:tcMar>
              <w:top w:type="dxa" w:w="80"/>
              <w:left w:type="dxa" w:w="110"/>
              <w:bottom w:type="dxa" w:w="80"/>
              <w:right w:type="dxa" w:w="110"/>
            </w:tcMar>
          </w:tcPr>
          <w:p>
            <w:r>
              <w:rPr>
                <w:b w:val="false"/>
                <w:bCs w:val="false"/>
                <w:color w:val="241B3A"/>
                <w:sz w:val="19"/>
                <w:szCs w:val="19"/>
              </w:rPr>
              <w:t xml:space="preserve">Software, herunterladbare Apps</w:t>
            </w:r>
          </w:p>
        </w:tc>
        <w:tc>
          <w:tcPr>
            <w:tcW w:type="dxa" w:w="4840"/>
            <w:tcMar>
              <w:top w:type="dxa" w:w="80"/>
              <w:left w:type="dxa" w:w="110"/>
              <w:bottom w:type="dxa" w:w="80"/>
              <w:right w:type="dxa" w:w="110"/>
            </w:tcMar>
          </w:tcPr>
          <w:p>
            <w:r>
              <w:rPr>
                <w:b w:val="false"/>
                <w:bCs w:val="false"/>
                <w:color w:val="241B3A"/>
                <w:sz w:val="19"/>
                <w:szCs w:val="19"/>
              </w:rPr>
              <w:t xml:space="preserve">Teilnehmer-App und KAȲȲA OS als Programm</w:t>
            </w:r>
          </w:p>
        </w:tc>
      </w:tr>
      <w:tr>
        <w:tc>
          <w:tcPr>
            <w:tcW w:type="dxa" w:w="1100"/>
            <w:tcMar>
              <w:top w:type="dxa" w:w="80"/>
              <w:left w:type="dxa" w:w="110"/>
              <w:bottom w:type="dxa" w:w="80"/>
              <w:right w:type="dxa" w:w="110"/>
            </w:tcMar>
          </w:tcPr>
          <w:p>
            <w:r>
              <w:rPr>
                <w:b w:val="false"/>
                <w:bCs w:val="false"/>
                <w:color w:val="241B3A"/>
                <w:sz w:val="19"/>
                <w:szCs w:val="19"/>
              </w:rPr>
              <w:t xml:space="preserve">42</w:t>
            </w:r>
          </w:p>
        </w:tc>
        <w:tc>
          <w:tcPr>
            <w:tcW w:type="dxa" w:w="3900"/>
            <w:tcMar>
              <w:top w:type="dxa" w:w="80"/>
              <w:left w:type="dxa" w:w="110"/>
              <w:bottom w:type="dxa" w:w="80"/>
              <w:right w:type="dxa" w:w="110"/>
            </w:tcMar>
          </w:tcPr>
          <w:p>
            <w:r>
              <w:rPr>
                <w:b w:val="false"/>
                <w:bCs w:val="false"/>
                <w:color w:val="241B3A"/>
                <w:sz w:val="19"/>
                <w:szCs w:val="19"/>
              </w:rPr>
              <w:t xml:space="preserve">Software als Dienst (SaaS), Softwareentwicklung, Bereitstellung von Plattformen</w:t>
            </w:r>
          </w:p>
        </w:tc>
        <w:tc>
          <w:tcPr>
            <w:tcW w:type="dxa" w:w="4840"/>
            <w:tcMar>
              <w:top w:type="dxa" w:w="80"/>
              <w:left w:type="dxa" w:w="110"/>
              <w:bottom w:type="dxa" w:w="80"/>
              <w:right w:type="dxa" w:w="110"/>
            </w:tcMar>
          </w:tcPr>
          <w:p>
            <w:r>
              <w:rPr>
                <w:b w:val="false"/>
                <w:bCs w:val="false"/>
                <w:color w:val="241B3A"/>
                <w:sz w:val="19"/>
                <w:szCs w:val="19"/>
              </w:rPr>
              <w:t xml:space="preserve">Der Kern: KAȲȲA OS als Online-Dienst für Träger, auch in Lizenz</w:t>
            </w:r>
          </w:p>
        </w:tc>
      </w:tr>
      <w:tr>
        <w:tc>
          <w:tcPr>
            <w:tcW w:type="dxa" w:w="1100"/>
            <w:tcMar>
              <w:top w:type="dxa" w:w="80"/>
              <w:left w:type="dxa" w:w="110"/>
              <w:bottom w:type="dxa" w:w="80"/>
              <w:right w:type="dxa" w:w="110"/>
            </w:tcMar>
          </w:tcPr>
          <w:p>
            <w:r>
              <w:rPr>
                <w:b w:val="false"/>
                <w:bCs w:val="false"/>
                <w:color w:val="241B3A"/>
                <w:sz w:val="19"/>
                <w:szCs w:val="19"/>
              </w:rPr>
              <w:t xml:space="preserve">41</w:t>
            </w:r>
          </w:p>
        </w:tc>
        <w:tc>
          <w:tcPr>
            <w:tcW w:type="dxa" w:w="3900"/>
            <w:tcMar>
              <w:top w:type="dxa" w:w="80"/>
              <w:left w:type="dxa" w:w="110"/>
              <w:bottom w:type="dxa" w:w="80"/>
              <w:right w:type="dxa" w:w="110"/>
            </w:tcMar>
          </w:tcPr>
          <w:p>
            <w:r>
              <w:rPr>
                <w:b w:val="false"/>
                <w:bCs w:val="false"/>
                <w:color w:val="241B3A"/>
                <w:sz w:val="19"/>
                <w:szCs w:val="19"/>
              </w:rPr>
              <w:t xml:space="preserve">Aus- und Weiterbildung, Schulung, Durchführung von Kursen und Coaching</w:t>
            </w:r>
          </w:p>
        </w:tc>
        <w:tc>
          <w:tcPr>
            <w:tcW w:type="dxa" w:w="4840"/>
            <w:tcMar>
              <w:top w:type="dxa" w:w="80"/>
              <w:left w:type="dxa" w:w="110"/>
              <w:bottom w:type="dxa" w:w="80"/>
              <w:right w:type="dxa" w:w="110"/>
            </w:tcMar>
          </w:tcPr>
          <w:p>
            <w:r>
              <w:rPr>
                <w:b w:val="false"/>
                <w:bCs w:val="false"/>
                <w:color w:val="241B3A"/>
                <w:sz w:val="19"/>
                <w:szCs w:val="19"/>
              </w:rPr>
              <w:t xml:space="preserve">Eigene Maßnahmen und Einrichtungen</w:t>
            </w:r>
          </w:p>
        </w:tc>
      </w:tr>
      <w:tr>
        <w:tc>
          <w:tcPr>
            <w:tcW w:type="dxa" w:w="1100"/>
            <w:tcMar>
              <w:top w:type="dxa" w:w="80"/>
              <w:left w:type="dxa" w:w="110"/>
              <w:bottom w:type="dxa" w:w="80"/>
              <w:right w:type="dxa" w:w="110"/>
            </w:tcMar>
          </w:tcPr>
          <w:p>
            <w:r>
              <w:rPr>
                <w:b w:val="false"/>
                <w:bCs w:val="false"/>
                <w:color w:val="241B3A"/>
                <w:sz w:val="19"/>
                <w:szCs w:val="19"/>
              </w:rPr>
              <w:t xml:space="preserve">35</w:t>
            </w:r>
          </w:p>
        </w:tc>
        <w:tc>
          <w:tcPr>
            <w:tcW w:type="dxa" w:w="3900"/>
            <w:tcMar>
              <w:top w:type="dxa" w:w="80"/>
              <w:left w:type="dxa" w:w="110"/>
              <w:bottom w:type="dxa" w:w="80"/>
              <w:right w:type="dxa" w:w="110"/>
            </w:tcMar>
          </w:tcPr>
          <w:p>
            <w:r>
              <w:rPr>
                <w:b w:val="false"/>
                <w:bCs w:val="false"/>
                <w:color w:val="241B3A"/>
                <w:sz w:val="19"/>
                <w:szCs w:val="19"/>
              </w:rPr>
              <w:t xml:space="preserve">Unternehmensverwaltung, Büroarbeiten, Arbeitsvermittlung</w:t>
            </w:r>
          </w:p>
        </w:tc>
        <w:tc>
          <w:tcPr>
            <w:tcW w:type="dxa" w:w="4840"/>
            <w:tcMar>
              <w:top w:type="dxa" w:w="80"/>
              <w:left w:type="dxa" w:w="110"/>
              <w:bottom w:type="dxa" w:w="80"/>
              <w:right w:type="dxa" w:w="110"/>
            </w:tcMar>
          </w:tcPr>
          <w:p>
            <w:r>
              <w:rPr>
                <w:b w:val="false"/>
                <w:bCs w:val="false"/>
                <w:color w:val="241B3A"/>
                <w:sz w:val="19"/>
                <w:szCs w:val="19"/>
              </w:rPr>
              <w:t xml:space="preserve">Verwaltung von Maßnahmen und Vermittlung in Arbeit</w:t>
            </w:r>
          </w:p>
        </w:tc>
      </w:tr>
    </w:tbl>
    <w:p>
      <w:pPr>
        <w:spacing w:after="60" w:line="264"/>
      </w:pPr>
      <w:r>
        <w:rPr>
          <w:color w:val="241B3A"/>
          <w:sz w:val="21"/>
          <w:szCs w:val="21"/>
        </w:rPr>
        <w:t xml:space="preserve"/>
      </w:r>
    </w:p>
    <w:p>
      <w:pPr>
        <w:spacing w:after="140" w:line="264"/>
      </w:pPr>
      <w:r>
        <w:rPr>
          <w:color w:val="241B3A"/>
          <w:sz w:val="21"/>
          <w:szCs w:val="21"/>
        </w:rPr>
        <w:t xml:space="preserve">Optional Klasse 36, falls Beratung zu Fördermitteln als eigene Leistung angeboten wird. Die genauen Waren und Dienstleistungen formuliert RA Krug; zu weit gefasste Verzeichnisse erhöhen das Risiko von Widersprüchen.</w:t>
      </w:r>
    </w:p>
    <w:p>
      <w:pPr>
        <w:spacing w:after="100" w:before="240"/>
      </w:pPr>
      <w:r>
        <w:rPr>
          <w:b/>
          <w:bCs/>
          <w:color w:val="5B21B6"/>
          <w:sz w:val="23"/>
          <w:szCs w:val="23"/>
        </w:rPr>
        <w:t xml:space="preserve">4. Kosten</w:t>
      </w:r>
    </w:p>
    <w:p>
      <w:pPr>
        <w:spacing w:after="140" w:line="264"/>
      </w:pPr>
      <w:r>
        <w:rPr>
          <w:color w:val="241B3A"/>
          <w:sz w:val="21"/>
          <w:szCs w:val="21"/>
        </w:rPr>
        <w:t xml:space="preserve">Elektronische Anmeldung über DPMAdirektWeb: 290 Euro für bis zu drei Klassen, jede weitere Klasse 100 Euro. Mit den Klassen 9, 35, 41 und 42 also 390 Euro. Eine beschleunigte Prüfung kostet zusätzlich 200 Euro und sichert eine Entscheidung innerhalb von sechs Monaten. Eine professionelle Ähnlichkeitsrecherche kommt gegebenenfalls hinzu.</w:t>
      </w:r>
    </w:p>
    <w:p>
      <w:pPr>
        <w:spacing w:after="100" w:before="240"/>
      </w:pPr>
      <w:r>
        <w:rPr>
          <w:b/>
          <w:bCs/>
          <w:color w:val="5B21B6"/>
          <w:sz w:val="23"/>
          <w:szCs w:val="23"/>
        </w:rPr>
        <w:t xml:space="preserve">5. Vorher prüfen</w:t>
      </w:r>
    </w:p>
    <w:p>
      <w:pPr>
        <w:spacing w:after="140" w:line="264"/>
      </w:pPr>
      <w:r>
        <w:rPr>
          <w:color w:val="241B3A"/>
          <w:sz w:val="21"/>
          <w:szCs w:val="21"/>
        </w:rPr>
        <w:t xml:space="preserve">Das DPMA prüft keine älteren Rechte Dritter. Konflikte kommen erst über einen Widerspruch. Deshalb vor der Anmeldung im DPMAregister und für EU und Ausland in TMview nach gleichen und ähnlichen Zeichen suchen, in den genannten Klassen. Besonders auf klangliche Ähnlichkeit achten: KAYA, KAJA, KAIA und CAYA klingen nahezu gleich, und „Kaya“ ist ein verbreiteter Name. Hier ist eine fachkundige Recherche sinnvoll.</w:t>
      </w:r>
    </w:p>
    <w:p>
      <w:pPr>
        <w:spacing w:after="100" w:before="240"/>
      </w:pPr>
      <w:r>
        <w:rPr>
          <w:b/>
          <w:bCs/>
          <w:color w:val="5B21B6"/>
          <w:sz w:val="23"/>
          <w:szCs w:val="23"/>
        </w:rPr>
        <w:t xml:space="preserve">6. Ausland</w:t>
      </w:r>
    </w:p>
    <w:p>
      <w:pPr>
        <w:spacing w:after="140" w:line="264"/>
      </w:pPr>
      <w:r>
        <w:rPr>
          <w:color w:val="241B3A"/>
          <w:sz w:val="21"/>
          <w:szCs w:val="21"/>
        </w:rPr>
        <w:t xml:space="preserve">Wegen des Auslandscampus und möglicher Lizenzen später eine EU-Marke beim EUIPO oder eine internationale Registrierung über die WIPO prüfen. Wer innerhalb von sechs Monaten nach der deutschen Anmeldung im Ausland anmeldet, kann deren Datum als Priorität beanspruchen.</w:t>
      </w:r>
    </w:p>
    <w:p>
      <w:pPr>
        <w:spacing w:after="100" w:before="240"/>
      </w:pPr>
      <w:r>
        <w:rPr>
          <w:b/>
          <w:bCs/>
          <w:color w:val="5B21B6"/>
          <w:sz w:val="23"/>
          <w:szCs w:val="23"/>
        </w:rPr>
        <w:t xml:space="preserve">7. Nach der Anmeldung</w:t>
      </w:r>
    </w:p>
    <w:p>
      <w:pPr>
        <w:spacing w:after="140" w:line="264"/>
      </w:pPr>
      <w:r>
        <w:rPr>
          <w:color w:val="241B3A"/>
          <w:sz w:val="21"/>
          <w:szCs w:val="21"/>
        </w:rPr>
        <w:t xml:space="preserve">Die Eintragung wird veröffentlicht; Inhaber älterer Marken können innerhalb von drei Monaten Widerspruch einlegen. Der Schutz gilt zehn Jahre und lässt sich beliebig oft verlängern. Die Marke muss innerhalb von fünf Jahren nach Eintragung ernsthaft benutzt werden, sonst kann sie angegriffen werden. Das Zeichen ® darf erst nach der Eintragung verwendet werden.</w:t>
      </w:r>
    </w:p>
    <w:p>
      <w:pPr>
        <w:spacing w:after="100" w:before="240"/>
      </w:pPr>
      <w:r>
        <w:rPr>
          <w:b/>
          <w:bCs/>
          <w:color w:val="5B21B6"/>
          <w:sz w:val="23"/>
          <w:szCs w:val="23"/>
        </w:rPr>
        <w:t xml:space="preserve">8. Domains</w:t>
      </w:r>
    </w:p>
    <w:p>
      <w:pPr>
        <w:spacing w:after="140" w:line="264"/>
      </w:pPr>
      <w:r>
        <w:rPr>
          <w:color w:val="241B3A"/>
          <w:sz w:val="21"/>
          <w:szCs w:val="21"/>
        </w:rPr>
        <w:t xml:space="preserve">kayya.de und kayya.org sind vorhanden. Prüfen, ob kayya.com und kayya.eu frei sind, und sie gegebenenfalls sichern.</w:t>
      </w:r>
    </w:p>
    <w:p>
      <w:pPr>
        <w:spacing w:after="100" w:before="240"/>
      </w:pPr>
      <w:r>
        <w:rPr>
          <w:b/>
          <w:bCs/>
          <w:color w:val="5B21B6"/>
          <w:sz w:val="23"/>
          <w:szCs w:val="23"/>
        </w:rPr>
        <w:t xml:space="preserve">Offene Entscheidungen für RA Krug</w:t>
      </w:r>
    </w:p>
    <w:p>
      <w:pPr>
        <w:spacing w:after="140" w:line="264"/>
      </w:pPr>
      <w:r>
        <w:rPr>
          <w:color w:val="241B3A"/>
          <w:sz w:val="21"/>
          <w:szCs w:val="21"/>
        </w:rPr>
        <w:t xml:space="preserve">Inhaber der Marke (Einzelunternehmer oder GmbH). Schreibweise der Wortmarke (KAYYA, zusätzlich KAȲȲA). Endgültiges Klassen- und Leistungsverzeichnis. Beschleunigte Prüfung ja oder nein. Zeitpunkt einer EU- oder internationalen Ausdehnung.</w:t>
      </w:r>
    </w:p>
    <w:p>
      <w:pPr>
        <w:pBdr>
          <w:top w:val="single" w:color="E7E0F9" w:sz="6" w:space="6"/>
        </w:pBdr>
        <w:spacing w:before="28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Markenanmeldung KAȲȲA</dc:title>
  <dc:creator>Bernhard Krug</dc:creator>
  <cp:lastModifiedBy>Un-named</cp:lastModifiedBy>
  <cp:revision>1</cp:revision>
  <dcterms:created xsi:type="dcterms:W3CDTF">2026-10-21T18:03:59.147Z</dcterms:created>
  <dcterms:modified xsi:type="dcterms:W3CDTF">2026-10-21T18:03:59.147Z</dcterms:modified>
</cp:coreProperties>
</file>

<file path=docProps/custom.xml><?xml version="1.0" encoding="utf-8"?>
<Properties xmlns="http://schemas.openxmlformats.org/officeDocument/2006/custom-properties" xmlns:vt="http://schemas.openxmlformats.org/officeDocument/2006/docPropsVTypes"/>
</file>