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21B6"/>
          <w:sz w:val="30"/>
          <w:szCs w:val="30"/>
        </w:rPr>
        <w:t xml:space="preserve">Vertraulichkeitsvereinbarung</w:t>
      </w:r>
    </w:p>
    <w:p>
      <w:pPr>
        <w:pBdr>
          <w:bottom w:val="single" w:color="C026D3" w:sz="8" w:space="6"/>
        </w:pBdr>
        <w:spacing w:after="200"/>
      </w:pPr>
      <w:r>
        <w:rPr>
          <w:i/>
          <w:iCs/>
          <w:color w:val="6E6785"/>
          <w:sz w:val="17"/>
          <w:szCs w:val="17"/>
        </w:rPr>
        <w:t xml:space="preserve">Entwurf zur Prüfung durch RA Bernhard M. Krug. Stand: Oktober 2026</w:t>
      </w:r>
    </w:p>
    <w:p>
      <w:pPr>
        <w:spacing w:after="140" w:line="264"/>
      </w:pPr>
      <w:r>
        <w:rPr>
          <w:color w:val="241B3A"/>
          <w:sz w:val="21"/>
          <w:szCs w:val="21"/>
        </w:rPr>
        <w:t xml:space="preserve">zwischen</w:t>
      </w:r>
    </w:p>
    <w:p>
      <w:pPr>
        <w:spacing w:after="40" w:line="264"/>
      </w:pPr>
      <w:r>
        <w:rPr>
          <w:b/>
          <w:bCs/>
          <w:color w:val="241B3A"/>
          <w:sz w:val="21"/>
          <w:szCs w:val="21"/>
        </w:rPr>
        <w:t xml:space="preserve">Bernhard Krug</w:t>
      </w:r>
      <w:r>
        <w:rPr>
          <w:color w:val="241B3A"/>
          <w:sz w:val="21"/>
          <w:szCs w:val="21"/>
        </w:rPr>
        <w:t xml:space="preserve">, Thaerstraße 40, 10249 Berlin</w:t>
      </w:r>
    </w:p>
    <w:p>
      <w:pPr>
        <w:spacing w:after="140" w:line="264"/>
      </w:pPr>
      <w:r>
        <w:rPr>
          <w:color w:val="6E6785"/>
          <w:sz w:val="19"/>
          <w:szCs w:val="19"/>
        </w:rPr>
        <w:t xml:space="preserve">(nachfolgend „Offenlegender“)</w:t>
      </w:r>
    </w:p>
    <w:p>
      <w:pPr>
        <w:spacing w:after="140" w:line="264"/>
      </w:pPr>
      <w:r>
        <w:rPr>
          <w:color w:val="241B3A"/>
          <w:sz w:val="21"/>
          <w:szCs w:val="21"/>
        </w:rPr>
        <w:t xml:space="preserve">und</w:t>
      </w:r>
    </w:p>
    <w:p>
      <w:pPr>
        <w:spacing w:after="40" w:line="264"/>
      </w:pPr>
      <w:r>
        <w:rPr>
          <w:b/>
          <w:bCs/>
          <w:color w:val="241B3A"/>
          <w:sz w:val="21"/>
          <w:szCs w:val="21"/>
        </w:rPr>
        <w:t xml:space="preserve">[Name oder Firma]</w:t>
      </w:r>
      <w:r>
        <w:rPr>
          <w:color w:val="241B3A"/>
          <w:sz w:val="21"/>
          <w:szCs w:val="21"/>
        </w:rPr>
        <w:t xml:space="preserve">, [Anschrift], vertreten durch [Name, Funktion]</w:t>
      </w:r>
    </w:p>
    <w:p>
      <w:pPr>
        <w:spacing w:after="140" w:line="264"/>
      </w:pPr>
      <w:r>
        <w:rPr>
          <w:color w:val="6E6785"/>
          <w:sz w:val="19"/>
          <w:szCs w:val="19"/>
        </w:rPr>
        <w:t xml:space="preserve">(nachfolgend „Empfänger“)</w:t>
      </w:r>
    </w:p>
    <w:p>
      <w:pPr>
        <w:spacing w:after="100" w:before="240"/>
      </w:pPr>
      <w:r>
        <w:rPr>
          <w:b/>
          <w:bCs/>
          <w:color w:val="5B21B6"/>
          <w:sz w:val="23"/>
          <w:szCs w:val="23"/>
        </w:rPr>
        <w:t xml:space="preserve">Präambel</w:t>
      </w:r>
    </w:p>
    <w:p>
      <w:pPr>
        <w:spacing w:after="140" w:line="264"/>
      </w:pPr>
      <w:r>
        <w:rPr>
          <w:color w:val="241B3A"/>
          <w:sz w:val="21"/>
          <w:szCs w:val="21"/>
        </w:rPr>
        <w:t xml:space="preserve">Der Offenlegende entwickelt und betreibt die Software KAȲȲA OS, eine Plattform für öffentlich finanzierte Bildungs- und Eingliederungsmaßnahmen. Die Parteien beabsichtigen, eine mögliche Zusammenarbeit zu prüfen (nachfolgend „Zweck“). Dafür macht der Offenlegende dem Empfänger vertrauliche Informationen zugänglich. Diese Vereinbarung regelt den Umgang damit.</w:t>
      </w:r>
    </w:p>
    <w:p>
      <w:pPr>
        <w:spacing w:after="100" w:before="240"/>
      </w:pPr>
      <w:r>
        <w:rPr>
          <w:b/>
          <w:bCs/>
          <w:color w:val="5B21B6"/>
          <w:sz w:val="23"/>
          <w:szCs w:val="23"/>
        </w:rPr>
        <w:t xml:space="preserve">§ 1 Vertrauliche Informationen</w:t>
      </w:r>
    </w:p>
    <w:p>
      <w:pPr>
        <w:spacing w:after="140" w:line="264"/>
      </w:pPr>
      <w:r>
        <w:rPr>
          <w:color w:val="241B3A"/>
          <w:sz w:val="21"/>
          <w:szCs w:val="21"/>
        </w:rPr>
        <w:t xml:space="preserve">(1) Vertrauliche Informationen sind alle Informationen, die der Offenlegende dem Empfänger im Zusammenhang mit dem Zweck zugänglich macht, gleich in welcher Form, ob schriftlich, mündlich, elektronisch oder durch Vorführung. Dazu gehören insbesondere Produktspezifikationen und Lastenhefte, Datenmodelle, Abläufe und Benutzeroberflächen von KAȲȲA OS, Quellcode, Anweisungen an KI-Modelle, Kalkulationen, Preis- und Ertragsmodelle, Geschäfts-, Förder- und Finanzplanungen, Kontakte zu Kostenträgern sowie Zugänge zu Demo- und Testumgebungen.</w:t>
      </w:r>
    </w:p>
    <w:p>
      <w:pPr>
        <w:spacing w:after="140" w:line="264"/>
      </w:pPr>
      <w:r>
        <w:rPr>
          <w:color w:val="241B3A"/>
          <w:sz w:val="21"/>
          <w:szCs w:val="21"/>
        </w:rPr>
        <w:t xml:space="preserve">(2) Informationen gelten auch ohne ausdrückliche Kennzeichnung als vertraulich, wenn sich ihre Vertraulichkeit aus ihrer Natur oder den Umständen der Offenlegung ergibt.</w:t>
      </w:r>
    </w:p>
    <w:p>
      <w:pPr>
        <w:spacing w:after="140" w:line="264"/>
      </w:pPr>
      <w:r>
        <w:rPr>
          <w:color w:val="241B3A"/>
          <w:sz w:val="21"/>
          <w:szCs w:val="21"/>
        </w:rPr>
        <w:t xml:space="preserve">(3) Nicht vertraulich sind Informationen, die der Empfänger nachweislich (a) bei der Offenlegung bereits rechtmäßig kannte, (b) die ohne sein Zutun öffentlich bekannt sind oder werden, (c) von einem Dritten rechtmäßig und ohne Pflicht zur Vertraulichkeit erhalten hat oder (d) unabhängig und ohne Nutzung vertraulicher Informationen selbst entwickelt hat. Die Beweislast dafür trägt der Empfänger.</w:t>
      </w:r>
    </w:p>
    <w:p>
      <w:pPr>
        <w:spacing w:after="100" w:before="240"/>
      </w:pPr>
      <w:r>
        <w:rPr>
          <w:b/>
          <w:bCs/>
          <w:color w:val="5B21B6"/>
          <w:sz w:val="23"/>
          <w:szCs w:val="23"/>
        </w:rPr>
        <w:t xml:space="preserve">§ 2 Geheimhaltung und Zweckbindung</w:t>
      </w:r>
    </w:p>
    <w:p>
      <w:pPr>
        <w:spacing w:after="140" w:line="264"/>
      </w:pPr>
      <w:r>
        <w:rPr>
          <w:color w:val="241B3A"/>
          <w:sz w:val="21"/>
          <w:szCs w:val="21"/>
        </w:rPr>
        <w:t xml:space="preserve">(1) Der Empfänger hält die vertraulichen Informationen geheim und schützt sie mindestens mit der Sorgfalt, die er für eigene Geschäftsgeheimnisse anwendet, in jedem Fall mit angemessener Sorgfalt.</w:t>
      </w:r>
    </w:p>
    <w:p>
      <w:pPr>
        <w:spacing w:after="140" w:line="264"/>
      </w:pPr>
      <w:r>
        <w:rPr>
          <w:color w:val="241B3A"/>
          <w:sz w:val="21"/>
          <w:szCs w:val="21"/>
        </w:rPr>
        <w:t xml:space="preserve">(2) Er nutzt sie ausschließlich für den Zweck. Jede andere Nutzung ist untersagt, insbesondere zur Entwicklung, Beauftragung, Finanzierung oder Unterstützung eigener oder fremder Produkte und Dienstleistungen, die mit KAȲȲA OS ganz oder teilweise im Wettbewerb stehen.</w:t>
      </w:r>
    </w:p>
    <w:p>
      <w:pPr>
        <w:spacing w:after="140" w:line="264"/>
      </w:pPr>
      <w:r>
        <w:rPr>
          <w:color w:val="241B3A"/>
          <w:sz w:val="21"/>
          <w:szCs w:val="21"/>
        </w:rPr>
        <w:t xml:space="preserve">(3) Der Empfänger macht vertrauliche Informationen nur Mitarbeitern und Beratern zugänglich, die sie für den Zweck zwingend benötigen und die ihrerseits mindestens gleichwertig zur Vertraulichkeit verpflichtet sind. Für deren Verhalten haftet er wie für eigenes.</w:t>
      </w:r>
    </w:p>
    <w:p>
      <w:pPr>
        <w:spacing w:after="140" w:line="264"/>
      </w:pPr>
      <w:r>
        <w:rPr>
          <w:color w:val="241B3A"/>
          <w:sz w:val="21"/>
          <w:szCs w:val="21"/>
        </w:rPr>
        <w:t xml:space="preserve">(4) Zugangsdaten zu Demo- und Testumgebungen sind persönlich und dürfen nicht weitergegeben werden.</w:t>
      </w:r>
    </w:p>
    <w:p>
      <w:pPr>
        <w:spacing w:after="100" w:before="240"/>
      </w:pPr>
      <w:r>
        <w:rPr>
          <w:b/>
          <w:bCs/>
          <w:color w:val="5B21B6"/>
          <w:sz w:val="23"/>
          <w:szCs w:val="23"/>
        </w:rPr>
        <w:t xml:space="preserve">§ 3 Kein Nachbau, keine Analyse</w:t>
      </w:r>
    </w:p>
    <w:p>
      <w:pPr>
        <w:spacing w:after="140" w:line="264"/>
      </w:pPr>
      <w:r>
        <w:rPr>
          <w:color w:val="241B3A"/>
          <w:sz w:val="21"/>
          <w:szCs w:val="21"/>
        </w:rPr>
        <w:t xml:space="preserve">(1) Dem Empfänger ist untersagt, KAȲȲA OS, die Demo- und Testumgebungen oder überlassene Unterlagen zu beobachten, zu untersuchen, zurückzubauen, zu dekompilieren oder zu testen, um Aufbau, Funktionsweise, Datenmodelle oder Quellcode zu ermitteln. Die Parteien schließen die Befugnis nach § 3 Abs. 1 Nr. 2 GeschGehG damit ausdrücklich aus.</w:t>
      </w:r>
    </w:p>
    <w:p>
      <w:pPr>
        <w:spacing w:after="140" w:line="264"/>
      </w:pPr>
      <w:r>
        <w:rPr>
          <w:color w:val="241B3A"/>
          <w:sz w:val="21"/>
          <w:szCs w:val="21"/>
        </w:rPr>
        <w:t xml:space="preserve">(2) Ebenso untersagt ist es, Funktionen, Abläufe oder Oberflächen von KAȲȲA OS auf Grundlage vertraulicher Informationen nachzubilden oder nachbilden zu lassen.</w:t>
      </w:r>
    </w:p>
    <w:p>
      <w:pPr>
        <w:spacing w:after="100" w:before="240"/>
      </w:pPr>
      <w:r>
        <w:rPr>
          <w:b/>
          <w:bCs/>
          <w:color w:val="5B21B6"/>
          <w:sz w:val="23"/>
          <w:szCs w:val="23"/>
        </w:rPr>
        <w:t xml:space="preserve">§ 4 Keine Rechteeinräumung</w:t>
      </w:r>
    </w:p>
    <w:p>
      <w:pPr>
        <w:spacing w:after="140" w:line="264"/>
      </w:pPr>
      <w:r>
        <w:rPr>
          <w:color w:val="241B3A"/>
          <w:sz w:val="21"/>
          <w:szCs w:val="21"/>
        </w:rPr>
        <w:t xml:space="preserve">Mit der Offenlegung werden keine Rechte an vertraulichen Informationen, Marken, Urheberrechten oder sonstigen Schutzrechten eingeräumt, insbesondere keine Lizenz. Eine Pflicht zur Offenlegung oder zum Abschluss eines weiteren Vertrages besteht nicht.</w:t>
      </w:r>
    </w:p>
    <w:p>
      <w:pPr>
        <w:spacing w:after="100" w:before="240"/>
      </w:pPr>
      <w:r>
        <w:rPr>
          <w:b/>
          <w:bCs/>
          <w:color w:val="5B21B6"/>
          <w:sz w:val="23"/>
          <w:szCs w:val="23"/>
        </w:rPr>
        <w:t xml:space="preserve">§ 5 Rückgabe und Löschung</w:t>
      </w:r>
    </w:p>
    <w:p>
      <w:pPr>
        <w:spacing w:after="140" w:line="264"/>
      </w:pPr>
      <w:r>
        <w:rPr>
          <w:color w:val="241B3A"/>
          <w:sz w:val="21"/>
          <w:szCs w:val="21"/>
        </w:rPr>
        <w:t xml:space="preserve">Auf Verlangen des Offenlegenden, spätestens bei Beendigung der Gespräche, gibt der Empfänger alle vertraulichen Informationen zurück oder löscht sie einschließlich aller Kopien und bestätigt dies in Textform. Gesetzliche Aufbewahrungspflichten bleiben unberührt; die so aufbewahrten Informationen bleiben vertraulich.</w:t>
      </w:r>
    </w:p>
    <w:p>
      <w:pPr>
        <w:spacing w:after="100" w:before="240"/>
      </w:pPr>
      <w:r>
        <w:rPr>
          <w:b/>
          <w:bCs/>
          <w:color w:val="5B21B6"/>
          <w:sz w:val="23"/>
          <w:szCs w:val="23"/>
        </w:rPr>
        <w:t xml:space="preserve">§ 6 Vertragsstrafe</w:t>
      </w:r>
    </w:p>
    <w:p>
      <w:pPr>
        <w:spacing w:after="140" w:line="264"/>
      </w:pPr>
      <w:r>
        <w:rPr>
          <w:color w:val="241B3A"/>
          <w:sz w:val="21"/>
          <w:szCs w:val="21"/>
        </w:rPr>
        <w:t xml:space="preserve">(1) Für jeden schuldhaften Verstoß gegen diese Vereinbarung zahlt der Empfänger eine Vertragsstrafe, deren Höhe der Offenlegende nach billigem Ermessen bestimmt und die im Streitfall vom zuständigen Gericht überprüft werden kann. [Alternative: fester Betrag in Euro je Verstoß, durch RA festzulegen.]</w:t>
      </w:r>
    </w:p>
    <w:p>
      <w:pPr>
        <w:spacing w:after="140" w:line="264"/>
      </w:pPr>
      <w:r>
        <w:rPr>
          <w:color w:val="241B3A"/>
          <w:sz w:val="21"/>
          <w:szCs w:val="21"/>
        </w:rPr>
        <w:t xml:space="preserve">(2) Weitergehende Ansprüche, insbesondere auf Unterlassung und Schadensersatz, bleiben unberührt. Die Vertragsstrafe wird auf einen Schadensersatz angerechnet.</w:t>
      </w:r>
    </w:p>
    <w:p>
      <w:pPr>
        <w:spacing w:after="100" w:before="240"/>
      </w:pPr>
      <w:r>
        <w:rPr>
          <w:b/>
          <w:bCs/>
          <w:color w:val="5B21B6"/>
          <w:sz w:val="23"/>
          <w:szCs w:val="23"/>
        </w:rPr>
        <w:t xml:space="preserve">§ 7 Laufzeit</w:t>
      </w:r>
    </w:p>
    <w:p>
      <w:pPr>
        <w:spacing w:after="140" w:line="264"/>
      </w:pPr>
      <w:r>
        <w:rPr>
          <w:color w:val="241B3A"/>
          <w:sz w:val="21"/>
          <w:szCs w:val="21"/>
        </w:rPr>
        <w:t xml:space="preserve">Diese Vereinbarung tritt mit Unterzeichnung in Kraft. Die Pflichten gelten für fünf Jahre nach der letzten Offenlegung. Für Geschäftsgeheimnisse im Sinne des GeschGehG und für Quellcode gelten sie, solange diese geheim sind.</w:t>
      </w:r>
    </w:p>
    <w:p>
      <w:pPr>
        <w:spacing w:after="100" w:before="240"/>
      </w:pPr>
      <w:r>
        <w:rPr>
          <w:b/>
          <w:bCs/>
          <w:color w:val="5B21B6"/>
          <w:sz w:val="23"/>
          <w:szCs w:val="23"/>
        </w:rPr>
        <w:t xml:space="preserve">§ 8 Schlussbestimmungen</w:t>
      </w:r>
    </w:p>
    <w:p>
      <w:pPr>
        <w:spacing w:after="140" w:line="264"/>
      </w:pPr>
      <w:r>
        <w:rPr>
          <w:color w:val="241B3A"/>
          <w:sz w:val="21"/>
          <w:szCs w:val="21"/>
        </w:rPr>
        <w:t xml:space="preserve">(1) Es gilt das Recht der Bundesrepublik Deutschland. Gerichtsstand ist, soweit gesetzlich zulässig, Berlin.</w:t>
      </w:r>
    </w:p>
    <w:p>
      <w:pPr>
        <w:spacing w:after="140" w:line="264"/>
      </w:pPr>
      <w:r>
        <w:rPr>
          <w:color w:val="241B3A"/>
          <w:sz w:val="21"/>
          <w:szCs w:val="21"/>
        </w:rPr>
        <w:t xml:space="preserve">(2) Änderungen und Ergänzungen bedürfen der Textform. Das gilt auch für einen Verzicht auf dieses Formerfordernis.</w:t>
      </w:r>
    </w:p>
    <w:p>
      <w:pPr>
        <w:spacing w:after="140" w:line="264"/>
      </w:pPr>
      <w:r>
        <w:rPr>
          <w:color w:val="241B3A"/>
          <w:sz w:val="21"/>
          <w:szCs w:val="21"/>
        </w:rPr>
        <w:t xml:space="preserve">(3) Ist eine Bestimmung unwirksam, bleibt die Vereinbarung im Übrigen wirksam. An die Stelle der unwirksamen Bestimmung tritt eine wirksame, die dem wirtschaftlich Gewollten am nächsten kommt.</w:t>
      </w:r>
    </w:p>
    <w:p>
      <w:pPr>
        <w:spacing w:after="40" w:before="400"/>
      </w:pPr>
      <w:r>
        <w:rPr>
          <w:color w:val="241B3A"/>
          <w:sz w:val="21"/>
          <w:szCs w:val="21"/>
        </w:rPr>
        <w:t xml:space="preserve">______________________________          ______________________________</w:t>
      </w:r>
    </w:p>
    <w:p>
      <w:pPr>
        <w:spacing w:after="140" w:line="264"/>
      </w:pPr>
      <w:r>
        <w:rPr>
          <w:color w:val="6E6785"/>
          <w:sz w:val="19"/>
          <w:szCs w:val="19"/>
        </w:rPr>
        <w:t xml:space="preserve">Ort, Datum, Bernhard Krug                                    Ort, Datum, [Name, Funktion]</w:t>
      </w:r>
    </w:p>
    <w:p>
      <w:pPr>
        <w:spacing w:after="100" w:before="240"/>
      </w:pPr>
      <w:r>
        <w:rPr>
          <w:b/>
          <w:bCs/>
          <w:color w:val="5B21B6"/>
          <w:sz w:val="23"/>
          <w:szCs w:val="23"/>
        </w:rPr>
        <w:t xml:space="preserve">Hinweise für die Prüfung (vor Versand entfernen)</w:t>
      </w:r>
    </w:p>
    <w:p>
      <w:pPr>
        <w:spacing w:after="140" w:line="264"/>
      </w:pPr>
      <w:r>
        <w:rPr>
          <w:color w:val="241B3A"/>
          <w:sz w:val="19"/>
          <w:szCs w:val="19"/>
        </w:rPr>
        <w:t xml:space="preserve">Einseitig: Der Entwurf schützt nur KAȲȲA. Viele Partner verlangen eine gegenseitige Fassung; dann die Pflichten aus §§ 1 bis 7 spiegeln.</w:t>
      </w:r>
    </w:p>
    <w:p>
      <w:pPr>
        <w:spacing w:after="140" w:line="264"/>
      </w:pPr>
      <w:r>
        <w:rPr>
          <w:color w:val="241B3A"/>
          <w:sz w:val="19"/>
          <w:szCs w:val="19"/>
        </w:rPr>
        <w:t xml:space="preserve">Ausschluss der Analyse in § 3: Die Befugnis nach § 3 Abs. 1 Nr. 2 GeschGehG lässt sich vertraglich ausschließen. In vorformulierten Standardbedingungen kann ein vollständiger Ausschluss jedoch an der Inhaltskontrolle scheitern; eine einzeln ausgehandelte Klausel vermeidet dieses Risiko. Bitte prüfen, wie die Vereinbarung eingesetzt wird.</w:t>
      </w:r>
    </w:p>
    <w:p>
      <w:pPr>
        <w:spacing w:after="140" w:line="264"/>
      </w:pPr>
      <w:r>
        <w:rPr>
          <w:color w:val="241B3A"/>
          <w:sz w:val="19"/>
          <w:szCs w:val="19"/>
        </w:rPr>
        <w:t xml:space="preserve">Vertragsstrafe in § 6: Entscheidung zwischen Ermessen nach „Hamburger Brauch“ und festem Betrag.</w:t>
      </w:r>
    </w:p>
    <w:p>
      <w:pPr>
        <w:spacing w:after="140" w:line="264"/>
      </w:pPr>
      <w:r>
        <w:rPr>
          <w:color w:val="241B3A"/>
          <w:sz w:val="19"/>
          <w:szCs w:val="19"/>
        </w:rPr>
        <w:t xml:space="preserve">Vertragspartei: Der Entwurf nennt Bernhard Krug als Einzelunternehmer wie im Impressum. Offen ist das Verhältnis zur KAYYA GmbH (HRB 354345). Entscheidend ist, wer Inhaber von Software, Marke und Geheimnissen ist.</w:t>
      </w:r>
    </w:p>
    <w:p>
      <w:pPr>
        <w:spacing w:after="140" w:line="264"/>
      </w:pPr>
      <w:r>
        <w:rPr>
          <w:color w:val="241B3A"/>
          <w:sz w:val="19"/>
          <w:szCs w:val="19"/>
        </w:rPr>
        <w:t xml:space="preserve">Wirksamkeit: § 1 Abs. 3 (b) nimmt öffentlich bekannte Informationen aus. Die Vereinbarung schützt Lastenheft und Planungen nur, solange sie nicht frei abrufbar sind, etwa im Ordner docs auf dem Webspace.</w:t>
      </w:r>
    </w:p>
    <w:p>
      <w:pPr>
        <w:pBdr>
          <w:top w:val="single" w:color="E7E0F9" w:sz="6" w:space="6"/>
        </w:pBdr>
        <w:spacing w:before="280"/>
      </w:pPr>
      <w:r>
        <w:rPr>
          <w:color w:val="6E6785"/>
          <w:sz w:val="16"/>
          <w:szCs w:val="16"/>
        </w:rPr>
        <w:t xml:space="preserve">Bernhard Krug</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1B3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Vertraulichkeitsvereinbarung KAȲȲA</dc:title>
  <dc:creator>Bernhard Krug</dc:creator>
  <cp:lastModifiedBy>Un-named</cp:lastModifiedBy>
  <cp:revision>1</cp:revision>
  <dcterms:created xsi:type="dcterms:W3CDTF">2026-10-21T18:03:59.088Z</dcterms:created>
  <dcterms:modified xsi:type="dcterms:W3CDTF">2026-10-21T18:03:59.105Z</dcterms:modified>
</cp:coreProperties>
</file>

<file path=docProps/custom.xml><?xml version="1.0" encoding="utf-8"?>
<Properties xmlns="http://schemas.openxmlformats.org/officeDocument/2006/custom-properties" xmlns:vt="http://schemas.openxmlformats.org/officeDocument/2006/docPropsVTypes"/>
</file>