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1F4E5F"/>
          <w:sz w:val="48"/>
          <w:szCs w:val="48"/>
        </w:rPr>
        <w:t xml:space="preserve">Förderfahrplan: Sofortmaßnahmen</w:t>
      </w:r>
    </w:p>
    <w:p>
      <w:pPr>
        <w:spacing w:after="160"/>
        <w:jc w:val="center"/>
      </w:pPr>
      <w:r>
        <w:rPr>
          <w:sz w:val="26"/>
          <w:szCs w:val="26"/>
        </w:rPr>
        <w:t xml:space="preserve">Was JETZT zu veranlassen ist, um die Förderungen aus Kapitel 9 des Ideenpapiers zu sichern – mit vorausgefüllten Antrags-Bausteinen</w:t>
      </w:r>
    </w:p>
    <w:p>
      <w:pPr>
        <w:spacing w:before="300"/>
        <w:jc w:val="center"/>
      </w:pPr>
      <w:r>
        <w:rPr>
          <w:color w:val="666666"/>
          <w:sz w:val="22"/>
          <w:szCs w:val="22"/>
        </w:rPr>
        <w:t xml:space="preserve">KAȲȲA (Arbeitstitel) · Version 260721 · vertraulich</w:t>
      </w:r>
    </w:p>
    <w:p>
      <w:r>
        <w:br w:type="page"/>
      </w:r>
    </w:p>
    <w:p>
      <w:pPr>
        <w:pStyle w:val="Heading1"/>
        <w:spacing w:after="140" w:before="320"/>
      </w:pPr>
      <w:r>
        <w:rPr>
          <w:color w:val="1F4E5F"/>
        </w:rPr>
        <w:t xml:space="preserve">1. Die eine Regel, die über allem steht</w:t>
      </w:r>
    </w:p>
    <w:p>
      <w:pPr>
        <w:spacing w:after="120" w:line="276"/>
        <w:jc w:val="both"/>
      </w:pPr>
      <w:r>
        <w:t xml:space="preserve">Fast alle Zuschussprogramme (ZIM, KMU-innovativ, Landesprogramme, EU-Calls) fördern nur Vorhaben, die bei Antragstellung noch nicht begonnen haben. „Beginn“ heißt dabei schon: verbindliche Beauftragung, Vertragsunterschrift, teils sogar Lieferanten-Bestellung. Deshalb gilt ab sofort: Keine Beauftragung der KAȲȲA-OS-Entwicklung, keine verbindlichen Verträge mit Dienstleistern, bevor die Förderanträge gestellt sind. Das Lastenheft versenden und Angebote einholen ist unschädlich – der Zuschlag wartet auf die Anträge. Einzige wichtige Ausnahme: Die Forschungszulage kann auch rückwirkend beantragt werden und ist ein Rechtsanspruch – sie ist das Sicherheitsnetz, falls ein Zuschussfenster verpasst wird.</w:t>
      </w:r>
    </w:p>
    <w:p>
      <w:pPr>
        <w:pStyle w:val="Heading1"/>
        <w:spacing w:after="140" w:before="320"/>
      </w:pPr>
      <w:r>
        <w:rPr>
          <w:color w:val="1F4E5F"/>
        </w:rPr>
        <w:t xml:space="preserve">2. Sofortmaßnahmen – die nächsten 30 Tage</w:t>
      </w:r>
    </w:p>
    <w:p>
      <w:pPr>
        <w:pStyle w:val="ListParagraph"/>
        <w:numPr>
          <w:ilvl w:val="0"/>
          <w:numId w:val="2"/>
        </w:numPr>
        <w:spacing w:after="70" w:line="264"/>
        <w:jc w:val="both"/>
      </w:pPr>
      <w:r>
        <w:rPr>
          <w:b/>
          <w:bCs/>
        </w:rPr>
        <w:t xml:space="preserve">Tochter-GmbH gründen (Woche 1–3): </w:t>
      </w:r>
      <w:r>
        <w:t xml:space="preserve">Fast alle Programme setzen ein existierendes Unternehmen voraus. Die gewerbliche Tochter (Träger der KAȲȲA-OS-Entwicklung) wird daher vor der gGmbH gegründet: Musterprotokoll oder Satzung, Notartermin, Geschäftskonto, Handelsregister, Gewerbeanmeldung, steuerliche Erfassung. Ohne HR-Nummer kein INVEST, kein ZIM, kein KfW-Antrag.</w:t>
      </w:r>
    </w:p>
    <w:p>
      <w:pPr>
        <w:pStyle w:val="ListParagraph"/>
        <w:numPr>
          <w:ilvl w:val="0"/>
          <w:numId w:val="2"/>
        </w:numPr>
        <w:spacing w:after="70" w:line="264"/>
        <w:jc w:val="both"/>
      </w:pPr>
      <w:r>
        <w:rPr>
          <w:b/>
          <w:bCs/>
        </w:rPr>
        <w:t xml:space="preserve">Fördermittelberatung anfragen (Woche 1): </w:t>
      </w:r>
      <w:r>
        <w:t xml:space="preserve">Zwei bis drei spezialisierte Beratungen (Erfolgshonorar üblich, teils selbst BAFA-gefördert) parallel anfragen; Auswahl in Woche 3. Dieses Dokument plus Ideenpapier und Lastenheft sind die vollständige Erstunterlage.</w:t>
      </w:r>
    </w:p>
    <w:p>
      <w:pPr>
        <w:pStyle w:val="ListParagraph"/>
        <w:numPr>
          <w:ilvl w:val="0"/>
          <w:numId w:val="2"/>
        </w:numPr>
        <w:spacing w:after="70" w:line="264"/>
        <w:jc w:val="both"/>
      </w:pPr>
      <w:r>
        <w:rPr>
          <w:b/>
          <w:bCs/>
        </w:rPr>
        <w:t xml:space="preserve">Hausbank-/Förderbanktermin vereinbaren (Woche 1–2): </w:t>
      </w:r>
      <w:r>
        <w:t xml:space="preserve">KfW-Kredite laufen ausschließlich über die Hausbank; Terminvorlauf einplanen. Mitzubringen: Ideenpapier (als Businessplan), Finanzplan, Kapitalbedarfsplan (Kapitel 5.3 hier), Lebensläufe.</w:t>
      </w:r>
    </w:p>
    <w:p>
      <w:pPr>
        <w:pStyle w:val="ListParagraph"/>
        <w:numPr>
          <w:ilvl w:val="0"/>
          <w:numId w:val="2"/>
        </w:numPr>
        <w:spacing w:after="70" w:line="264"/>
        <w:jc w:val="both"/>
      </w:pPr>
      <w:r>
        <w:rPr>
          <w:b/>
          <w:bCs/>
        </w:rPr>
        <w:t xml:space="preserve">Standortentscheidung wegen Landesförderung treffen (Woche 2–4): </w:t>
      </w:r>
      <w:r>
        <w:t xml:space="preserve">Gründerstipendien, Digitalboni und Landes-Seedfonds unterscheiden sich je Bundesland erheblich – die Standortwahl der Tochter ist eine Förderentscheidung. Kurzvergleich der zwei bis drei Kandidaten-Länder anfordern (macht die Fördermittelberatung).</w:t>
      </w:r>
    </w:p>
    <w:p>
      <w:pPr>
        <w:pStyle w:val="ListParagraph"/>
        <w:numPr>
          <w:ilvl w:val="0"/>
          <w:numId w:val="2"/>
        </w:numPr>
        <w:spacing w:after="70" w:line="264"/>
        <w:jc w:val="both"/>
      </w:pPr>
      <w:r>
        <w:rPr>
          <w:b/>
          <w:bCs/>
        </w:rPr>
        <w:t xml:space="preserve">EXIST-Check (Woche 2): </w:t>
      </w:r>
      <w:r>
        <w:t xml:space="preserve">Nur relevant, falls ein Teammitglied Hochschulbezug hat (Studium/Abschluss &lt; 5 Jahre oder wissenschaftliche Mitarbeit). Wenn ja: Gespräch mit dem Gründungsservice der Hochschule – EXIST würde die Vorgründungsphase finanzieren und hätte Vorrang vor der GmbH-Gründung (Reihenfolge beachten!).</w:t>
      </w:r>
    </w:p>
    <w:p>
      <w:pPr>
        <w:pStyle w:val="ListParagraph"/>
        <w:numPr>
          <w:ilvl w:val="0"/>
          <w:numId w:val="2"/>
        </w:numPr>
        <w:spacing w:after="70" w:line="264"/>
        <w:jc w:val="both"/>
      </w:pPr>
      <w:r>
        <w:rPr>
          <w:b/>
          <w:bCs/>
        </w:rPr>
        <w:t xml:space="preserve">BSFZ-Zugang für die Forschungszulage vorbereiten (Woche 3–4): </w:t>
      </w:r>
      <w:r>
        <w:t xml:space="preserve">ELSTER-Organisationszertifikat der neuen GmbH beantragen (Vorlaufzeit!), F&amp;E-Vorhabensbeschreibung (Kapitel 5.1 hier) finalisieren; Antrag im BSFZ-Portal, sobald die Entwicklung konturiert ist.</w:t>
      </w:r>
    </w:p>
    <w:p>
      <w:pPr>
        <w:pStyle w:val="ListParagraph"/>
        <w:numPr>
          <w:ilvl w:val="0"/>
          <w:numId w:val="2"/>
        </w:numPr>
        <w:spacing w:after="70" w:line="264"/>
        <w:jc w:val="both"/>
      </w:pPr>
      <w:r>
        <w:rPr>
          <w:b/>
          <w:bCs/>
        </w:rPr>
        <w:t xml:space="preserve">INVEST-Förderfähigkeit registrieren (Woche 3–4, nach HR-Eintrag): </w:t>
      </w:r>
      <w:r>
        <w:t xml:space="preserve">Antrag auf Förderfähigkeitsbescheinigung im BAFA-Portal – damit werben Sie aktiv im Investorendeck: Jeder Angel erhält 20–25 % seines Investments als Zuschuss zurück.</w:t>
      </w:r>
    </w:p>
    <w:p>
      <w:pPr>
        <w:pStyle w:val="ListParagraph"/>
        <w:numPr>
          <w:ilvl w:val="0"/>
          <w:numId w:val="2"/>
        </w:numPr>
        <w:spacing w:after="70" w:line="264"/>
        <w:jc w:val="both"/>
      </w:pPr>
      <w:r>
        <w:rPr>
          <w:b/>
          <w:bCs/>
        </w:rPr>
        <w:t xml:space="preserve">De-minimis-Buchführung anlegen (Woche 1, dauerhaft): </w:t>
      </w:r>
      <w:r>
        <w:t xml:space="preserve">Ab dem ersten Antrag jede erhaltene Beihilfe im Übersichtsblatt (Kapitel 5.5) dokumentieren – jedes Programm fragt danach.</w:t>
      </w:r>
    </w:p>
    <w:p>
      <w:pPr>
        <w:pStyle w:val="Heading1"/>
        <w:spacing w:after="140" w:before="320"/>
      </w:pPr>
      <w:r>
        <w:rPr>
          <w:color w:val="1F4E5F"/>
        </w:rPr>
        <w:t xml:space="preserve">3. Programm für Programm: Was jetzt konkret zu tun 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260"/>
        <w:gridCol w:w="2800"/>
      </w:tblGrid>
      <w:tr>
        <w:tc>
          <w:tcPr>
            <w:tcW w:type="dxa" w:w="2300"/>
            <w:shd w:fill="1F4E5F" w:val="clear"/>
            <w:tcMar>
              <w:top w:type="dxa" w:w="60"/>
              <w:left w:type="dxa" w:w="100"/>
              <w:bottom w:type="dxa" w:w="60"/>
              <w:right w:type="dxa" w:w="100"/>
            </w:tcMar>
          </w:tcPr>
          <w:p>
            <w:r>
              <w:rPr>
                <w:b/>
                <w:bCs/>
                <w:color w:val="FFFFFF"/>
                <w:sz w:val="19"/>
                <w:szCs w:val="19"/>
              </w:rPr>
              <w:t xml:space="preserve">Programm</w:t>
            </w:r>
          </w:p>
        </w:tc>
        <w:tc>
          <w:tcPr>
            <w:tcW w:type="dxa" w:w="4260"/>
            <w:shd w:fill="1F4E5F" w:val="clear"/>
            <w:tcMar>
              <w:top w:type="dxa" w:w="60"/>
              <w:left w:type="dxa" w:w="100"/>
              <w:bottom w:type="dxa" w:w="60"/>
              <w:right w:type="dxa" w:w="100"/>
            </w:tcMar>
          </w:tcPr>
          <w:p>
            <w:r>
              <w:rPr>
                <w:b/>
                <w:bCs/>
                <w:color w:val="FFFFFF"/>
                <w:sz w:val="19"/>
                <w:szCs w:val="19"/>
              </w:rPr>
              <w:t xml:space="preserve">Nächster Schritt JETZT</w:t>
            </w:r>
          </w:p>
        </w:tc>
        <w:tc>
          <w:tcPr>
            <w:tcW w:type="dxa" w:w="2800"/>
            <w:shd w:fill="1F4E5F" w:val="clear"/>
            <w:tcMar>
              <w:top w:type="dxa" w:w="60"/>
              <w:left w:type="dxa" w:w="100"/>
              <w:bottom w:type="dxa" w:w="60"/>
              <w:right w:type="dxa" w:w="100"/>
            </w:tcMar>
          </w:tcPr>
          <w:p>
            <w:r>
              <w:rPr>
                <w:b/>
                <w:bCs/>
                <w:color w:val="FFFFFF"/>
                <w:sz w:val="19"/>
                <w:szCs w:val="19"/>
              </w:rPr>
              <w:t xml:space="preserve">Wo / Timing</w:t>
            </w:r>
          </w:p>
        </w:tc>
      </w:tr>
      <w:tr>
        <w:tc>
          <w:tcPr>
            <w:tcW w:type="dxa" w:w="2300"/>
            <w:shd w:fill="FFFFFF" w:val="clear"/>
            <w:tcMar>
              <w:top w:type="dxa" w:w="60"/>
              <w:left w:type="dxa" w:w="100"/>
              <w:bottom w:type="dxa" w:w="60"/>
              <w:right w:type="dxa" w:w="100"/>
            </w:tcMar>
          </w:tcPr>
          <w:p>
            <w:r>
              <w:rPr>
                <w:b w:val="false"/>
                <w:bCs w:val="false"/>
                <w:color w:val="000000"/>
                <w:sz w:val="19"/>
                <w:szCs w:val="19"/>
              </w:rPr>
              <w:t xml:space="preserve">Forschungszulage</w:t>
            </w:r>
          </w:p>
        </w:tc>
        <w:tc>
          <w:tcPr>
            <w:tcW w:type="dxa" w:w="4260"/>
            <w:shd w:fill="FFFFFF" w:val="clear"/>
            <w:tcMar>
              <w:top w:type="dxa" w:w="60"/>
              <w:left w:type="dxa" w:w="100"/>
              <w:bottom w:type="dxa" w:w="60"/>
              <w:right w:type="dxa" w:w="100"/>
            </w:tcMar>
          </w:tcPr>
          <w:p>
            <w:r>
              <w:rPr>
                <w:b w:val="false"/>
                <w:bCs w:val="false"/>
                <w:color w:val="000000"/>
                <w:sz w:val="19"/>
                <w:szCs w:val="19"/>
              </w:rPr>
              <w:t xml:space="preserve">Vorhabensbeschreibung (5.1) fertigstellen; ELSTER-Zertifikat; Antrag nach Gründung</w:t>
            </w:r>
          </w:p>
        </w:tc>
        <w:tc>
          <w:tcPr>
            <w:tcW w:type="dxa" w:w="2800"/>
            <w:shd w:fill="FFFFFF" w:val="clear"/>
            <w:tcMar>
              <w:top w:type="dxa" w:w="60"/>
              <w:left w:type="dxa" w:w="100"/>
              <w:bottom w:type="dxa" w:w="60"/>
              <w:right w:type="dxa" w:w="100"/>
            </w:tcMar>
          </w:tcPr>
          <w:p>
            <w:r>
              <w:rPr>
                <w:b w:val="false"/>
                <w:bCs w:val="false"/>
                <w:color w:val="000000"/>
                <w:sz w:val="19"/>
                <w:szCs w:val="19"/>
              </w:rPr>
              <w:t xml:space="preserve">BSFZ-Onlineportal; jederzeit, auch rückwirkend – trotzdem früh stellen</w:t>
            </w:r>
          </w:p>
        </w:tc>
      </w:tr>
      <w:tr>
        <w:tc>
          <w:tcPr>
            <w:tcW w:type="dxa" w:w="2300"/>
            <w:shd w:fill="F2F2F2" w:val="clear"/>
            <w:tcMar>
              <w:top w:type="dxa" w:w="60"/>
              <w:left w:type="dxa" w:w="100"/>
              <w:bottom w:type="dxa" w:w="60"/>
              <w:right w:type="dxa" w:w="100"/>
            </w:tcMar>
          </w:tcPr>
          <w:p>
            <w:r>
              <w:rPr>
                <w:b w:val="false"/>
                <w:bCs w:val="false"/>
                <w:color w:val="000000"/>
                <w:sz w:val="19"/>
                <w:szCs w:val="19"/>
              </w:rPr>
              <w:t xml:space="preserve">ZIM</w:t>
            </w:r>
          </w:p>
        </w:tc>
        <w:tc>
          <w:tcPr>
            <w:tcW w:type="dxa" w:w="4260"/>
            <w:shd w:fill="F2F2F2" w:val="clear"/>
            <w:tcMar>
              <w:top w:type="dxa" w:w="60"/>
              <w:left w:type="dxa" w:w="100"/>
              <w:bottom w:type="dxa" w:w="60"/>
              <w:right w:type="dxa" w:w="100"/>
            </w:tcMar>
          </w:tcPr>
          <w:p>
            <w:r>
              <w:rPr>
                <w:b w:val="false"/>
                <w:bCs w:val="false"/>
                <w:color w:val="000000"/>
                <w:sz w:val="19"/>
                <w:szCs w:val="19"/>
              </w:rPr>
              <w:t xml:space="preserve">Projektskizze aus 5.1 ableiten; Beratungsgespräch mit ZIM-Projektträger</w:t>
            </w:r>
          </w:p>
        </w:tc>
        <w:tc>
          <w:tcPr>
            <w:tcW w:type="dxa" w:w="2800"/>
            <w:shd w:fill="F2F2F2" w:val="clear"/>
            <w:tcMar>
              <w:top w:type="dxa" w:w="60"/>
              <w:left w:type="dxa" w:w="100"/>
              <w:bottom w:type="dxa" w:w="60"/>
              <w:right w:type="dxa" w:w="100"/>
            </w:tcMar>
          </w:tcPr>
          <w:p>
            <w:r>
              <w:rPr>
                <w:b w:val="false"/>
                <w:bCs w:val="false"/>
                <w:color w:val="000000"/>
                <w:sz w:val="19"/>
                <w:szCs w:val="19"/>
              </w:rPr>
              <w:t xml:space="preserve">zim.de → Projektträger; VOR Entwicklungsbeauftragung</w:t>
            </w:r>
          </w:p>
        </w:tc>
      </w:tr>
      <w:tr>
        <w:tc>
          <w:tcPr>
            <w:tcW w:type="dxa" w:w="2300"/>
            <w:shd w:fill="FFFFFF" w:val="clear"/>
            <w:tcMar>
              <w:top w:type="dxa" w:w="60"/>
              <w:left w:type="dxa" w:w="100"/>
              <w:bottom w:type="dxa" w:w="60"/>
              <w:right w:type="dxa" w:w="100"/>
            </w:tcMar>
          </w:tcPr>
          <w:p>
            <w:r>
              <w:rPr>
                <w:b w:val="false"/>
                <w:bCs w:val="false"/>
                <w:color w:val="000000"/>
                <w:sz w:val="19"/>
                <w:szCs w:val="19"/>
              </w:rPr>
              <w:t xml:space="preserve">KMU-innovativ / KI-Calls</w:t>
            </w:r>
          </w:p>
        </w:tc>
        <w:tc>
          <w:tcPr>
            <w:tcW w:type="dxa" w:w="4260"/>
            <w:shd w:fill="FFFFFF" w:val="clear"/>
            <w:tcMar>
              <w:top w:type="dxa" w:w="60"/>
              <w:left w:type="dxa" w:w="100"/>
              <w:bottom w:type="dxa" w:w="60"/>
              <w:right w:type="dxa" w:w="100"/>
            </w:tcMar>
          </w:tcPr>
          <w:p>
            <w:r>
              <w:rPr>
                <w:b w:val="false"/>
                <w:bCs w:val="false"/>
                <w:color w:val="000000"/>
                <w:sz w:val="19"/>
                <w:szCs w:val="19"/>
              </w:rPr>
              <w:t xml:space="preserve">Forschungspartner ansprechen (Hochschule, vgl. Beirat Kap. 8.4 Ideenpapier); Skizze zur nächsten Einreichungsrunde</w:t>
            </w:r>
          </w:p>
        </w:tc>
        <w:tc>
          <w:tcPr>
            <w:tcW w:type="dxa" w:w="2800"/>
            <w:shd w:fill="FFFFFF" w:val="clear"/>
            <w:tcMar>
              <w:top w:type="dxa" w:w="60"/>
              <w:left w:type="dxa" w:w="100"/>
              <w:bottom w:type="dxa" w:w="60"/>
              <w:right w:type="dxa" w:w="100"/>
            </w:tcMar>
          </w:tcPr>
          <w:p>
            <w:r>
              <w:rPr>
                <w:b w:val="false"/>
                <w:bCs w:val="false"/>
                <w:color w:val="000000"/>
                <w:sz w:val="19"/>
                <w:szCs w:val="19"/>
              </w:rPr>
              <w:t xml:space="preserve">foerderportal.bund.de; Stichtage beachten</w:t>
            </w:r>
          </w:p>
        </w:tc>
      </w:tr>
      <w:tr>
        <w:tc>
          <w:tcPr>
            <w:tcW w:type="dxa" w:w="2300"/>
            <w:shd w:fill="F2F2F2" w:val="clear"/>
            <w:tcMar>
              <w:top w:type="dxa" w:w="60"/>
              <w:left w:type="dxa" w:w="100"/>
              <w:bottom w:type="dxa" w:w="60"/>
              <w:right w:type="dxa" w:w="100"/>
            </w:tcMar>
          </w:tcPr>
          <w:p>
            <w:r>
              <w:rPr>
                <w:b w:val="false"/>
                <w:bCs w:val="false"/>
                <w:color w:val="000000"/>
                <w:sz w:val="19"/>
                <w:szCs w:val="19"/>
              </w:rPr>
              <w:t xml:space="preserve">KfW ERP-StartGeld</w:t>
            </w:r>
          </w:p>
        </w:tc>
        <w:tc>
          <w:tcPr>
            <w:tcW w:type="dxa" w:w="4260"/>
            <w:shd w:fill="F2F2F2" w:val="clear"/>
            <w:tcMar>
              <w:top w:type="dxa" w:w="60"/>
              <w:left w:type="dxa" w:w="100"/>
              <w:bottom w:type="dxa" w:w="60"/>
              <w:right w:type="dxa" w:w="100"/>
            </w:tcMar>
          </w:tcPr>
          <w:p>
            <w:r>
              <w:rPr>
                <w:b w:val="false"/>
                <w:bCs w:val="false"/>
                <w:color w:val="000000"/>
                <w:sz w:val="19"/>
                <w:szCs w:val="19"/>
              </w:rPr>
              <w:t xml:space="preserve">Hausbanktermin; Unterlagen nach 5.3</w:t>
            </w:r>
          </w:p>
        </w:tc>
        <w:tc>
          <w:tcPr>
            <w:tcW w:type="dxa" w:w="2800"/>
            <w:shd w:fill="F2F2F2" w:val="clear"/>
            <w:tcMar>
              <w:top w:type="dxa" w:w="60"/>
              <w:left w:type="dxa" w:w="100"/>
              <w:bottom w:type="dxa" w:w="60"/>
              <w:right w:type="dxa" w:w="100"/>
            </w:tcMar>
          </w:tcPr>
          <w:p>
            <w:r>
              <w:rPr>
                <w:b w:val="false"/>
                <w:bCs w:val="false"/>
                <w:color w:val="000000"/>
                <w:sz w:val="19"/>
                <w:szCs w:val="19"/>
              </w:rPr>
              <w:t xml:space="preserve">Über Hausbank; VOR Vorhabensbeginn</w:t>
            </w:r>
          </w:p>
        </w:tc>
      </w:tr>
      <w:tr>
        <w:tc>
          <w:tcPr>
            <w:tcW w:type="dxa" w:w="2300"/>
            <w:shd w:fill="FFFFFF" w:val="clear"/>
            <w:tcMar>
              <w:top w:type="dxa" w:w="60"/>
              <w:left w:type="dxa" w:w="100"/>
              <w:bottom w:type="dxa" w:w="60"/>
              <w:right w:type="dxa" w:w="100"/>
            </w:tcMar>
          </w:tcPr>
          <w:p>
            <w:r>
              <w:rPr>
                <w:b w:val="false"/>
                <w:bCs w:val="false"/>
                <w:color w:val="000000"/>
                <w:sz w:val="19"/>
                <w:szCs w:val="19"/>
              </w:rPr>
              <w:t xml:space="preserve">INVEST</w:t>
            </w:r>
          </w:p>
        </w:tc>
        <w:tc>
          <w:tcPr>
            <w:tcW w:type="dxa" w:w="4260"/>
            <w:shd w:fill="FFFFFF" w:val="clear"/>
            <w:tcMar>
              <w:top w:type="dxa" w:w="60"/>
              <w:left w:type="dxa" w:w="100"/>
              <w:bottom w:type="dxa" w:w="60"/>
              <w:right w:type="dxa" w:w="100"/>
            </w:tcMar>
          </w:tcPr>
          <w:p>
            <w:r>
              <w:rPr>
                <w:b w:val="false"/>
                <w:bCs w:val="false"/>
                <w:color w:val="000000"/>
                <w:sz w:val="19"/>
                <w:szCs w:val="19"/>
              </w:rPr>
              <w:t xml:space="preserve">Förderfähigkeitsbescheinigung beantragen (nach HR-Eintrag)</w:t>
            </w:r>
          </w:p>
        </w:tc>
        <w:tc>
          <w:tcPr>
            <w:tcW w:type="dxa" w:w="2800"/>
            <w:shd w:fill="FFFFFF" w:val="clear"/>
            <w:tcMar>
              <w:top w:type="dxa" w:w="60"/>
              <w:left w:type="dxa" w:w="100"/>
              <w:bottom w:type="dxa" w:w="60"/>
              <w:right w:type="dxa" w:w="100"/>
            </w:tcMar>
          </w:tcPr>
          <w:p>
            <w:r>
              <w:rPr>
                <w:b w:val="false"/>
                <w:bCs w:val="false"/>
                <w:color w:val="000000"/>
                <w:sz w:val="19"/>
                <w:szCs w:val="19"/>
              </w:rPr>
              <w:t xml:space="preserve">BAFA-Portal; vor der ersten Angel-Beteiligung</w:t>
            </w:r>
          </w:p>
        </w:tc>
      </w:tr>
      <w:tr>
        <w:tc>
          <w:tcPr>
            <w:tcW w:type="dxa" w:w="2300"/>
            <w:shd w:fill="F2F2F2" w:val="clear"/>
            <w:tcMar>
              <w:top w:type="dxa" w:w="60"/>
              <w:left w:type="dxa" w:w="100"/>
              <w:bottom w:type="dxa" w:w="60"/>
              <w:right w:type="dxa" w:w="100"/>
            </w:tcMar>
          </w:tcPr>
          <w:p>
            <w:r>
              <w:rPr>
                <w:b w:val="false"/>
                <w:bCs w:val="false"/>
                <w:color w:val="000000"/>
                <w:sz w:val="19"/>
                <w:szCs w:val="19"/>
              </w:rPr>
              <w:t xml:space="preserve">HTGF / DeepTech &amp; Climate Fonds</w:t>
            </w:r>
          </w:p>
        </w:tc>
        <w:tc>
          <w:tcPr>
            <w:tcW w:type="dxa" w:w="4260"/>
            <w:shd w:fill="F2F2F2" w:val="clear"/>
            <w:tcMar>
              <w:top w:type="dxa" w:w="60"/>
              <w:left w:type="dxa" w:w="100"/>
              <w:bottom w:type="dxa" w:w="60"/>
              <w:right w:type="dxa" w:w="100"/>
            </w:tcMar>
          </w:tcPr>
          <w:p>
            <w:r>
              <w:rPr>
                <w:b w:val="false"/>
                <w:bCs w:val="false"/>
                <w:color w:val="000000"/>
                <w:sz w:val="19"/>
                <w:szCs w:val="19"/>
              </w:rPr>
              <w:t xml:space="preserve">Pitch-Unterlagen (Investorendeck) einreichen, Erstgespräch</w:t>
            </w:r>
          </w:p>
        </w:tc>
        <w:tc>
          <w:tcPr>
            <w:tcW w:type="dxa" w:w="2800"/>
            <w:shd w:fill="F2F2F2" w:val="clear"/>
            <w:tcMar>
              <w:top w:type="dxa" w:w="60"/>
              <w:left w:type="dxa" w:w="100"/>
              <w:bottom w:type="dxa" w:w="60"/>
              <w:right w:type="dxa" w:w="100"/>
            </w:tcMar>
          </w:tcPr>
          <w:p>
            <w:r>
              <w:rPr>
                <w:b w:val="false"/>
                <w:bCs w:val="false"/>
                <w:color w:val="000000"/>
                <w:sz w:val="19"/>
                <w:szCs w:val="19"/>
              </w:rPr>
              <w:t xml:space="preserve">Direktansprache; parallel zur Runde</w:t>
            </w:r>
          </w:p>
        </w:tc>
      </w:tr>
      <w:tr>
        <w:tc>
          <w:tcPr>
            <w:tcW w:type="dxa" w:w="2300"/>
            <w:shd w:fill="FFFFFF" w:val="clear"/>
            <w:tcMar>
              <w:top w:type="dxa" w:w="60"/>
              <w:left w:type="dxa" w:w="100"/>
              <w:bottom w:type="dxa" w:w="60"/>
              <w:right w:type="dxa" w:w="100"/>
            </w:tcMar>
          </w:tcPr>
          <w:p>
            <w:r>
              <w:rPr>
                <w:b w:val="false"/>
                <w:bCs w:val="false"/>
                <w:color w:val="000000"/>
                <w:sz w:val="19"/>
                <w:szCs w:val="19"/>
              </w:rPr>
              <w:t xml:space="preserve">Mikromezzaninfonds</w:t>
            </w:r>
          </w:p>
        </w:tc>
        <w:tc>
          <w:tcPr>
            <w:tcW w:type="dxa" w:w="4260"/>
            <w:shd w:fill="FFFFFF" w:val="clear"/>
            <w:tcMar>
              <w:top w:type="dxa" w:w="60"/>
              <w:left w:type="dxa" w:w="100"/>
              <w:bottom w:type="dxa" w:w="60"/>
              <w:right w:type="dxa" w:w="100"/>
            </w:tcMar>
          </w:tcPr>
          <w:p>
            <w:r>
              <w:rPr>
                <w:b w:val="false"/>
                <w:bCs w:val="false"/>
                <w:color w:val="000000"/>
                <w:sz w:val="19"/>
                <w:szCs w:val="19"/>
              </w:rPr>
              <w:t xml:space="preserve">Antrag über die Mittelständische Beteiligungsgesellschaft des Landes</w:t>
            </w:r>
          </w:p>
        </w:tc>
        <w:tc>
          <w:tcPr>
            <w:tcW w:type="dxa" w:w="2800"/>
            <w:shd w:fill="FFFFFF" w:val="clear"/>
            <w:tcMar>
              <w:top w:type="dxa" w:w="60"/>
              <w:left w:type="dxa" w:w="100"/>
              <w:bottom w:type="dxa" w:w="60"/>
              <w:right w:type="dxa" w:w="100"/>
            </w:tcMar>
          </w:tcPr>
          <w:p>
            <w:r>
              <w:rPr>
                <w:b w:val="false"/>
                <w:bCs w:val="false"/>
                <w:color w:val="000000"/>
                <w:sz w:val="19"/>
                <w:szCs w:val="19"/>
              </w:rPr>
              <w:t xml:space="preserve">Nach Gründung; schnelles Verfahren</w:t>
            </w:r>
          </w:p>
        </w:tc>
      </w:tr>
      <w:tr>
        <w:tc>
          <w:tcPr>
            <w:tcW w:type="dxa" w:w="2300"/>
            <w:shd w:fill="F2F2F2" w:val="clear"/>
            <w:tcMar>
              <w:top w:type="dxa" w:w="60"/>
              <w:left w:type="dxa" w:w="100"/>
              <w:bottom w:type="dxa" w:w="60"/>
              <w:right w:type="dxa" w:w="100"/>
            </w:tcMar>
          </w:tcPr>
          <w:p>
            <w:r>
              <w:rPr>
                <w:b w:val="false"/>
                <w:bCs w:val="false"/>
                <w:color w:val="000000"/>
                <w:sz w:val="19"/>
                <w:szCs w:val="19"/>
              </w:rPr>
              <w:t xml:space="preserve">Landesprogramme</w:t>
            </w:r>
          </w:p>
        </w:tc>
        <w:tc>
          <w:tcPr>
            <w:tcW w:type="dxa" w:w="4260"/>
            <w:shd w:fill="F2F2F2" w:val="clear"/>
            <w:tcMar>
              <w:top w:type="dxa" w:w="60"/>
              <w:left w:type="dxa" w:w="100"/>
              <w:bottom w:type="dxa" w:w="60"/>
              <w:right w:type="dxa" w:w="100"/>
            </w:tcMar>
          </w:tcPr>
          <w:p>
            <w:r>
              <w:rPr>
                <w:b w:val="false"/>
                <w:bCs w:val="false"/>
                <w:color w:val="000000"/>
                <w:sz w:val="19"/>
                <w:szCs w:val="19"/>
              </w:rPr>
              <w:t xml:space="preserve">Standortvergleich (Sofortmaßnahme 4), dann je Programm Antrag</w:t>
            </w:r>
          </w:p>
        </w:tc>
        <w:tc>
          <w:tcPr>
            <w:tcW w:type="dxa" w:w="2800"/>
            <w:shd w:fill="F2F2F2" w:val="clear"/>
            <w:tcMar>
              <w:top w:type="dxa" w:w="60"/>
              <w:left w:type="dxa" w:w="100"/>
              <w:bottom w:type="dxa" w:w="60"/>
              <w:right w:type="dxa" w:w="100"/>
            </w:tcMar>
          </w:tcPr>
          <w:p>
            <w:r>
              <w:rPr>
                <w:b w:val="false"/>
                <w:bCs w:val="false"/>
                <w:color w:val="000000"/>
                <w:sz w:val="19"/>
                <w:szCs w:val="19"/>
              </w:rPr>
              <w:t xml:space="preserve">Landesförderbank; meist VOR Beginn</w:t>
            </w:r>
          </w:p>
        </w:tc>
      </w:tr>
      <w:tr>
        <w:tc>
          <w:tcPr>
            <w:tcW w:type="dxa" w:w="2300"/>
            <w:shd w:fill="FFFFFF" w:val="clear"/>
            <w:tcMar>
              <w:top w:type="dxa" w:w="60"/>
              <w:left w:type="dxa" w:w="100"/>
              <w:bottom w:type="dxa" w:w="60"/>
              <w:right w:type="dxa" w:w="100"/>
            </w:tcMar>
          </w:tcPr>
          <w:p>
            <w:r>
              <w:rPr>
                <w:b w:val="false"/>
                <w:bCs w:val="false"/>
                <w:color w:val="000000"/>
                <w:sz w:val="19"/>
                <w:szCs w:val="19"/>
              </w:rPr>
              <w:t xml:space="preserve">EIC Accelerator</w:t>
            </w:r>
          </w:p>
        </w:tc>
        <w:tc>
          <w:tcPr>
            <w:tcW w:type="dxa" w:w="4260"/>
            <w:shd w:fill="FFFFFF" w:val="clear"/>
            <w:tcMar>
              <w:top w:type="dxa" w:w="60"/>
              <w:left w:type="dxa" w:w="100"/>
              <w:bottom w:type="dxa" w:w="60"/>
              <w:right w:type="dxa" w:w="100"/>
            </w:tcMar>
          </w:tcPr>
          <w:p>
            <w:r>
              <w:rPr>
                <w:b w:val="false"/>
                <w:bCs w:val="false"/>
                <w:color w:val="000000"/>
                <w:sz w:val="19"/>
                <w:szCs w:val="19"/>
              </w:rPr>
              <w:t xml:space="preserve">Noch NICHT einreichen – erst Traktion aus Stufe 1; jetzt nur: Kurz-Pitch (5.6) ablegen, Accelerator-Beratung der NKS nutzen</w:t>
            </w:r>
          </w:p>
        </w:tc>
        <w:tc>
          <w:tcPr>
            <w:tcW w:type="dxa" w:w="2800"/>
            <w:shd w:fill="FFFFFF" w:val="clear"/>
            <w:tcMar>
              <w:top w:type="dxa" w:w="60"/>
              <w:left w:type="dxa" w:w="100"/>
              <w:bottom w:type="dxa" w:w="60"/>
              <w:right w:type="dxa" w:w="100"/>
            </w:tcMar>
          </w:tcPr>
          <w:p>
            <w:r>
              <w:rPr>
                <w:b w:val="false"/>
                <w:bCs w:val="false"/>
                <w:color w:val="000000"/>
                <w:sz w:val="19"/>
                <w:szCs w:val="19"/>
              </w:rPr>
              <w:t xml:space="preserve">EU Funding &amp; Tenders Portal; Ziel: Jahr 2</w:t>
            </w:r>
          </w:p>
        </w:tc>
      </w:tr>
      <w:tr>
        <w:tc>
          <w:tcPr>
            <w:tcW w:type="dxa" w:w="2300"/>
            <w:shd w:fill="F2F2F2" w:val="clear"/>
            <w:tcMar>
              <w:top w:type="dxa" w:w="60"/>
              <w:left w:type="dxa" w:w="100"/>
              <w:bottom w:type="dxa" w:w="60"/>
              <w:right w:type="dxa" w:w="100"/>
            </w:tcMar>
          </w:tcPr>
          <w:p>
            <w:r>
              <w:rPr>
                <w:b w:val="false"/>
                <w:bCs w:val="false"/>
                <w:color w:val="000000"/>
                <w:sz w:val="19"/>
                <w:szCs w:val="19"/>
              </w:rPr>
              <w:t xml:space="preserve">GenAI4EU / Digital Europe</w:t>
            </w:r>
          </w:p>
        </w:tc>
        <w:tc>
          <w:tcPr>
            <w:tcW w:type="dxa" w:w="4260"/>
            <w:shd w:fill="F2F2F2" w:val="clear"/>
            <w:tcMar>
              <w:top w:type="dxa" w:w="60"/>
              <w:left w:type="dxa" w:w="100"/>
              <w:bottom w:type="dxa" w:w="60"/>
              <w:right w:type="dxa" w:w="100"/>
            </w:tcMar>
          </w:tcPr>
          <w:p>
            <w:r>
              <w:rPr>
                <w:b w:val="false"/>
                <w:bCs w:val="false"/>
                <w:color w:val="000000"/>
                <w:sz w:val="19"/>
                <w:szCs w:val="19"/>
              </w:rPr>
              <w:t xml:space="preserve">Call-Monitoring aktivieren; Konsortialpartner (Kostenträger, Hochschule) sondieren</w:t>
            </w:r>
          </w:p>
        </w:tc>
        <w:tc>
          <w:tcPr>
            <w:tcW w:type="dxa" w:w="2800"/>
            <w:shd w:fill="F2F2F2" w:val="clear"/>
            <w:tcMar>
              <w:top w:type="dxa" w:w="60"/>
              <w:left w:type="dxa" w:w="100"/>
              <w:bottom w:type="dxa" w:w="60"/>
              <w:right w:type="dxa" w:w="100"/>
            </w:tcMar>
          </w:tcPr>
          <w:p>
            <w:r>
              <w:rPr>
                <w:b w:val="false"/>
                <w:bCs w:val="false"/>
                <w:color w:val="000000"/>
                <w:sz w:val="19"/>
                <w:szCs w:val="19"/>
              </w:rPr>
              <w:t xml:space="preserve">EU-Portal; Calls laufend</w:t>
            </w:r>
          </w:p>
        </w:tc>
      </w:tr>
      <w:tr>
        <w:tc>
          <w:tcPr>
            <w:tcW w:type="dxa" w:w="2300"/>
            <w:shd w:fill="FFFFFF" w:val="clear"/>
            <w:tcMar>
              <w:top w:type="dxa" w:w="60"/>
              <w:left w:type="dxa" w:w="100"/>
              <w:bottom w:type="dxa" w:w="60"/>
              <w:right w:type="dxa" w:w="100"/>
            </w:tcMar>
          </w:tcPr>
          <w:p>
            <w:r>
              <w:rPr>
                <w:b w:val="false"/>
                <w:bCs w:val="false"/>
                <w:color w:val="000000"/>
                <w:sz w:val="19"/>
                <w:szCs w:val="19"/>
              </w:rPr>
              <w:t xml:space="preserve">Eurostars</w:t>
            </w:r>
          </w:p>
        </w:tc>
        <w:tc>
          <w:tcPr>
            <w:tcW w:type="dxa" w:w="4260"/>
            <w:shd w:fill="FFFFFF" w:val="clear"/>
            <w:tcMar>
              <w:top w:type="dxa" w:w="60"/>
              <w:left w:type="dxa" w:w="100"/>
              <w:bottom w:type="dxa" w:w="60"/>
              <w:right w:type="dxa" w:w="100"/>
            </w:tcMar>
          </w:tcPr>
          <w:p>
            <w:r>
              <w:rPr>
                <w:b w:val="false"/>
                <w:bCs w:val="false"/>
                <w:color w:val="000000"/>
                <w:sz w:val="19"/>
                <w:szCs w:val="19"/>
              </w:rPr>
              <w:t xml:space="preserve">Philippinischen/singapurischen Partner identifizieren (Campus-Partner)</w:t>
            </w:r>
          </w:p>
        </w:tc>
        <w:tc>
          <w:tcPr>
            <w:tcW w:type="dxa" w:w="2800"/>
            <w:shd w:fill="FFFFFF" w:val="clear"/>
            <w:tcMar>
              <w:top w:type="dxa" w:w="60"/>
              <w:left w:type="dxa" w:w="100"/>
              <w:bottom w:type="dxa" w:w="60"/>
              <w:right w:type="dxa" w:w="100"/>
            </w:tcMar>
          </w:tcPr>
          <w:p>
            <w:r>
              <w:rPr>
                <w:b w:val="false"/>
                <w:bCs w:val="false"/>
                <w:color w:val="000000"/>
                <w:sz w:val="19"/>
                <w:szCs w:val="19"/>
              </w:rPr>
              <w:t xml:space="preserve">eurekanetwork.org; Cut-offs ca. 2×/Jahr</w:t>
            </w:r>
          </w:p>
        </w:tc>
      </w:tr>
      <w:tr>
        <w:tc>
          <w:tcPr>
            <w:tcW w:type="dxa" w:w="2300"/>
            <w:shd w:fill="F2F2F2" w:val="clear"/>
            <w:tcMar>
              <w:top w:type="dxa" w:w="60"/>
              <w:left w:type="dxa" w:w="100"/>
              <w:bottom w:type="dxa" w:w="60"/>
              <w:right w:type="dxa" w:w="100"/>
            </w:tcMar>
          </w:tcPr>
          <w:p>
            <w:r>
              <w:rPr>
                <w:b w:val="false"/>
                <w:bCs w:val="false"/>
                <w:color w:val="000000"/>
                <w:sz w:val="19"/>
                <w:szCs w:val="19"/>
              </w:rPr>
              <w:t xml:space="preserve">BAFA-Beratungsförderung</w:t>
            </w:r>
          </w:p>
        </w:tc>
        <w:tc>
          <w:tcPr>
            <w:tcW w:type="dxa" w:w="4260"/>
            <w:shd w:fill="F2F2F2" w:val="clear"/>
            <w:tcMar>
              <w:top w:type="dxa" w:w="60"/>
              <w:left w:type="dxa" w:w="100"/>
              <w:bottom w:type="dxa" w:w="60"/>
              <w:right w:type="dxa" w:w="100"/>
            </w:tcMar>
          </w:tcPr>
          <w:p>
            <w:r>
              <w:rPr>
                <w:b w:val="false"/>
                <w:bCs w:val="false"/>
                <w:color w:val="000000"/>
                <w:sz w:val="19"/>
                <w:szCs w:val="19"/>
              </w:rPr>
              <w:t xml:space="preserve">Beratungsanbieter wählen, Antrag VOR Beratungsbeginn</w:t>
            </w:r>
          </w:p>
        </w:tc>
        <w:tc>
          <w:tcPr>
            <w:tcW w:type="dxa" w:w="2800"/>
            <w:shd w:fill="F2F2F2" w:val="clear"/>
            <w:tcMar>
              <w:top w:type="dxa" w:w="60"/>
              <w:left w:type="dxa" w:w="100"/>
              <w:bottom w:type="dxa" w:w="60"/>
              <w:right w:type="dxa" w:w="100"/>
            </w:tcMar>
          </w:tcPr>
          <w:p>
            <w:r>
              <w:rPr>
                <w:b w:val="false"/>
                <w:bCs w:val="false"/>
                <w:color w:val="000000"/>
                <w:sz w:val="19"/>
                <w:szCs w:val="19"/>
              </w:rPr>
              <w:t xml:space="preserve">BAFA-Portal; sofort möglich</w:t>
            </w:r>
          </w:p>
        </w:tc>
      </w:tr>
    </w:tbl>
    <w:p>
      <w:pPr>
        <w:spacing w:after="120"/>
      </w:pPr>
    </w:p>
    <w:p>
      <w:pPr>
        <w:pStyle w:val="Heading1"/>
        <w:spacing w:after="140" w:before="320"/>
      </w:pPr>
      <w:r>
        <w:rPr>
          <w:color w:val="1F4E5F"/>
        </w:rPr>
        <w:t xml:space="preserve">4. Was die Anträge durchgängig brauchen (einmal erstellen, überall verwenden)</w:t>
      </w:r>
    </w:p>
    <w:p>
      <w:pPr>
        <w:pStyle w:val="ListParagraph"/>
        <w:numPr>
          <w:ilvl w:val="0"/>
          <w:numId w:val="3"/>
        </w:numPr>
        <w:spacing w:after="60" w:line="264"/>
        <w:jc w:val="both"/>
      </w:pPr>
      <w:r>
        <w:rPr>
          <w:b/>
          <w:bCs/>
        </w:rPr>
        <w:t xml:space="preserve">Businessplan: </w:t>
      </w:r>
      <w:r>
        <w:t xml:space="preserve">liegt vor – das Ideenpapier V260721.</w:t>
      </w:r>
    </w:p>
    <w:p>
      <w:pPr>
        <w:pStyle w:val="ListParagraph"/>
        <w:numPr>
          <w:ilvl w:val="0"/>
          <w:numId w:val="3"/>
        </w:numPr>
        <w:spacing w:after="60" w:line="264"/>
        <w:jc w:val="both"/>
      </w:pPr>
      <w:r>
        <w:rPr>
          <w:b/>
          <w:bCs/>
        </w:rPr>
        <w:t xml:space="preserve">Technisches Konzept: </w:t>
      </w:r>
      <w:r>
        <w:t xml:space="preserve">liegt vor – das Lastenheft KAȲȲA OS V260721.</w:t>
      </w:r>
    </w:p>
    <w:p>
      <w:pPr>
        <w:pStyle w:val="ListParagraph"/>
        <w:numPr>
          <w:ilvl w:val="0"/>
          <w:numId w:val="3"/>
        </w:numPr>
        <w:spacing w:after="60" w:line="264"/>
        <w:jc w:val="both"/>
      </w:pPr>
      <w:r>
        <w:rPr>
          <w:b/>
          <w:bCs/>
        </w:rPr>
        <w:t xml:space="preserve">Finanz-/Kapitalbedarfsplan: </w:t>
      </w:r>
      <w:r>
        <w:t xml:space="preserve">Kapitel 5.3 dieses Dokuments (aus Ideenpapier Kap. 10/10.1).</w:t>
      </w:r>
    </w:p>
    <w:p>
      <w:pPr>
        <w:pStyle w:val="ListParagraph"/>
        <w:numPr>
          <w:ilvl w:val="0"/>
          <w:numId w:val="3"/>
        </w:numPr>
        <w:spacing w:after="60" w:line="264"/>
        <w:jc w:val="both"/>
      </w:pPr>
      <w:r>
        <w:rPr>
          <w:b/>
          <w:bCs/>
        </w:rPr>
        <w:t xml:space="preserve">Lebensläufe der Gründer: </w:t>
      </w:r>
      <w:r>
        <w:t xml:space="preserve">zu erstellen – tabellarisch, mit Fokus auf kaufmännische/fachliche Eignung (eine Seite je Person; auf Wunsch entwerfe ich sie).</w:t>
      </w:r>
    </w:p>
    <w:p>
      <w:pPr>
        <w:pStyle w:val="ListParagraph"/>
        <w:numPr>
          <w:ilvl w:val="0"/>
          <w:numId w:val="3"/>
        </w:numPr>
        <w:spacing w:after="60" w:line="264"/>
        <w:jc w:val="both"/>
      </w:pPr>
      <w:r>
        <w:rPr>
          <w:b/>
          <w:bCs/>
        </w:rPr>
        <w:t xml:space="preserve">Gesellschaftsvertrag + HR-Auszug der Tochter: </w:t>
      </w:r>
      <w:r>
        <w:t xml:space="preserve">entsteht mit Sofortmaßnahme 1.</w:t>
      </w:r>
    </w:p>
    <w:p>
      <w:pPr>
        <w:pStyle w:val="ListParagraph"/>
        <w:numPr>
          <w:ilvl w:val="0"/>
          <w:numId w:val="3"/>
        </w:numPr>
        <w:spacing w:after="60" w:line="264"/>
        <w:jc w:val="both"/>
      </w:pPr>
      <w:r>
        <w:rPr>
          <w:b/>
          <w:bCs/>
        </w:rPr>
        <w:t xml:space="preserve">De-minimis-Erklärung: </w:t>
      </w:r>
      <w:r>
        <w:t xml:space="preserve">Vorlage in Kapitel 5.5.</w:t>
      </w:r>
    </w:p>
    <w:p>
      <w:pPr>
        <w:pStyle w:val="Heading1"/>
        <w:spacing w:after="140" w:before="320"/>
      </w:pPr>
      <w:r>
        <w:rPr>
          <w:color w:val="1F4E5F"/>
        </w:rPr>
        <w:t xml:space="preserve">5. Vorausgefüllte Antrags-Bausteine (zum Einfügen in die Portale)</w:t>
      </w:r>
    </w:p>
    <w:p>
      <w:pPr>
        <w:spacing w:after="120" w:line="276"/>
        <w:jc w:val="both"/>
      </w:pPr>
      <w:r>
        <w:t xml:space="preserve">Hinweis: Die offiziellen Anträge sind Online-Formulare der jeweiligen Stellen und können nicht als Papierformular vorbefüllt werden. Die folgenden Bausteine sind die inhaltlich entscheidenden Freitextfelder – vorformuliert aus Ideenpapier und Lastenheft, mit [PLATZHALTERN] für Daten, die erst mit der Gründung entstehen. Vor Absendung: Platzhalter füllen, Fördermittelberatung gegenlesen lassen.</w:t>
      </w:r>
    </w:p>
    <w:p>
      <w:pPr>
        <w:pStyle w:val="Heading2"/>
        <w:spacing w:after="100" w:before="240"/>
      </w:pPr>
      <w:r>
        <w:rPr>
          <w:color w:val="1F4E5F"/>
        </w:rPr>
        <w:t xml:space="preserve">5.1 F&amp;E-Vorhabensbeschreibung (Forschungszulage/BSFZ und ZIM-Skizze)</w:t>
      </w:r>
    </w:p>
    <w:p>
      <w:pPr>
        <w:pBdr>
          <w:left w:val="single" w:color="1F4E5F" w:sz="12"/>
        </w:pBdr>
        <w:shd w:fill="F2F6F8" w:val="clear"/>
        <w:spacing w:after="120" w:line="264"/>
        <w:ind w:left="200"/>
        <w:jc w:val="both"/>
      </w:pPr>
      <w:r>
        <w:rPr>
          <w:i/>
          <w:iCs/>
        </w:rPr>
        <w:t xml:space="preserve">Vorhabentitel: KAȲȲA OS – KI-gestützte Verwaltungs- und Transparenzplattform für Träger arbeitsmarktpolitischer Leistungen. Antragsteller: [FIRMA Tochter-GmbH], HRB [___], Ansprechpartner [___]. Laufzeit: [MM/JJJJ]–[MM/JJJJ], geplantes F&amp;E-Volumen Stufe 1: [350–550] T€, davon Personalkosten [___] T€.</w:t>
      </w:r>
    </w:p>
    <w:p>
      <w:pPr>
        <w:pBdr>
          <w:left w:val="single" w:color="1F4E5F" w:sz="12"/>
        </w:pBdr>
        <w:shd w:fill="F2F6F8" w:val="clear"/>
        <w:spacing w:after="120" w:line="264"/>
        <w:ind w:left="200"/>
        <w:jc w:val="both"/>
      </w:pPr>
      <w:r>
        <w:rPr>
          <w:i/>
          <w:iCs/>
        </w:rPr>
        <w:t xml:space="preserve">Ausgangslage und Ziel: Träger arbeitsmarktpolitischer Maßnahmen verwalten öffentliche Mittel von über 45 Mrd. € p. a. mit überwiegend manuellen, papiergebundenen Prozessen; Wirkung und Mittelverwendung sind für Kostenträger nicht in Echtzeit prüfbar. Ziel des Vorhabens ist eine neuartige, mandantenfähige Plattform, die (1) den vollständigen Maßnahmen-Lebenszyklus als ein Datenobjekt mit revisionssicherem Ereignisprotokoll abbildet, (2) eine KI-Verwaltungsschicht mit Mensch-in-der-Schleife-Freigaben für Korrespondenz, Kontierung und Berichtswesen bereitstellt und (3) Kostenträgern erstmals eine Echtzeit-Prüfschnittstelle bis auf Einzelbelegebene öffnet.</w:t>
      </w:r>
    </w:p>
    <w:p>
      <w:pPr>
        <w:pBdr>
          <w:left w:val="single" w:color="1F4E5F" w:sz="12"/>
        </w:pBdr>
        <w:shd w:fill="F2F6F8" w:val="clear"/>
        <w:spacing w:after="120" w:line="264"/>
        <w:ind w:left="200"/>
        <w:jc w:val="both"/>
      </w:pPr>
      <w:r>
        <w:rPr>
          <w:i/>
          <w:iCs/>
        </w:rPr>
        <w:t xml:space="preserve">Technische Risiken und Neuheit (entscheidend für die Bewilligung): Risiko 1 – verlässliche KI-Klassifikation und -Entwurfserstellung auf heterogenen Behördendokumenten (Bescheide, Vergabeunterlagen) mit nachweisbarer Fehlerquote unter definierten Schwellen; ungelöst ist die Kombination aus Datenschutzanforderungen (Art. 9 DSGVO, §§ 67 ff. SGB X) und Modellgüte, gelöst werden soll sie durch ein neuartiges Datenklassen-Routing zwischen self-hosted Modellen und externer Inferenz. Risiko 2 – revisionssichere, manipulationsevidente Ereignisketten (Append-only, kryptografisch verkettet) bei gleichzeitiger DSGVO-Löschpflicht: Konflikt zwischen Unveränderlichkeit und Löschung erfordert neue Verfahren (Krypto-Shredding je Datensubjekt). Risiko 3 – Lernschleife im eigenen Ökosystem: Übertragung menschlicher Korrektursignale in messbare Qualitätssteigerung der KI-Entwürfe ohne externes Modelltraining. Für keines dieser Probleme existiert eine marktverfügbare Standardlösung; die Entwicklung geht über den Stand der Technik der verfügbaren Branchensoftware (reine Dokumentationssysteme ohne KI-Prozessschicht) hinaus.</w:t>
      </w:r>
    </w:p>
    <w:p>
      <w:pPr>
        <w:pBdr>
          <w:left w:val="single" w:color="1F4E5F" w:sz="12"/>
        </w:pBdr>
        <w:shd w:fill="F2F6F8" w:val="clear"/>
        <w:spacing w:after="120" w:line="264"/>
        <w:ind w:left="200"/>
        <w:jc w:val="both"/>
      </w:pPr>
      <w:r>
        <w:rPr>
          <w:i/>
          <w:iCs/>
        </w:rPr>
        <w:t xml:space="preserve">Arbeitspakete (aus dem Lastenheft, Stufe 1): AP1 Datenmodell und revisionssicheres Ereignisprotokoll [__ PM]; AP2 Teilnehmerakte und Anwesenheitserfassung inkl. eM@w-Anbindung [__ PM]; AP3 Finanzkern mit verursachungsgerechter Kostenallokation [__ PM]; AP4 KI-Verwaltungsschicht (Klassifikation, Entwurfsgenerierung, Freigabe-Workflows, Lernschleife) [__ PM]; AP5 Kostenträger-Prüfschnittstelle und Berichtsautomatik [__ PM]; AP6 Evaluation, Datenschutz-Folgenabschätzung, Sicherheits- und Lasttests [__ PM].</w:t>
      </w:r>
    </w:p>
    <w:p>
      <w:pPr>
        <w:pStyle w:val="Heading2"/>
        <w:spacing w:after="100" w:before="240"/>
      </w:pPr>
      <w:r>
        <w:rPr>
          <w:color w:val="1F4E5F"/>
        </w:rPr>
        <w:t xml:space="preserve">5.2 Unternehmens-Kurzdarstellung (für alle Anträge)</w:t>
      </w:r>
    </w:p>
    <w:p>
      <w:pPr>
        <w:pBdr>
          <w:left w:val="single" w:color="1F4E5F" w:sz="12"/>
        </w:pBdr>
        <w:shd w:fill="F2F6F8" w:val="clear"/>
        <w:spacing w:after="120" w:line="264"/>
        <w:ind w:left="200"/>
        <w:jc w:val="both"/>
      </w:pPr>
      <w:r>
        <w:rPr>
          <w:i/>
          <w:iCs/>
        </w:rPr>
        <w:t xml:space="preserve">[FIRMA] ist ein [JJJJ] gegründetes Technologieunternehmen mit Sitz in [ORT]. Das Unternehmen entwickelt KAȲȲA OS, eine KI-gestützte Verwaltungs- und Transparenzplattform für Träger arbeitsmarktpolitischer und rehabilitativer Leistungen, und ist Teil eines Verbunds mit einer gemeinnützigen Trägergesellschaft [in Gründung]. Gründer sind [NAME 1, Kurzprofil 1 Satz] und [NAME 2, Kurzprofil 1 Satz]. Das Geschäftsmodell kombiniert den Eigenbetrieb der Plattform im Trägerverbund mit internationaler Fachkräftevermittlung und perspektivischer Lizenzierung an Dritte; Marktvolumen des adressierten Sektors: über 45 Mrd. € öffentliche Mittel p. a. Mitarbeiter: [___]. Umsatz Vorjahr: [–, Neugründung].</w:t>
      </w:r>
    </w:p>
    <w:p>
      <w:pPr>
        <w:pStyle w:val="Heading2"/>
        <w:spacing w:after="100" w:before="240"/>
      </w:pPr>
      <w:r>
        <w:rPr>
          <w:color w:val="1F4E5F"/>
        </w:rPr>
        <w:t xml:space="preserve">5.3 Kapitalbedarfs- und Finanzierungsplan (KfW-/Bankgespräch)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300"/>
        <w:gridCol w:w="4460"/>
      </w:tblGrid>
      <w:tr>
        <w:tc>
          <w:tcPr>
            <w:tcW w:type="dxa" w:w="3600"/>
            <w:shd w:fill="1F4E5F" w:val="clear"/>
            <w:tcMar>
              <w:top w:type="dxa" w:w="60"/>
              <w:left w:type="dxa" w:w="100"/>
              <w:bottom w:type="dxa" w:w="60"/>
              <w:right w:type="dxa" w:w="100"/>
            </w:tcMar>
          </w:tcPr>
          <w:p>
            <w:r>
              <w:rPr>
                <w:b/>
                <w:bCs/>
                <w:color w:val="FFFFFF"/>
                <w:sz w:val="19"/>
                <w:szCs w:val="19"/>
              </w:rPr>
              <w:t xml:space="preserve">Mittelverwendung</w:t>
            </w:r>
          </w:p>
        </w:tc>
        <w:tc>
          <w:tcPr>
            <w:tcW w:type="dxa" w:w="1300"/>
            <w:shd w:fill="1F4E5F" w:val="clear"/>
            <w:tcMar>
              <w:top w:type="dxa" w:w="60"/>
              <w:left w:type="dxa" w:w="100"/>
              <w:bottom w:type="dxa" w:w="60"/>
              <w:right w:type="dxa" w:w="100"/>
            </w:tcMar>
          </w:tcPr>
          <w:p>
            <w:r>
              <w:rPr>
                <w:b/>
                <w:bCs/>
                <w:color w:val="FFFFFF"/>
                <w:sz w:val="19"/>
                <w:szCs w:val="19"/>
              </w:rPr>
              <w:t xml:space="preserve">Betrag</w:t>
            </w:r>
          </w:p>
        </w:tc>
        <w:tc>
          <w:tcPr>
            <w:tcW w:type="dxa" w:w="4460"/>
            <w:shd w:fill="1F4E5F" w:val="clear"/>
            <w:tcMar>
              <w:top w:type="dxa" w:w="60"/>
              <w:left w:type="dxa" w:w="100"/>
              <w:bottom w:type="dxa" w:w="60"/>
              <w:right w:type="dxa" w:w="100"/>
            </w:tcMar>
          </w:tcPr>
          <w:p>
            <w:r>
              <w:rPr>
                <w:b/>
                <w:bCs/>
                <w:color w:val="FFFFFF"/>
                <w:sz w:val="19"/>
                <w:szCs w:val="19"/>
              </w:rPr>
              <w:t xml:space="preserve">Finanzierung</w:t>
            </w:r>
          </w:p>
        </w:tc>
      </w:tr>
      <w:tr>
        <w:tc>
          <w:tcPr>
            <w:tcW w:type="dxa" w:w="3600"/>
            <w:shd w:fill="FFFFFF" w:val="clear"/>
            <w:tcMar>
              <w:top w:type="dxa" w:w="60"/>
              <w:left w:type="dxa" w:w="100"/>
              <w:bottom w:type="dxa" w:w="60"/>
              <w:right w:type="dxa" w:w="100"/>
            </w:tcMar>
          </w:tcPr>
          <w:p>
            <w:r>
              <w:rPr>
                <w:b w:val="false"/>
                <w:bCs w:val="false"/>
                <w:color w:val="000000"/>
                <w:sz w:val="19"/>
                <w:szCs w:val="19"/>
              </w:rPr>
              <w:t xml:space="preserve">Gründungskosten, Zulassungen (AZAV), Standort, Team</w:t>
            </w:r>
          </w:p>
        </w:tc>
        <w:tc>
          <w:tcPr>
            <w:tcW w:type="dxa" w:w="1300"/>
            <w:shd w:fill="FFFFFF" w:val="clear"/>
            <w:tcMar>
              <w:top w:type="dxa" w:w="60"/>
              <w:left w:type="dxa" w:w="100"/>
              <w:bottom w:type="dxa" w:w="60"/>
              <w:right w:type="dxa" w:w="100"/>
            </w:tcMar>
          </w:tcPr>
          <w:p>
            <w:r>
              <w:rPr>
                <w:b w:val="false"/>
                <w:bCs w:val="false"/>
                <w:color w:val="000000"/>
                <w:sz w:val="19"/>
                <w:szCs w:val="19"/>
              </w:rPr>
              <w:t xml:space="preserve">400 T€</w:t>
            </w:r>
          </w:p>
        </w:tc>
        <w:tc>
          <w:tcPr>
            <w:tcW w:type="dxa" w:w="4460"/>
            <w:shd w:fill="FFFFFF" w:val="clear"/>
            <w:tcMar>
              <w:top w:type="dxa" w:w="60"/>
              <w:left w:type="dxa" w:w="100"/>
              <w:bottom w:type="dxa" w:w="60"/>
              <w:right w:type="dxa" w:w="100"/>
            </w:tcMar>
          </w:tcPr>
          <w:p>
            <w:r>
              <w:rPr>
                <w:b w:val="false"/>
                <w:bCs w:val="false"/>
                <w:color w:val="000000"/>
                <w:sz w:val="19"/>
                <w:szCs w:val="19"/>
              </w:rPr>
              <w:t xml:space="preserve">Eigenmittel [___] T€ · Gesellschafterdarlehen [___] T€</w:t>
            </w:r>
          </w:p>
        </w:tc>
      </w:tr>
      <w:tr>
        <w:tc>
          <w:tcPr>
            <w:tcW w:type="dxa" w:w="3600"/>
            <w:shd w:fill="F2F2F2" w:val="clear"/>
            <w:tcMar>
              <w:top w:type="dxa" w:w="60"/>
              <w:left w:type="dxa" w:w="100"/>
              <w:bottom w:type="dxa" w:w="60"/>
              <w:right w:type="dxa" w:w="100"/>
            </w:tcMar>
          </w:tcPr>
          <w:p>
            <w:r>
              <w:rPr>
                <w:b w:val="false"/>
                <w:bCs w:val="false"/>
                <w:color w:val="000000"/>
                <w:sz w:val="19"/>
                <w:szCs w:val="19"/>
              </w:rPr>
              <w:t xml:space="preserve">KAȲȲA OS Stufe 1 (MVP, gem. Lastenheft)</w:t>
            </w:r>
          </w:p>
        </w:tc>
        <w:tc>
          <w:tcPr>
            <w:tcW w:type="dxa" w:w="1300"/>
            <w:shd w:fill="F2F2F2" w:val="clear"/>
            <w:tcMar>
              <w:top w:type="dxa" w:w="60"/>
              <w:left w:type="dxa" w:w="100"/>
              <w:bottom w:type="dxa" w:w="60"/>
              <w:right w:type="dxa" w:w="100"/>
            </w:tcMar>
          </w:tcPr>
          <w:p>
            <w:r>
              <w:rPr>
                <w:b w:val="false"/>
                <w:bCs w:val="false"/>
                <w:color w:val="000000"/>
                <w:sz w:val="19"/>
                <w:szCs w:val="19"/>
              </w:rPr>
              <w:t xml:space="preserve">550 T€</w:t>
            </w:r>
          </w:p>
        </w:tc>
        <w:tc>
          <w:tcPr>
            <w:tcW w:type="dxa" w:w="4460"/>
            <w:shd w:fill="F2F2F2" w:val="clear"/>
            <w:tcMar>
              <w:top w:type="dxa" w:w="60"/>
              <w:left w:type="dxa" w:w="100"/>
              <w:bottom w:type="dxa" w:w="60"/>
              <w:right w:type="dxa" w:w="100"/>
            </w:tcMar>
          </w:tcPr>
          <w:p>
            <w:r>
              <w:rPr>
                <w:b w:val="false"/>
                <w:bCs w:val="false"/>
                <w:color w:val="000000"/>
                <w:sz w:val="19"/>
                <w:szCs w:val="19"/>
              </w:rPr>
              <w:t xml:space="preserve">Angestrebt: ZIM-Zuschuss [___] T€ · Forschungszulage (35 % der Personalkosten, nachlaufend) · Eigenkapitalrunde</w:t>
            </w:r>
          </w:p>
        </w:tc>
      </w:tr>
      <w:tr>
        <w:tc>
          <w:tcPr>
            <w:tcW w:type="dxa" w:w="3600"/>
            <w:shd w:fill="FFFFFF" w:val="clear"/>
            <w:tcMar>
              <w:top w:type="dxa" w:w="60"/>
              <w:left w:type="dxa" w:w="100"/>
              <w:bottom w:type="dxa" w:w="60"/>
              <w:right w:type="dxa" w:w="100"/>
            </w:tcMar>
          </w:tcPr>
          <w:p>
            <w:r>
              <w:rPr>
                <w:b w:val="false"/>
                <w:bCs w:val="false"/>
                <w:color w:val="000000"/>
                <w:sz w:val="19"/>
                <w:szCs w:val="19"/>
              </w:rPr>
              <w:t xml:space="preserve">Anlaufphase und Liquiditätsreserve</w:t>
            </w:r>
          </w:p>
        </w:tc>
        <w:tc>
          <w:tcPr>
            <w:tcW w:type="dxa" w:w="1300"/>
            <w:shd w:fill="FFFFFF" w:val="clear"/>
            <w:tcMar>
              <w:top w:type="dxa" w:w="60"/>
              <w:left w:type="dxa" w:w="100"/>
              <w:bottom w:type="dxa" w:w="60"/>
              <w:right w:type="dxa" w:w="100"/>
            </w:tcMar>
          </w:tcPr>
          <w:p>
            <w:r>
              <w:rPr>
                <w:b w:val="false"/>
                <w:bCs w:val="false"/>
                <w:color w:val="000000"/>
                <w:sz w:val="19"/>
                <w:szCs w:val="19"/>
              </w:rPr>
              <w:t xml:space="preserve">300 T€</w:t>
            </w:r>
          </w:p>
        </w:tc>
        <w:tc>
          <w:tcPr>
            <w:tcW w:type="dxa" w:w="4460"/>
            <w:shd w:fill="FFFFFF" w:val="clear"/>
            <w:tcMar>
              <w:top w:type="dxa" w:w="60"/>
              <w:left w:type="dxa" w:w="100"/>
              <w:bottom w:type="dxa" w:w="60"/>
              <w:right w:type="dxa" w:w="100"/>
            </w:tcMar>
          </w:tcPr>
          <w:p>
            <w:r>
              <w:rPr>
                <w:b w:val="false"/>
                <w:bCs w:val="false"/>
                <w:color w:val="000000"/>
                <w:sz w:val="19"/>
                <w:szCs w:val="19"/>
              </w:rPr>
              <w:t xml:space="preserve">KfW ERP-StartGeld 125 T€ · Kontokorrent [___] T€</w:t>
            </w:r>
          </w:p>
        </w:tc>
      </w:tr>
      <w:tr>
        <w:tc>
          <w:tcPr>
            <w:tcW w:type="dxa" w:w="3600"/>
            <w:shd w:fill="F2F2F2" w:val="clear"/>
            <w:tcMar>
              <w:top w:type="dxa" w:w="60"/>
              <w:left w:type="dxa" w:w="100"/>
              <w:bottom w:type="dxa" w:w="60"/>
              <w:right w:type="dxa" w:w="100"/>
            </w:tcMar>
          </w:tcPr>
          <w:p>
            <w:r>
              <w:rPr>
                <w:b w:val="false"/>
                <w:bCs w:val="false"/>
                <w:color w:val="000000"/>
                <w:sz w:val="19"/>
                <w:szCs w:val="19"/>
              </w:rPr>
              <w:t xml:space="preserve">International (Partneraufbau, Pilotklasse, Gütezeichen)</w:t>
            </w:r>
          </w:p>
        </w:tc>
        <w:tc>
          <w:tcPr>
            <w:tcW w:type="dxa" w:w="1300"/>
            <w:shd w:fill="F2F2F2" w:val="clear"/>
            <w:tcMar>
              <w:top w:type="dxa" w:w="60"/>
              <w:left w:type="dxa" w:w="100"/>
              <w:bottom w:type="dxa" w:w="60"/>
              <w:right w:type="dxa" w:w="100"/>
            </w:tcMar>
          </w:tcPr>
          <w:p>
            <w:r>
              <w:rPr>
                <w:b w:val="false"/>
                <w:bCs w:val="false"/>
                <w:color w:val="000000"/>
                <w:sz w:val="19"/>
                <w:szCs w:val="19"/>
              </w:rPr>
              <w:t xml:space="preserve">250 T€</w:t>
            </w:r>
          </w:p>
        </w:tc>
        <w:tc>
          <w:tcPr>
            <w:tcW w:type="dxa" w:w="4460"/>
            <w:shd w:fill="F2F2F2" w:val="clear"/>
            <w:tcMar>
              <w:top w:type="dxa" w:w="60"/>
              <w:left w:type="dxa" w:w="100"/>
              <w:bottom w:type="dxa" w:w="60"/>
              <w:right w:type="dxa" w:w="100"/>
            </w:tcMar>
          </w:tcPr>
          <w:p>
            <w:r>
              <w:rPr>
                <w:b w:val="false"/>
                <w:bCs w:val="false"/>
                <w:color w:val="000000"/>
                <w:sz w:val="19"/>
                <w:szCs w:val="19"/>
              </w:rPr>
              <w:t xml:space="preserve">Eigenkapitalrunde · ggf. Eurostars</w:t>
            </w:r>
          </w:p>
        </w:tc>
      </w:tr>
      <w:tr>
        <w:tc>
          <w:tcPr>
            <w:tcW w:type="dxa" w:w="3600"/>
            <w:shd w:fill="FFFFFF" w:val="clear"/>
            <w:tcMar>
              <w:top w:type="dxa" w:w="60"/>
              <w:left w:type="dxa" w:w="100"/>
              <w:bottom w:type="dxa" w:w="60"/>
              <w:right w:type="dxa" w:w="100"/>
            </w:tcMar>
          </w:tcPr>
          <w:p>
            <w:r>
              <w:rPr>
                <w:b w:val="false"/>
                <w:bCs w:val="false"/>
                <w:color w:val="000000"/>
                <w:sz w:val="19"/>
                <w:szCs w:val="19"/>
              </w:rPr>
              <w:t xml:space="preserve">Summe Phase 1</w:t>
            </w:r>
          </w:p>
        </w:tc>
        <w:tc>
          <w:tcPr>
            <w:tcW w:type="dxa" w:w="1300"/>
            <w:shd w:fill="FFFFFF" w:val="clear"/>
            <w:tcMar>
              <w:top w:type="dxa" w:w="60"/>
              <w:left w:type="dxa" w:w="100"/>
              <w:bottom w:type="dxa" w:w="60"/>
              <w:right w:type="dxa" w:w="100"/>
            </w:tcMar>
          </w:tcPr>
          <w:p>
            <w:r>
              <w:rPr>
                <w:b w:val="false"/>
                <w:bCs w:val="false"/>
                <w:color w:val="000000"/>
                <w:sz w:val="19"/>
                <w:szCs w:val="19"/>
              </w:rPr>
              <w:t xml:space="preserve">1.500 T€</w:t>
            </w:r>
          </w:p>
        </w:tc>
        <w:tc>
          <w:tcPr>
            <w:tcW w:type="dxa" w:w="4460"/>
            <w:shd w:fill="FFFFFF" w:val="clear"/>
            <w:tcMar>
              <w:top w:type="dxa" w:w="60"/>
              <w:left w:type="dxa" w:w="100"/>
              <w:bottom w:type="dxa" w:w="60"/>
              <w:right w:type="dxa" w:w="100"/>
            </w:tcMar>
          </w:tcPr>
          <w:p>
            <w:r>
              <w:rPr>
                <w:b w:val="false"/>
                <w:bCs w:val="false"/>
                <w:color w:val="000000"/>
                <w:sz w:val="19"/>
                <w:szCs w:val="19"/>
              </w:rPr>
              <w:t xml:space="preserve">Runde 1,5 Mio. € gem. Investorenunterlage; Angels INVEST-fähig (20–25 % Rückvergütung)</w:t>
            </w:r>
          </w:p>
        </w:tc>
      </w:tr>
    </w:tbl>
    <w:p>
      <w:pPr>
        <w:spacing w:after="120"/>
      </w:pPr>
    </w:p>
    <w:p>
      <w:pPr>
        <w:pStyle w:val="Heading2"/>
        <w:spacing w:after="100" w:before="240"/>
      </w:pPr>
      <w:r>
        <w:rPr>
          <w:color w:val="1F4E5F"/>
        </w:rPr>
        <w:t xml:space="preserve">5.4 INVEST-Baustein (Info an Ihre Business Angels)</w:t>
      </w:r>
    </w:p>
    <w:p>
      <w:pPr>
        <w:pBdr>
          <w:left w:val="single" w:color="1F4E5F" w:sz="12"/>
        </w:pBdr>
        <w:shd w:fill="F2F6F8" w:val="clear"/>
        <w:spacing w:after="120" w:line="264"/>
        <w:ind w:left="200"/>
        <w:jc w:val="both"/>
      </w:pPr>
      <w:r>
        <w:rPr>
          <w:i/>
          <w:iCs/>
        </w:rPr>
        <w:t xml:space="preserve">Die [FIRMA Tochter-GmbH] beantragt nach Handelsregistereintrag die INVEST-Förderfähigkeitsbescheinigung beim BAFA. Für Sie als Investor bedeutet das: Auf Ihre Beteiligung ab 10.000 € erhalten Sie einen steuerfreien Erwerbszuschuss von 20–25 % des investierten Betrags, sofern Sie die Beteiligung mindestens drei Jahre halten. Den Zuschussantrag stellen Sie als Investor selbst im BAFA-Portal; wir liefern Ihnen die Bescheinigung und alle Gesellschaftsunterlagen zu.</w:t>
      </w:r>
    </w:p>
    <w:p>
      <w:pPr>
        <w:pStyle w:val="Heading2"/>
        <w:spacing w:after="100" w:before="240"/>
      </w:pPr>
      <w:r>
        <w:rPr>
          <w:color w:val="1F4E5F"/>
        </w:rPr>
        <w:t xml:space="preserve">5.5 De-minimis-Übersichtsblatt (ab sofort führen)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60"/>
        <w:gridCol w:w="1900"/>
        <w:gridCol w:w="1900"/>
      </w:tblGrid>
      <w:tr>
        <w:tc>
          <w:tcPr>
            <w:tcW w:type="dxa" w:w="1800"/>
            <w:shd w:fill="1F4E5F" w:val="clear"/>
            <w:tcMar>
              <w:top w:type="dxa" w:w="60"/>
              <w:left w:type="dxa" w:w="100"/>
              <w:bottom w:type="dxa" w:w="60"/>
              <w:right w:type="dxa" w:w="100"/>
            </w:tcMar>
          </w:tcPr>
          <w:p>
            <w:r>
              <w:rPr>
                <w:b/>
                <w:bCs/>
                <w:color w:val="FFFFFF"/>
                <w:sz w:val="19"/>
                <w:szCs w:val="19"/>
              </w:rPr>
              <w:t xml:space="preserve">Datum Bescheid</w:t>
            </w:r>
          </w:p>
        </w:tc>
        <w:tc>
          <w:tcPr>
            <w:tcW w:type="dxa" w:w="3760"/>
            <w:shd w:fill="1F4E5F" w:val="clear"/>
            <w:tcMar>
              <w:top w:type="dxa" w:w="60"/>
              <w:left w:type="dxa" w:w="100"/>
              <w:bottom w:type="dxa" w:w="60"/>
              <w:right w:type="dxa" w:w="100"/>
            </w:tcMar>
          </w:tcPr>
          <w:p>
            <w:r>
              <w:rPr>
                <w:b/>
                <w:bCs/>
                <w:color w:val="FFFFFF"/>
                <w:sz w:val="19"/>
                <w:szCs w:val="19"/>
              </w:rPr>
              <w:t xml:space="preserve">Fördergeber / Programm</w:t>
            </w:r>
          </w:p>
        </w:tc>
        <w:tc>
          <w:tcPr>
            <w:tcW w:type="dxa" w:w="1900"/>
            <w:shd w:fill="1F4E5F" w:val="clear"/>
            <w:tcMar>
              <w:top w:type="dxa" w:w="60"/>
              <w:left w:type="dxa" w:w="100"/>
              <w:bottom w:type="dxa" w:w="60"/>
              <w:right w:type="dxa" w:w="100"/>
            </w:tcMar>
          </w:tcPr>
          <w:p>
            <w:r>
              <w:rPr>
                <w:b/>
                <w:bCs/>
                <w:color w:val="FFFFFF"/>
                <w:sz w:val="19"/>
                <w:szCs w:val="19"/>
              </w:rPr>
              <w:t xml:space="preserve">Beihilfewert (€)</w:t>
            </w:r>
          </w:p>
        </w:tc>
        <w:tc>
          <w:tcPr>
            <w:tcW w:type="dxa" w:w="1900"/>
            <w:shd w:fill="1F4E5F" w:val="clear"/>
            <w:tcMar>
              <w:top w:type="dxa" w:w="60"/>
              <w:left w:type="dxa" w:w="100"/>
              <w:bottom w:type="dxa" w:w="60"/>
              <w:right w:type="dxa" w:w="100"/>
            </w:tcMar>
          </w:tcPr>
          <w:p>
            <w:r>
              <w:rPr>
                <w:b/>
                <w:bCs/>
                <w:color w:val="FFFFFF"/>
                <w:sz w:val="19"/>
                <w:szCs w:val="19"/>
              </w:rPr>
              <w:t xml:space="preserve">Kumuliert (€)</w:t>
            </w:r>
          </w:p>
        </w:tc>
      </w:tr>
      <w:tr>
        <w:tc>
          <w:tcPr>
            <w:tcW w:type="dxa" w:w="1800"/>
            <w:shd w:fill="FFFFFF" w:val="clear"/>
            <w:tcMar>
              <w:top w:type="dxa" w:w="60"/>
              <w:left w:type="dxa" w:w="100"/>
              <w:bottom w:type="dxa" w:w="60"/>
              <w:right w:type="dxa" w:w="100"/>
            </w:tcMar>
          </w:tcPr>
          <w:p>
            <w:r>
              <w:rPr>
                <w:b w:val="false"/>
                <w:bCs w:val="false"/>
                <w:color w:val="000000"/>
                <w:sz w:val="19"/>
                <w:szCs w:val="19"/>
              </w:rPr>
              <w:t xml:space="preserve">[___]</w:t>
            </w:r>
          </w:p>
        </w:tc>
        <w:tc>
          <w:tcPr>
            <w:tcW w:type="dxa" w:w="3760"/>
            <w:shd w:fill="FFFFFF" w:val="clear"/>
            <w:tcMar>
              <w:top w:type="dxa" w:w="60"/>
              <w:left w:type="dxa" w:w="100"/>
              <w:bottom w:type="dxa" w:w="60"/>
              <w:right w:type="dxa" w:w="100"/>
            </w:tcMar>
          </w:tcPr>
          <w:p>
            <w:r>
              <w:rPr>
                <w:b w:val="false"/>
                <w:bCs w:val="false"/>
                <w:color w:val="000000"/>
                <w:sz w:val="19"/>
                <w:szCs w:val="19"/>
              </w:rPr>
              <w:t xml:space="preserve">[___]</w:t>
            </w:r>
          </w:p>
        </w:tc>
        <w:tc>
          <w:tcPr>
            <w:tcW w:type="dxa" w:w="1900"/>
            <w:shd w:fill="FFFFFF" w:val="clear"/>
            <w:tcMar>
              <w:top w:type="dxa" w:w="60"/>
              <w:left w:type="dxa" w:w="100"/>
              <w:bottom w:type="dxa" w:w="60"/>
              <w:right w:type="dxa" w:w="100"/>
            </w:tcMar>
          </w:tcPr>
          <w:p>
            <w:r>
              <w:rPr>
                <w:b w:val="false"/>
                <w:bCs w:val="false"/>
                <w:color w:val="000000"/>
                <w:sz w:val="19"/>
                <w:szCs w:val="19"/>
              </w:rPr>
              <w:t xml:space="preserve">[___]</w:t>
            </w:r>
          </w:p>
        </w:tc>
        <w:tc>
          <w:tcPr>
            <w:tcW w:type="dxa" w:w="1900"/>
            <w:shd w:fill="FFFFFF" w:val="clear"/>
            <w:tcMar>
              <w:top w:type="dxa" w:w="60"/>
              <w:left w:type="dxa" w:w="100"/>
              <w:bottom w:type="dxa" w:w="60"/>
              <w:right w:type="dxa" w:w="100"/>
            </w:tcMar>
          </w:tcPr>
          <w:p>
            <w:r>
              <w:rPr>
                <w:b w:val="false"/>
                <w:bCs w:val="false"/>
                <w:color w:val="000000"/>
                <w:sz w:val="19"/>
                <w:szCs w:val="19"/>
              </w:rPr>
              <w:t xml:space="preserve">[___]</w:t>
            </w:r>
          </w:p>
        </w:tc>
      </w:tr>
      <w:tr>
        <w:tc>
          <w:tcPr>
            <w:tcW w:type="dxa" w:w="1800"/>
            <w:shd w:fill="F2F2F2" w:val="clear"/>
            <w:tcMar>
              <w:top w:type="dxa" w:w="60"/>
              <w:left w:type="dxa" w:w="100"/>
              <w:bottom w:type="dxa" w:w="60"/>
              <w:right w:type="dxa" w:w="100"/>
            </w:tcMar>
          </w:tcPr>
          <w:p>
            <w:r>
              <w:rPr>
                <w:b w:val="false"/>
                <w:bCs w:val="false"/>
                <w:color w:val="000000"/>
                <w:sz w:val="19"/>
                <w:szCs w:val="19"/>
              </w:rPr>
              <w:t xml:space="preserve">[___]</w:t>
            </w:r>
          </w:p>
        </w:tc>
        <w:tc>
          <w:tcPr>
            <w:tcW w:type="dxa" w:w="3760"/>
            <w:shd w:fill="F2F2F2" w:val="clear"/>
            <w:tcMar>
              <w:top w:type="dxa" w:w="60"/>
              <w:left w:type="dxa" w:w="100"/>
              <w:bottom w:type="dxa" w:w="60"/>
              <w:right w:type="dxa" w:w="100"/>
            </w:tcMar>
          </w:tcPr>
          <w:p>
            <w:r>
              <w:rPr>
                <w:b w:val="false"/>
                <w:bCs w:val="false"/>
                <w:color w:val="000000"/>
                <w:sz w:val="19"/>
                <w:szCs w:val="19"/>
              </w:rPr>
              <w:t xml:space="preserve">[___]</w:t>
            </w:r>
          </w:p>
        </w:tc>
        <w:tc>
          <w:tcPr>
            <w:tcW w:type="dxa" w:w="1900"/>
            <w:shd w:fill="F2F2F2" w:val="clear"/>
            <w:tcMar>
              <w:top w:type="dxa" w:w="60"/>
              <w:left w:type="dxa" w:w="100"/>
              <w:bottom w:type="dxa" w:w="60"/>
              <w:right w:type="dxa" w:w="100"/>
            </w:tcMar>
          </w:tcPr>
          <w:p>
            <w:r>
              <w:rPr>
                <w:b w:val="false"/>
                <w:bCs w:val="false"/>
                <w:color w:val="000000"/>
                <w:sz w:val="19"/>
                <w:szCs w:val="19"/>
              </w:rPr>
              <w:t xml:space="preserve">[___]</w:t>
            </w:r>
          </w:p>
        </w:tc>
        <w:tc>
          <w:tcPr>
            <w:tcW w:type="dxa" w:w="1900"/>
            <w:shd w:fill="F2F2F2" w:val="clear"/>
            <w:tcMar>
              <w:top w:type="dxa" w:w="60"/>
              <w:left w:type="dxa" w:w="100"/>
              <w:bottom w:type="dxa" w:w="60"/>
              <w:right w:type="dxa" w:w="100"/>
            </w:tcMar>
          </w:tcPr>
          <w:p>
            <w:r>
              <w:rPr>
                <w:b w:val="false"/>
                <w:bCs w:val="false"/>
                <w:color w:val="000000"/>
                <w:sz w:val="19"/>
                <w:szCs w:val="19"/>
              </w:rPr>
              <w:t xml:space="preserve">[___]</w:t>
            </w:r>
          </w:p>
        </w:tc>
      </w:tr>
      <w:tr>
        <w:tc>
          <w:tcPr>
            <w:tcW w:type="dxa" w:w="1800"/>
            <w:shd w:fill="FFFFFF" w:val="clear"/>
            <w:tcMar>
              <w:top w:type="dxa" w:w="60"/>
              <w:left w:type="dxa" w:w="100"/>
              <w:bottom w:type="dxa" w:w="60"/>
              <w:right w:type="dxa" w:w="100"/>
            </w:tcMar>
          </w:tcPr>
          <w:p>
            <w:r>
              <w:rPr>
                <w:b w:val="false"/>
                <w:bCs w:val="false"/>
                <w:color w:val="000000"/>
                <w:sz w:val="19"/>
                <w:szCs w:val="19"/>
              </w:rPr>
              <w:t xml:space="preserve">[___]</w:t>
            </w:r>
          </w:p>
        </w:tc>
        <w:tc>
          <w:tcPr>
            <w:tcW w:type="dxa" w:w="3760"/>
            <w:shd w:fill="FFFFFF" w:val="clear"/>
            <w:tcMar>
              <w:top w:type="dxa" w:w="60"/>
              <w:left w:type="dxa" w:w="100"/>
              <w:bottom w:type="dxa" w:w="60"/>
              <w:right w:type="dxa" w:w="100"/>
            </w:tcMar>
          </w:tcPr>
          <w:p>
            <w:r>
              <w:rPr>
                <w:b w:val="false"/>
                <w:bCs w:val="false"/>
                <w:color w:val="000000"/>
                <w:sz w:val="19"/>
                <w:szCs w:val="19"/>
              </w:rPr>
              <w:t xml:space="preserve">[___]</w:t>
            </w:r>
          </w:p>
        </w:tc>
        <w:tc>
          <w:tcPr>
            <w:tcW w:type="dxa" w:w="1900"/>
            <w:shd w:fill="FFFFFF" w:val="clear"/>
            <w:tcMar>
              <w:top w:type="dxa" w:w="60"/>
              <w:left w:type="dxa" w:w="100"/>
              <w:bottom w:type="dxa" w:w="60"/>
              <w:right w:type="dxa" w:w="100"/>
            </w:tcMar>
          </w:tcPr>
          <w:p>
            <w:r>
              <w:rPr>
                <w:b w:val="false"/>
                <w:bCs w:val="false"/>
                <w:color w:val="000000"/>
                <w:sz w:val="19"/>
                <w:szCs w:val="19"/>
              </w:rPr>
              <w:t xml:space="preserve">[___]</w:t>
            </w:r>
          </w:p>
        </w:tc>
        <w:tc>
          <w:tcPr>
            <w:tcW w:type="dxa" w:w="1900"/>
            <w:shd w:fill="FFFFFF" w:val="clear"/>
            <w:tcMar>
              <w:top w:type="dxa" w:w="60"/>
              <w:left w:type="dxa" w:w="100"/>
              <w:bottom w:type="dxa" w:w="60"/>
              <w:right w:type="dxa" w:w="100"/>
            </w:tcMar>
          </w:tcPr>
          <w:p>
            <w:r>
              <w:rPr>
                <w:b w:val="false"/>
                <w:bCs w:val="false"/>
                <w:color w:val="000000"/>
                <w:sz w:val="19"/>
                <w:szCs w:val="19"/>
              </w:rPr>
              <w:t xml:space="preserve">[___]</w:t>
            </w:r>
          </w:p>
        </w:tc>
      </w:tr>
    </w:tbl>
    <w:p>
      <w:pPr>
        <w:spacing w:after="120"/>
      </w:pPr>
    </w:p>
    <w:p>
      <w:pPr>
        <w:spacing w:after="120" w:line="276"/>
        <w:jc w:val="both"/>
      </w:pPr>
      <w:r>
        <w:t xml:space="preserve">Obergrenze der De-minimis-Beihilfen: 300.000 € je Unternehmen innerhalb von drei Jahren (Stand der De-minimis-Verordnung; von der Beratung bestätigen lassen). Jeder Bescheid wird hier eingetragen und bei jedem neuen Antrag beigefügt.</w:t>
      </w:r>
    </w:p>
    <w:p>
      <w:pPr>
        <w:pStyle w:val="Heading2"/>
        <w:spacing w:after="100" w:before="240"/>
      </w:pPr>
      <w:r>
        <w:rPr>
          <w:color w:val="1F4E5F"/>
        </w:rPr>
        <w:t xml:space="preserve">5.6 EIC-Accelerator-Kurzpitch (für Jahr 2 ablegen)</w:t>
      </w:r>
    </w:p>
    <w:p>
      <w:pPr>
        <w:pBdr>
          <w:left w:val="single" w:color="1F4E5F" w:sz="12"/>
        </w:pBdr>
        <w:shd w:fill="F2F6F8" w:val="clear"/>
        <w:spacing w:after="120" w:line="264"/>
        <w:ind w:left="200"/>
        <w:jc w:val="both"/>
      </w:pPr>
      <w:r>
        <w:rPr>
          <w:i/>
          <w:iCs/>
        </w:rPr>
        <w:t xml:space="preserve">KAȲȲA OS is the first fully transparent operating platform for publicly funded labour-market and rehabilitation services. European welfare states spend tens of billions annually on training and reintegration measures whose outcomes cannot be verified today. Our platform makes every euro traceable in real time – from public funder to individual invoice – while an AI administration layer with human-in-the-loop approval replaces the cost-heavy back offices of incumbent providers, cutting administrative overhead below 10 %. Proven in our own facilities in Germany [traction figures: participants, funders connected, DB], KAȲȲA OS is built for licensing to providers and municipalities across the EU – turning transparency from a compliance burden into public-sector infrastructure. We seek EIC support to scale from national champion to European standard.</w:t>
      </w:r>
    </w:p>
    <w:p>
      <w:pPr>
        <w:pStyle w:val="Heading1"/>
        <w:spacing w:after="140" w:before="320"/>
      </w:pPr>
      <w:r>
        <w:rPr>
          <w:color w:val="1F4E5F"/>
        </w:rPr>
        <w:t xml:space="preserve">6. Zeitachse und Verantwortung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560"/>
        <w:gridCol w:w="2300"/>
      </w:tblGrid>
      <w:tr>
        <w:tc>
          <w:tcPr>
            <w:tcW w:type="dxa" w:w="1500"/>
            <w:shd w:fill="1F4E5F" w:val="clear"/>
            <w:tcMar>
              <w:top w:type="dxa" w:w="60"/>
              <w:left w:type="dxa" w:w="100"/>
              <w:bottom w:type="dxa" w:w="60"/>
              <w:right w:type="dxa" w:w="100"/>
            </w:tcMar>
          </w:tcPr>
          <w:p>
            <w:r>
              <w:rPr>
                <w:b/>
                <w:bCs/>
                <w:color w:val="FFFFFF"/>
                <w:sz w:val="19"/>
                <w:szCs w:val="19"/>
              </w:rPr>
              <w:t xml:space="preserve">Wann</w:t>
            </w:r>
          </w:p>
        </w:tc>
        <w:tc>
          <w:tcPr>
            <w:tcW w:type="dxa" w:w="5560"/>
            <w:shd w:fill="1F4E5F" w:val="clear"/>
            <w:tcMar>
              <w:top w:type="dxa" w:w="60"/>
              <w:left w:type="dxa" w:w="100"/>
              <w:bottom w:type="dxa" w:w="60"/>
              <w:right w:type="dxa" w:w="100"/>
            </w:tcMar>
          </w:tcPr>
          <w:p>
            <w:r>
              <w:rPr>
                <w:b/>
                <w:bCs/>
                <w:color w:val="FFFFFF"/>
                <w:sz w:val="19"/>
                <w:szCs w:val="19"/>
              </w:rPr>
              <w:t xml:space="preserve">Was</w:t>
            </w:r>
          </w:p>
        </w:tc>
        <w:tc>
          <w:tcPr>
            <w:tcW w:type="dxa" w:w="2300"/>
            <w:shd w:fill="1F4E5F" w:val="clear"/>
            <w:tcMar>
              <w:top w:type="dxa" w:w="60"/>
              <w:left w:type="dxa" w:w="100"/>
              <w:bottom w:type="dxa" w:w="60"/>
              <w:right w:type="dxa" w:w="100"/>
            </w:tcMar>
          </w:tcPr>
          <w:p>
            <w:r>
              <w:rPr>
                <w:b/>
                <w:bCs/>
                <w:color w:val="FFFFFF"/>
                <w:sz w:val="19"/>
                <w:szCs w:val="19"/>
              </w:rPr>
              <w:t xml:space="preserve">Wer</w:t>
            </w:r>
          </w:p>
        </w:tc>
      </w:tr>
      <w:tr>
        <w:tc>
          <w:tcPr>
            <w:tcW w:type="dxa" w:w="1500"/>
            <w:shd w:fill="FFFFFF" w:val="clear"/>
            <w:tcMar>
              <w:top w:type="dxa" w:w="60"/>
              <w:left w:type="dxa" w:w="100"/>
              <w:bottom w:type="dxa" w:w="60"/>
              <w:right w:type="dxa" w:w="100"/>
            </w:tcMar>
          </w:tcPr>
          <w:p>
            <w:r>
              <w:rPr>
                <w:b w:val="false"/>
                <w:bCs w:val="false"/>
                <w:color w:val="000000"/>
                <w:sz w:val="19"/>
                <w:szCs w:val="19"/>
              </w:rPr>
              <w:t xml:space="preserve">Woche 1–3</w:t>
            </w:r>
          </w:p>
        </w:tc>
        <w:tc>
          <w:tcPr>
            <w:tcW w:type="dxa" w:w="5560"/>
            <w:shd w:fill="FFFFFF" w:val="clear"/>
            <w:tcMar>
              <w:top w:type="dxa" w:w="60"/>
              <w:left w:type="dxa" w:w="100"/>
              <w:bottom w:type="dxa" w:w="60"/>
              <w:right w:type="dxa" w:w="100"/>
            </w:tcMar>
          </w:tcPr>
          <w:p>
            <w:r>
              <w:rPr>
                <w:b w:val="false"/>
                <w:bCs w:val="false"/>
                <w:color w:val="000000"/>
                <w:sz w:val="19"/>
                <w:szCs w:val="19"/>
              </w:rPr>
              <w:t xml:space="preserve">Tochter-GmbH gründen; Beratung + Hausbank anfragen; De-minimis-Blatt anlegen</w:t>
            </w:r>
          </w:p>
        </w:tc>
        <w:tc>
          <w:tcPr>
            <w:tcW w:type="dxa" w:w="2300"/>
            <w:shd w:fill="FFFFFF" w:val="clear"/>
            <w:tcMar>
              <w:top w:type="dxa" w:w="60"/>
              <w:left w:type="dxa" w:w="100"/>
              <w:bottom w:type="dxa" w:w="60"/>
              <w:right w:type="dxa" w:w="100"/>
            </w:tcMar>
          </w:tcPr>
          <w:p>
            <w:r>
              <w:rPr>
                <w:b w:val="false"/>
                <w:bCs w:val="false"/>
                <w:color w:val="000000"/>
                <w:sz w:val="19"/>
                <w:szCs w:val="19"/>
              </w:rPr>
              <w:t xml:space="preserve">Gründer + Notar</w:t>
            </w:r>
          </w:p>
        </w:tc>
      </w:tr>
      <w:tr>
        <w:tc>
          <w:tcPr>
            <w:tcW w:type="dxa" w:w="1500"/>
            <w:shd w:fill="F2F2F2" w:val="clear"/>
            <w:tcMar>
              <w:top w:type="dxa" w:w="60"/>
              <w:left w:type="dxa" w:w="100"/>
              <w:bottom w:type="dxa" w:w="60"/>
              <w:right w:type="dxa" w:w="100"/>
            </w:tcMar>
          </w:tcPr>
          <w:p>
            <w:r>
              <w:rPr>
                <w:b w:val="false"/>
                <w:bCs w:val="false"/>
                <w:color w:val="000000"/>
                <w:sz w:val="19"/>
                <w:szCs w:val="19"/>
              </w:rPr>
              <w:t xml:space="preserve">Woche 3–6</w:t>
            </w:r>
          </w:p>
        </w:tc>
        <w:tc>
          <w:tcPr>
            <w:tcW w:type="dxa" w:w="5560"/>
            <w:shd w:fill="F2F2F2" w:val="clear"/>
            <w:tcMar>
              <w:top w:type="dxa" w:w="60"/>
              <w:left w:type="dxa" w:w="100"/>
              <w:bottom w:type="dxa" w:w="60"/>
              <w:right w:type="dxa" w:w="100"/>
            </w:tcMar>
          </w:tcPr>
          <w:p>
            <w:r>
              <w:rPr>
                <w:b w:val="false"/>
                <w:bCs w:val="false"/>
                <w:color w:val="000000"/>
                <w:sz w:val="19"/>
                <w:szCs w:val="19"/>
              </w:rPr>
              <w:t xml:space="preserve">Standortentscheidung; BSFZ-/BAFA-Zugänge; INVEST-Bescheinigung; BAFA-Beratungsantrag</w:t>
            </w:r>
          </w:p>
        </w:tc>
        <w:tc>
          <w:tcPr>
            <w:tcW w:type="dxa" w:w="2300"/>
            <w:shd w:fill="F2F2F2" w:val="clear"/>
            <w:tcMar>
              <w:top w:type="dxa" w:w="60"/>
              <w:left w:type="dxa" w:w="100"/>
              <w:bottom w:type="dxa" w:w="60"/>
              <w:right w:type="dxa" w:w="100"/>
            </w:tcMar>
          </w:tcPr>
          <w:p>
            <w:r>
              <w:rPr>
                <w:b w:val="false"/>
                <w:bCs w:val="false"/>
                <w:color w:val="000000"/>
                <w:sz w:val="19"/>
                <w:szCs w:val="19"/>
              </w:rPr>
              <w:t xml:space="preserve">Gründer + Fördermittelberatung</w:t>
            </w:r>
          </w:p>
        </w:tc>
      </w:tr>
      <w:tr>
        <w:tc>
          <w:tcPr>
            <w:tcW w:type="dxa" w:w="1500"/>
            <w:shd w:fill="FFFFFF" w:val="clear"/>
            <w:tcMar>
              <w:top w:type="dxa" w:w="60"/>
              <w:left w:type="dxa" w:w="100"/>
              <w:bottom w:type="dxa" w:w="60"/>
              <w:right w:type="dxa" w:w="100"/>
            </w:tcMar>
          </w:tcPr>
          <w:p>
            <w:r>
              <w:rPr>
                <w:b w:val="false"/>
                <w:bCs w:val="false"/>
                <w:color w:val="000000"/>
                <w:sz w:val="19"/>
                <w:szCs w:val="19"/>
              </w:rPr>
              <w:t xml:space="preserve">Woche 4–10</w:t>
            </w:r>
          </w:p>
        </w:tc>
        <w:tc>
          <w:tcPr>
            <w:tcW w:type="dxa" w:w="5560"/>
            <w:shd w:fill="FFFFFF" w:val="clear"/>
            <w:tcMar>
              <w:top w:type="dxa" w:w="60"/>
              <w:left w:type="dxa" w:w="100"/>
              <w:bottom w:type="dxa" w:w="60"/>
              <w:right w:type="dxa" w:w="100"/>
            </w:tcMar>
          </w:tcPr>
          <w:p>
            <w:r>
              <w:rPr>
                <w:b w:val="false"/>
                <w:bCs w:val="false"/>
                <w:color w:val="000000"/>
                <w:sz w:val="19"/>
                <w:szCs w:val="19"/>
              </w:rPr>
              <w:t xml:space="preserve">ZIM-Skizze und ggf. KMU-innovativ-Skizze einreichen; KfW-Antrag über Hausbank; Landesprogramm-Anträge</w:t>
            </w:r>
          </w:p>
        </w:tc>
        <w:tc>
          <w:tcPr>
            <w:tcW w:type="dxa" w:w="2300"/>
            <w:shd w:fill="FFFFFF" w:val="clear"/>
            <w:tcMar>
              <w:top w:type="dxa" w:w="60"/>
              <w:left w:type="dxa" w:w="100"/>
              <w:bottom w:type="dxa" w:w="60"/>
              <w:right w:type="dxa" w:w="100"/>
            </w:tcMar>
          </w:tcPr>
          <w:p>
            <w:r>
              <w:rPr>
                <w:b w:val="false"/>
                <w:bCs w:val="false"/>
                <w:color w:val="000000"/>
                <w:sz w:val="19"/>
                <w:szCs w:val="19"/>
              </w:rPr>
              <w:t xml:space="preserve">Fördermittelberatung</w:t>
            </w:r>
          </w:p>
        </w:tc>
      </w:tr>
      <w:tr>
        <w:tc>
          <w:tcPr>
            <w:tcW w:type="dxa" w:w="1500"/>
            <w:shd w:fill="F2F2F2" w:val="clear"/>
            <w:tcMar>
              <w:top w:type="dxa" w:w="60"/>
              <w:left w:type="dxa" w:w="100"/>
              <w:bottom w:type="dxa" w:w="60"/>
              <w:right w:type="dxa" w:w="100"/>
            </w:tcMar>
          </w:tcPr>
          <w:p>
            <w:r>
              <w:rPr>
                <w:b w:val="false"/>
                <w:bCs w:val="false"/>
                <w:color w:val="000000"/>
                <w:sz w:val="19"/>
                <w:szCs w:val="19"/>
              </w:rPr>
              <w:t xml:space="preserve">Nach Bewilligungen</w:t>
            </w:r>
          </w:p>
        </w:tc>
        <w:tc>
          <w:tcPr>
            <w:tcW w:type="dxa" w:w="5560"/>
            <w:shd w:fill="F2F2F2" w:val="clear"/>
            <w:tcMar>
              <w:top w:type="dxa" w:w="60"/>
              <w:left w:type="dxa" w:w="100"/>
              <w:bottom w:type="dxa" w:w="60"/>
              <w:right w:type="dxa" w:w="100"/>
            </w:tcMar>
          </w:tcPr>
          <w:p>
            <w:r>
              <w:rPr>
                <w:b w:val="false"/>
                <w:bCs w:val="false"/>
                <w:color w:val="000000"/>
                <w:sz w:val="19"/>
                <w:szCs w:val="19"/>
              </w:rPr>
              <w:t xml:space="preserve">ERST JETZT: Zuschlag an den Softwaredienstleister (Lastenheft-Ausschreibung), Entwicklungsstart, Forschungszulage-Antrag flankierend</w:t>
            </w:r>
          </w:p>
        </w:tc>
        <w:tc>
          <w:tcPr>
            <w:tcW w:type="dxa" w:w="2300"/>
            <w:shd w:fill="F2F2F2" w:val="clear"/>
            <w:tcMar>
              <w:top w:type="dxa" w:w="60"/>
              <w:left w:type="dxa" w:w="100"/>
              <w:bottom w:type="dxa" w:w="60"/>
              <w:right w:type="dxa" w:w="100"/>
            </w:tcMar>
          </w:tcPr>
          <w:p>
            <w:r>
              <w:rPr>
                <w:b w:val="false"/>
                <w:bCs w:val="false"/>
                <w:color w:val="000000"/>
                <w:sz w:val="19"/>
                <w:szCs w:val="19"/>
              </w:rPr>
              <w:t xml:space="preserve">Gründer</w:t>
            </w:r>
          </w:p>
        </w:tc>
      </w:tr>
      <w:tr>
        <w:tc>
          <w:tcPr>
            <w:tcW w:type="dxa" w:w="1500"/>
            <w:shd w:fill="FFFFFF" w:val="clear"/>
            <w:tcMar>
              <w:top w:type="dxa" w:w="60"/>
              <w:left w:type="dxa" w:w="100"/>
              <w:bottom w:type="dxa" w:w="60"/>
              <w:right w:type="dxa" w:w="100"/>
            </w:tcMar>
          </w:tcPr>
          <w:p>
            <w:r>
              <w:rPr>
                <w:b w:val="false"/>
                <w:bCs w:val="false"/>
                <w:color w:val="000000"/>
                <w:sz w:val="19"/>
                <w:szCs w:val="19"/>
              </w:rPr>
              <w:t xml:space="preserve">Jahr 2</w:t>
            </w:r>
          </w:p>
        </w:tc>
        <w:tc>
          <w:tcPr>
            <w:tcW w:type="dxa" w:w="5560"/>
            <w:shd w:fill="FFFFFF" w:val="clear"/>
            <w:tcMar>
              <w:top w:type="dxa" w:w="60"/>
              <w:left w:type="dxa" w:w="100"/>
              <w:bottom w:type="dxa" w:w="60"/>
              <w:right w:type="dxa" w:w="100"/>
            </w:tcMar>
          </w:tcPr>
          <w:p>
            <w:r>
              <w:rPr>
                <w:b w:val="false"/>
                <w:bCs w:val="false"/>
                <w:color w:val="000000"/>
                <w:sz w:val="19"/>
                <w:szCs w:val="19"/>
              </w:rPr>
              <w:t xml:space="preserve">EIC Accelerator mit Traktionsdaten; GenAI4EU-/Eurostars-Konsortien</w:t>
            </w:r>
          </w:p>
        </w:tc>
        <w:tc>
          <w:tcPr>
            <w:tcW w:type="dxa" w:w="2300"/>
            <w:shd w:fill="FFFFFF" w:val="clear"/>
            <w:tcMar>
              <w:top w:type="dxa" w:w="60"/>
              <w:left w:type="dxa" w:w="100"/>
              <w:bottom w:type="dxa" w:w="60"/>
              <w:right w:type="dxa" w:w="100"/>
            </w:tcMar>
          </w:tcPr>
          <w:p>
            <w:r>
              <w:rPr>
                <w:b w:val="false"/>
                <w:bCs w:val="false"/>
                <w:color w:val="000000"/>
                <w:sz w:val="19"/>
                <w:szCs w:val="19"/>
              </w:rPr>
              <w:t xml:space="preserve">Gründer + Beratung</w:t>
            </w:r>
          </w:p>
        </w:tc>
      </w:tr>
    </w:tbl>
    <w:p>
      <w:pPr>
        <w:spacing w:after="120"/>
      </w:pPr>
    </w:p>
    <w:p>
      <w:pPr>
        <w:pBdr>
          <w:top w:val="single" w:color="CCCCCC" w:sz="4"/>
        </w:pBdr>
        <w:spacing w:before="300"/>
      </w:pPr>
      <w:r>
        <w:rPr>
          <w:i/>
          <w:iCs/>
          <w:color w:val="666666"/>
          <w:sz w:val="18"/>
          <w:szCs w:val="18"/>
        </w:rPr>
        <w:t xml:space="preserve">Arbeitsdokument V260721 – Programmkonditionen (Sätze, Grenzen, Fristen) ändern sich laufend und sind vor Antragstellung mit Fördermittelberatung und Steuerberater zu verifizieren. Die Bausteine in Kapitel 5 sind Entwürfe des Antragstellers, keine behördlichen Formulare.</w:t>
      </w:r>
    </w:p>
    <w:sectPr>
      <w:pgSz w:w="11906" w:h="16838" w:orient="portrait"/>
      <w:pgMar w:top="1247" w:right="1247" w:bottom="1133"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60" w:hanging="200"/>
      </w:pPr>
    </w:lvl>
  </w:abstractNum>
  <w:abstractNum w:abstractNumId="3" w15:restartNumberingAfterBreak="0">
    <w:multiLevelType w:val="hybridMultilevel"/>
    <w:lvl w:ilvl="0" w15:tentative="1">
      <w:start w:val="1"/>
      <w:numFmt w:val="decimal"/>
      <w:lvlText w:val="%1."/>
      <w:lvlJc w:val="start"/>
      <w:pPr>
        <w:ind w:left="4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2026-07-22T18:39:50.055Z</dcterms:created>
  <dcterms:modified xsi:type="dcterms:W3CDTF">2026-07-22T18:39:50.055Z</dcterms:modified>
</cp:coreProperties>
</file>

<file path=docProps/custom.xml><?xml version="1.0" encoding="utf-8"?>
<Properties xmlns="http://schemas.openxmlformats.org/officeDocument/2006/custom-properties" xmlns:vt="http://schemas.openxmlformats.org/officeDocument/2006/docPropsVTypes"/>
</file>