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C730" w14:textId="77777777" w:rsidR="006F194D" w:rsidRDefault="006F194D" w:rsidP="00922D18">
      <w:pPr>
        <w:pStyle w:val="top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KAȲȲA OS · Bernhard Krug · Stand 23.08.2026</w:t>
      </w:r>
    </w:p>
    <w:p w14:paraId="393B51EE" w14:textId="77777777" w:rsidR="006F194D" w:rsidRDefault="006F194D" w:rsidP="00922D18">
      <w:pPr>
        <w:pStyle w:val="berschrift1"/>
        <w:spacing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KAȲȲA OS – Echtzeit-Transparenz für Kostenträger</w:t>
      </w:r>
    </w:p>
    <w:p w14:paraId="33C2FAF7" w14:textId="77777777" w:rsidR="006F194D" w:rsidRDefault="006F194D" w:rsidP="00922D18">
      <w:pPr>
        <w:pStyle w:val="sub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Betriebsplattform eines Bildungs- und Eingliederungsträgers – mit einer eigenen, freigeschalteten Echtzeit-Sicht für Sie als Kostenträger.</w:t>
      </w:r>
    </w:p>
    <w:p w14:paraId="5A22B7F6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 Problem</w:t>
      </w:r>
    </w:p>
    <w:p w14:paraId="00F8373B" w14:textId="77777777" w:rsidR="006F194D" w:rsidRDefault="006F194D" w:rsidP="00922D18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Kostenträger sehen Quartalsberichte statt Realität – Maßnahmen, die nur auf dem Papier wirken, fallen spät auf. eM@w deckt die Maßnahmeabwicklung ab (Ein-/Austritte, Anwesenheiten, Berichte), nicht Kosten, Konzeptumsetzung und Wirkung. Prüfung bedeutet deshalb Vor-Ort-Termine, Nachforderungen und manuelle Auswertung.</w:t>
      </w:r>
    </w:p>
    <w:p w14:paraId="4D6B8443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Die Lösung</w:t>
      </w:r>
    </w:p>
    <w:p w14:paraId="30BDD02A" w14:textId="77777777" w:rsidR="006F194D" w:rsidRDefault="006F194D" w:rsidP="00922D18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KAȲȲA OS führt Teilnehmer, Kursleitung, Begleitung, Einsatzplanung, Finanzen und Management auf einer Datenbasis. Sie erhalten eine Read-only-Sicht auf Ihre Maßnahmen: Jede Kennzahl ist bis zum Einzelbeleg rückverfolgbar. Die KAȲȲA-KI (powered by Claude, Anthropic) bereitet Meldungen, Berichte und Hinweise vor – Entscheidungen über Personen trifft immer ein Mensch (Human-in-the-Loop, keine automatisierten Einzelentscheidungen i. S. v. Art. 22 DSGVO); Sozial- und Gesundheitsdaten werden nicht an die KI-Engine übermittelt. Ziel: Was der Kostenträger zahlt, ist auf den Einzelbeleg nachweisbar in der Maßnahme angekommen.</w:t>
      </w:r>
    </w:p>
    <w:p w14:paraId="7CE7A7AE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Was Sie als Kostenträger sehen</w:t>
      </w:r>
    </w:p>
    <w:p w14:paraId="5E18C8E7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Kennzahlen je Maßnahme – Eingliederungsquote, Anwesenheit, Kosten je Eingliederung, belegte Plätze – tagesaktuell statt im Quartalsbericht</w:t>
      </w:r>
    </w:p>
    <w:p w14:paraId="77E02825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Ampeln je Maßnahme (Anwesenheit, Fortschritt, Compliance-Fristen) und Anwesenheits-Trend über Monate</w:t>
      </w:r>
    </w:p>
    <w:p w14:paraId="6D7118A9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Drill-down über drei Ebenen: Kennzahl → Kostenart → Einzelbeleg bis zur Zeitbuchung (Stundensatz, Verwendung)</w:t>
      </w:r>
    </w:p>
    <w:p w14:paraId="26CC0A1A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Eingliederungsnachweise: digital gesiegelte Abschlusszeugnisse mit Prüfcode, direkt aus dem Dashboard verifizierbar</w:t>
      </w:r>
    </w:p>
    <w:p w14:paraId="7CAC40E9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Monatsbericht = Live-Ansicht; Prüfpaket-Export und Rückfrage an den Träger aus derselben Sicht</w:t>
      </w:r>
    </w:p>
    <w:p w14:paraId="7743370F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Keine Gesundheits- oder Falldaten in Ihrer Sicht – feldgenaues Rollenkonzept</w:t>
      </w:r>
    </w:p>
    <w:p w14:paraId="68A42392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Kernfunktionen</w:t>
      </w:r>
    </w:p>
    <w:tbl>
      <w:tblPr>
        <w:tblW w:w="5000" w:type="pct"/>
        <w:tblCellMar>
          <w:top w:w="30" w:type="dxa"/>
          <w:left w:w="15" w:type="dxa"/>
          <w:bottom w:w="3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810"/>
        <w:gridCol w:w="3008"/>
      </w:tblGrid>
      <w:tr w:rsidR="00000000" w14:paraId="7C305454" w14:textId="77777777" w:rsidTr="00922D18">
        <w:trPr>
          <w:tblHeader/>
        </w:trPr>
        <w:tc>
          <w:tcPr>
            <w:tcW w:w="16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BF5923E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19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6F85E8B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Ihr Nutzen</w:t>
            </w:r>
          </w:p>
        </w:tc>
        <w:tc>
          <w:tcPr>
            <w:tcW w:w="0" w:type="auto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14FC473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Stand</w:t>
            </w:r>
          </w:p>
        </w:tc>
      </w:tr>
      <w:tr w:rsidR="00000000" w14:paraId="663DB258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5201193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Echtzeit-Dashboard mit Kennzahlen und Ampeln je Maßnahme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A4F265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Abweichungen fallen sofort auf, nicht erst im Quartalsbericht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97FC88D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klickbar, Übungsdaten</w:t>
            </w:r>
          </w:p>
        </w:tc>
      </w:tr>
      <w:tr w:rsidR="00000000" w14:paraId="176D7E0A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7EFD41A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Beleg-Drilldown über drei Ebenen bis zur Zeitbuchung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6A8C621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 Verdacht lässt sich in Minuten statt Monaten aufklären; Stichproben statt Vollprüfung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3C5D447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46FAF03E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E88FBBB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Eingliederungsnachweis mit Online-Verifikation (Prüfcode, Fernsiegel)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82E1451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Eingliederungsquoten sind je Abschluss nachprüfbar – ohne Klarnamen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2ACE4A08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Prüfcode lokal; Fernsiegel-Anbindung vorbereitet</w:t>
            </w:r>
          </w:p>
        </w:tc>
      </w:tr>
      <w:tr w:rsidR="00000000" w14:paraId="2D30E503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23DF6479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Monatsbericht = Live-Ansicht, Prüfpaket-Export, Rückfrage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C1E49A7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Kein Warten auf den Bericht; Prüfpaket auf Knopfdruck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0FC6163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Oberfläche vorhanden, PDF-Erzeugung noch nicht</w:t>
            </w:r>
          </w:p>
        </w:tc>
      </w:tr>
      <w:tr w:rsidR="00000000" w14:paraId="53F50680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7CE79F5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eM@w-Meldungen aus Ist-Daten, menschlich freigegeben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7298BFC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Pflichtmeldungen und Dashboard stimmen überein; weniger Nachforderungen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FEC3689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Anbindung vorbereitet; Herstellerzulassung wird beantragt</w:t>
            </w:r>
          </w:p>
        </w:tc>
      </w:tr>
      <w:tr w:rsidR="00000000" w14:paraId="04D036F4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A074984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Frühwarnung Abbruchrisiko → Motivationsbegleitung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49C582D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Intervention, bevor die Maßnahme scheitert – als Empfehlung, nie automatisch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CEF5657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Frühwarnliste, Score, Eskalation intern</w:t>
            </w:r>
          </w:p>
        </w:tc>
      </w:tr>
      <w:tr w:rsidR="00000000" w14:paraId="57DE8E13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2D8DF1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Internes Kontrollsystem: Maßnahmen-ID-Pflicht, Dubletten-Stopp, Vier-Augen-Zahllauf, Append-only-Protokoll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4F46FB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Schutz vor Abrechnungsmissbrauch, objektiv prüfbar ohne Sonderprüfung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06FB0CE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4E244037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FFD546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Live-Marktdaten: Stellen der BA-Jobbörse für das Teilnehmer-Matching, EU-Ausschreibungen (TED)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49CE9FD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Vermittlung gegen den echten Stellenmarkt; Beleg, dass die Plattform Marktdaten anbindet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2C94337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  <w:t>live – BA-Stellen und TED-Bekanntmachungen</w:t>
            </w:r>
          </w:p>
        </w:tc>
      </w:tr>
    </w:tbl>
    <w:p w14:paraId="5FC05066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 der Entwicklung (ehrlich)</w:t>
      </w:r>
    </w:p>
    <w:p w14:paraId="6FD951C3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Prototyp v0.5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– klickbare Webanwendung, zehn Rollen-Frontends, fünf Sprachen. Personen-, Maßnahmen- und Finanzdaten sind synthetische Übungsdaten – keine Referenzmaßnahmen, keine Kunden.</w:t>
      </w:r>
    </w:p>
    <w:p w14:paraId="7F229794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Bereits angebunden: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BA-Jobsuche-API (Stellen live) und TED-Ausschreibungen (importiert + Live-Abruf über kayya.org).</w:t>
      </w:r>
    </w:p>
    <w:p w14:paraId="6D1DFEC6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KAȲȲA-KI: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Engine Claude (Anthropic) über unseren eigenen Server, Einwilligung vor Nutzung, keine Verwendung der Eingaben zum Training; wird freigeschaltet, sobald der Schlüssel hinterlegt ist. Gesundheitsdaten und Daten Dritter sind ausgeschlossen.</w:t>
      </w:r>
    </w:p>
    <w:p w14:paraId="32C3F56E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Träger: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Bernhard Krug, Einzelunternehmen, Thaerstraße 40, 10249 Berlin. AZAV-Trägerzulassung wird mit dem ersten Kostenträger-Interesse terminiert; eM@w-Herstellerzulassung wird unabhängig davon beantragt. Teilnehmer- und Finanzdaten werden erst nach Datenschutzprüfung, Sicherheitshärtung und Zulassungen verarbeitet.</w:t>
      </w:r>
    </w:p>
    <w:p w14:paraId="22AB4E69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Eigenentwicklung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ohne Fremdlizenzen und ohne Investorenkapital als Voraussetzung.</w:t>
      </w:r>
    </w:p>
    <w:p w14:paraId="20EBD6A2" w14:textId="77777777" w:rsidR="006F194D" w:rsidRDefault="006F194D" w:rsidP="00922D18">
      <w:pPr>
        <w:pStyle w:val="kontakt"/>
        <w:spacing w:before="0" w:after="30"/>
        <w:rPr>
          <w:rFonts w:ascii="Calibri" w:hAnsi="Calibri" w:cs="Calibri"/>
          <w:color w:val="1B1B2F"/>
        </w:rPr>
      </w:pPr>
      <w:r>
        <w:rPr>
          <w:rStyle w:val="Fett"/>
          <w:rFonts w:ascii="Calibri" w:hAnsi="Calibri" w:cs="Calibri"/>
          <w:color w:val="1B1B2F"/>
        </w:rPr>
        <w:t>Kontakt:</w:t>
      </w:r>
      <w:r>
        <w:rPr>
          <w:rFonts w:ascii="Calibri" w:hAnsi="Calibri" w:cs="Calibri"/>
          <w:color w:val="1B1B2F"/>
        </w:rPr>
        <w:t xml:space="preserve"> Bernhard Krug · b@kayya.org · https://kayya.org · Demo-Zugang auf Anfrage</w:t>
      </w:r>
    </w:p>
    <w:sectPr w:rsidR="006F194D" w:rsidSect="00922D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00" w:right="900" w:bottom="80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0EF3" w14:textId="77777777" w:rsidR="006F194D" w:rsidRDefault="006F194D" w:rsidP="00922D18">
      <w:r>
        <w:separator/>
      </w:r>
    </w:p>
  </w:endnote>
  <w:endnote w:type="continuationSeparator" w:id="0">
    <w:p w14:paraId="5DCB45E0" w14:textId="77777777" w:rsidR="006F194D" w:rsidRDefault="006F194D" w:rsidP="0092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C370" w14:textId="77777777" w:rsidR="00922D18" w:rsidRDefault="00922D1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B6FF" w14:textId="35F3F7A6" w:rsidR="00922D18" w:rsidRPr="00922D18" w:rsidRDefault="00922D18" w:rsidP="00922D18">
    <w:pPr>
      <w:pStyle w:val="Fuzeile"/>
      <w:jc w:val="center"/>
      <w:rPr>
        <w:color w:val="8A5A8A"/>
        <w:sz w:val="16"/>
      </w:rPr>
    </w:pPr>
    <w:r w:rsidRPr="00922D18">
      <w:rPr>
        <w:color w:val="8A5A8A"/>
        <w:sz w:val="16"/>
      </w:rPr>
      <w:t xml:space="preserve">Bernhard Krug · Bernhard Krug · b@kayya.org · https://kayya.org   ·   Seite </w:t>
    </w:r>
    <w:r w:rsidRPr="00922D18">
      <w:rPr>
        <w:color w:val="8A5A8A"/>
        <w:sz w:val="16"/>
      </w:rPr>
      <w:fldChar w:fldCharType="begin"/>
    </w:r>
    <w:r w:rsidRPr="00922D18">
      <w:rPr>
        <w:color w:val="8A5A8A"/>
        <w:sz w:val="16"/>
      </w:rPr>
      <w:instrText xml:space="preserve"> PAGE </w:instrText>
    </w:r>
    <w:r w:rsidRPr="00922D18">
      <w:rPr>
        <w:color w:val="8A5A8A"/>
        <w:sz w:val="16"/>
      </w:rPr>
      <w:fldChar w:fldCharType="separate"/>
    </w:r>
    <w:r w:rsidRPr="00922D18">
      <w:rPr>
        <w:noProof/>
        <w:color w:val="8A5A8A"/>
        <w:sz w:val="16"/>
      </w:rPr>
      <w:t>1</w:t>
    </w:r>
    <w:r w:rsidRPr="00922D18">
      <w:rPr>
        <w:color w:val="8A5A8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ED89" w14:textId="77777777" w:rsidR="00922D18" w:rsidRDefault="00922D1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5969" w14:textId="77777777" w:rsidR="006F194D" w:rsidRDefault="006F194D" w:rsidP="00922D18">
      <w:r>
        <w:separator/>
      </w:r>
    </w:p>
  </w:footnote>
  <w:footnote w:type="continuationSeparator" w:id="0">
    <w:p w14:paraId="7D06D98B" w14:textId="77777777" w:rsidR="006F194D" w:rsidRDefault="006F194D" w:rsidP="00922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2CAE" w14:textId="77777777" w:rsidR="00922D18" w:rsidRDefault="00922D1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865D" w14:textId="77777777" w:rsidR="00922D18" w:rsidRDefault="00922D1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FFB3" w14:textId="77777777" w:rsidR="00922D18" w:rsidRDefault="00922D1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716D"/>
    <w:multiLevelType w:val="multilevel"/>
    <w:tmpl w:val="12D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55E00"/>
    <w:multiLevelType w:val="multilevel"/>
    <w:tmpl w:val="DDA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69595">
    <w:abstractNumId w:val="0"/>
  </w:num>
  <w:num w:numId="2" w16cid:durableId="637759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18"/>
    <w:rsid w:val="006F194D"/>
    <w:rsid w:val="009179F2"/>
    <w:rsid w:val="0092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71A793"/>
  <w15:chartTrackingRefBased/>
  <w15:docId w15:val="{A664B98A-7022-44E2-A909-8B266DEB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40"/>
      <w:outlineLvl w:val="0"/>
    </w:pPr>
    <w:rPr>
      <w:b/>
      <w:bCs/>
      <w:color w:val="5B21B6"/>
      <w:kern w:val="36"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pPr>
      <w:spacing w:before="140" w:after="40"/>
      <w:outlineLvl w:val="2"/>
    </w:pPr>
    <w:rPr>
      <w:b/>
      <w:bCs/>
      <w:color w:val="4C1D95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80"/>
    </w:pPr>
  </w:style>
  <w:style w:type="paragraph" w:styleId="StandardWeb">
    <w:name w:val="Normal (Web)"/>
    <w:basedOn w:val="Standard"/>
    <w:uiPriority w:val="99"/>
    <w:semiHidden/>
    <w:unhideWhenUsed/>
    <w:pPr>
      <w:spacing w:after="80"/>
    </w:pPr>
  </w:style>
  <w:style w:type="paragraph" w:customStyle="1" w:styleId="live">
    <w:name w:val="live"/>
    <w:basedOn w:val="Standard"/>
    <w:rPr>
      <w:b/>
      <w:bCs/>
      <w:color w:val="047857"/>
    </w:rPr>
  </w:style>
  <w:style w:type="paragraph" w:customStyle="1" w:styleId="sim">
    <w:name w:val="sim"/>
    <w:basedOn w:val="Standard"/>
    <w:rPr>
      <w:color w:val="6B7280"/>
    </w:rPr>
  </w:style>
  <w:style w:type="paragraph" w:customStyle="1" w:styleId="top">
    <w:name w:val="top"/>
    <w:basedOn w:val="Standard"/>
    <w:pPr>
      <w:spacing w:after="60"/>
    </w:pPr>
    <w:rPr>
      <w:color w:val="7C3AED"/>
      <w:spacing w:val="30"/>
      <w:sz w:val="16"/>
      <w:szCs w:val="16"/>
    </w:rPr>
  </w:style>
  <w:style w:type="paragraph" w:customStyle="1" w:styleId="sub">
    <w:name w:val="sub"/>
    <w:basedOn w:val="Standard"/>
    <w:pPr>
      <w:spacing w:after="120"/>
    </w:pPr>
    <w:rPr>
      <w:color w:val="6D28D9"/>
      <w:sz w:val="20"/>
      <w:szCs w:val="20"/>
    </w:rPr>
  </w:style>
  <w:style w:type="paragraph" w:customStyle="1" w:styleId="kontakt">
    <w:name w:val="kontakt"/>
    <w:basedOn w:val="Standard"/>
    <w:pPr>
      <w:pBdr>
        <w:top w:val="single" w:sz="8" w:space="4" w:color="C4B5FD"/>
      </w:pBdr>
      <w:spacing w:before="120"/>
    </w:pPr>
    <w:rPr>
      <w:sz w:val="18"/>
      <w:szCs w:val="18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922D1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2D18"/>
    <w:rPr>
      <w:rFonts w:eastAsiaTheme="minorEastAsia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22D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22D1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3887</Characters>
  <Application>Microsoft Office Word</Application>
  <DocSecurity>4</DocSecurity>
  <Lines>32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KAȲȲA OS – One-Pager für Kostenträger</dc:title>
  <dc:subject/>
  <dc:creator>Bernhard Krug</dc:creator>
  <cp:keywords/>
  <dc:description/>
  <cp:lastModifiedBy>Bernhard Krug</cp:lastModifiedBy>
  <cp:revision>2</cp:revision>
  <dcterms:created xsi:type="dcterms:W3CDTF">2026-08-23T20:05:00Z</dcterms:created>
  <dcterms:modified xsi:type="dcterms:W3CDTF">2026-08-23T20:05:00Z</dcterms:modified>
</cp:coreProperties>
</file>