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21B6"/>
          <w:sz w:val="30"/>
          <w:szCs w:val="30"/>
        </w:rPr>
        <w:t xml:space="preserve">KAȲȲA OS</w:t>
      </w:r>
    </w:p>
    <w:p>
      <w:pPr>
        <w:pBdr>
          <w:bottom w:val="single" w:color="C026D3" w:sz="8" w:space="6"/>
        </w:pBdr>
        <w:spacing w:after="60"/>
      </w:pPr>
      <w:r>
        <w:rPr>
          <w:i/>
          <w:iCs/>
          <w:color w:val="6E6785"/>
          <w:sz w:val="17"/>
          <w:szCs w:val="17"/>
        </w:rPr>
        <w:t xml:space="preserve">Geld und Chancen für alle Beteiligten. Stand: September 2026</w:t>
      </w:r>
    </w:p>
    <w:p>
      <w:pPr>
        <w:spacing w:after="140"/>
      </w:pPr>
    </w:p>
    <w:p>
      <w:pPr>
        <w:spacing w:after="170" w:line="276"/>
      </w:pPr>
      <w:r>
        <w:rPr>
          <w:color w:val="241B3A"/>
          <w:sz w:val="22"/>
          <w:szCs w:val="22"/>
        </w:rPr>
        <w:t xml:space="preserve">Jedes Jahr fließen mehr als 45 Milliarden Euro öffentliches Geld in Bildungs- und Eingliederungsmaßnahmen, und allein das Weiterbildungsbudget der Bundesagentur wächst 2026 um 690 Millionen auf 4,12 Milliarden Euro. Von diesem Geld versickert bei den meisten Trägern ein Viertel in der Verwaltung, bevor es einen einzigen Teilnehmer erreicht. KAȲȲA OS holt genau dieses Viertel zurück, weil die Verwaltung nebenbei geschieht, und daraus entsteht für jeden Beteiligten eine eigene Rechnung. Der Kostenträger zahlt weniger je Maßnahme und bekommt zum ersten Mal den Nachweis, dass sein Geld Wirkung hat, was der Bundesrechnungshof inzwischen ausdrücklich verlangt. Der Träger, der mit KAȲȲA OS arbeitet, gewinnt Ausschreibungen über den Preis, besteht Prüfungen ohne Sonderaufwand und behält von jedem Los mehr übrig; ein einzelnes Los trägt bereits 2.500 bis 5.000 Euro im Monat. Die Fachkräfte bekommen ihre Zeit zurück, und weil kein teurer Apparat mitverdient, lassen sie sich besser bezahlen als beim Wettbewerb. Der Teilnehmer kommt schneller in Arbeit, und das ist der einzige Ertrag, der am Ende zählt, für ihn wie für die Kasse, die ihn bis dahin finanziert hat. Für einen Partner ist das eine Beteiligung mit begrenztem Risiko und großem Hebel: Das Produkt läuft heute unter kayya.org mit einer echten Datenbank dahinter, finanziert sich aus den Maßnahmen selbst, braucht kein fremdes Kapital, und jeder weitere Träger, der es übernimmt, ist Lizenzumsatz, während Großträger gerade Lose zurückgeben und der Markt Platz macht.</w:t>
      </w:r>
    </w:p>
    <w:p>
      <w:pPr>
        <w:pBdr>
          <w:top w:val="single" w:color="E7E0F9" w:sz="6" w:space="6"/>
        </w:pBdr>
        <w:spacing w:before="220"/>
      </w:pPr>
      <w:r>
        <w:rPr>
          <w:color w:val="6E6785"/>
          <w:sz w:val="16"/>
          <w:szCs w:val="16"/>
        </w:rPr>
        <w:t xml:space="preserve">Bernhard Krug</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1B3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KAȲȲA OS: Geld und Chancen</dc:title>
  <dc:creator>Bernhard Krug</dc:creator>
  <cp:lastModifiedBy>Un-named</cp:lastModifiedBy>
  <cp:revision>1</cp:revision>
  <dcterms:created xsi:type="dcterms:W3CDTF">2026-09-22T19:38:02.917Z</dcterms:created>
  <dcterms:modified xsi:type="dcterms:W3CDTF">2026-09-22T19:38:02.918Z</dcterms:modified>
</cp:coreProperties>
</file>

<file path=docProps/custom.xml><?xml version="1.0" encoding="utf-8"?>
<Properties xmlns="http://schemas.openxmlformats.org/officeDocument/2006/custom-properties" xmlns:vt="http://schemas.openxmlformats.org/officeDocument/2006/docPropsVTypes"/>
</file>