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9C730" w14:textId="77777777" w:rsidR="006F194D" w:rsidRDefault="006F194D" w:rsidP="00922D18">
      <w:pPr>
        <w:pStyle w:val="top"/>
        <w:spacing w:after="30"/>
        <w:rPr>
          <w:rFonts w:ascii="Calibri" w:hAnsi="Calibri" w:cs="Calibri"/>
        </w:rPr>
      </w:pPr>
      <w:r>
        <w:rPr>
          <w:rFonts w:ascii="Calibri" w:hAnsi="Calibri" w:cs="Calibri"/>
        </w:rPr>
        <w:t>KAȲȲA OS · KAȲȲA GmbH · Stand 23.08.2026</w:t>
      </w:r>
    </w:p>
    <w:p w14:paraId="393B51EE" w14:textId="77777777" w:rsidR="006F194D" w:rsidRDefault="006F194D" w:rsidP="00922D18">
      <w:pPr>
        <w:pStyle w:val="berschrift1"/>
        <w:spacing w:after="3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KAȲȲA OS – Echtzeit-Transparenz für Kostenträger</w:t>
      </w:r>
    </w:p>
    <w:p w14:paraId="33C2FAF7" w14:textId="77777777" w:rsidR="006F194D" w:rsidRDefault="006F194D" w:rsidP="00922D18">
      <w:pPr>
        <w:pStyle w:val="sub"/>
        <w:spacing w:after="30"/>
        <w:rPr>
          <w:rFonts w:ascii="Calibri" w:hAnsi="Calibri" w:cs="Calibri"/>
        </w:rPr>
      </w:pPr>
      <w:r>
        <w:rPr>
          <w:rFonts w:ascii="Calibri" w:hAnsi="Calibri" w:cs="Calibri"/>
        </w:rPr>
        <w:t>Betriebsplattform eines Bildungs- und Eingliederungsträgers – mit einer eigenen, freigeschalteten Echtzeit-Sicht für Sie als Kostenträger.</w:t>
      </w:r>
    </w:p>
    <w:p w14:paraId="5A22B7F6" w14:textId="77777777" w:rsidR="006F194D" w:rsidRDefault="006F194D" w:rsidP="00922D18">
      <w:pPr>
        <w:pStyle w:val="berschrift3"/>
        <w:spacing w:before="0" w:after="3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Das Problem</w:t>
      </w:r>
    </w:p>
    <w:p w14:paraId="00F8373B" w14:textId="77777777" w:rsidR="006F194D" w:rsidRDefault="006F194D" w:rsidP="00922D18">
      <w:pPr>
        <w:pStyle w:val="StandardWeb"/>
        <w:spacing w:after="30"/>
        <w:rPr>
          <w:rFonts w:ascii="Calibri" w:hAnsi="Calibri" w:cs="Calibri"/>
          <w:color w:val="1B1B2F"/>
          <w:sz w:val="18"/>
          <w:szCs w:val="18"/>
        </w:rPr>
      </w:pPr>
      <w:r>
        <w:rPr>
          <w:rFonts w:ascii="Calibri" w:hAnsi="Calibri" w:cs="Calibri"/>
          <w:color w:val="1B1B2F"/>
          <w:sz w:val="18"/>
          <w:szCs w:val="18"/>
        </w:rPr>
        <w:t>Kostenträger sehen Quartalsberichte statt Realität – Maßnahmen, die nur auf dem Papier wirken, fallen spät auf. eM@w deckt die Maßnahmeabwicklung ab (Ein-/Austritte, Anwesenheiten, Berichte), nicht Kosten, Konzeptumsetzung und Wirkung. Prüfung bedeutet deshalb Vor-Ort-Termine, Nachforderungen und manuelle Auswertung.</w:t>
      </w:r>
    </w:p>
    <w:p w14:paraId="4D6B8443" w14:textId="77777777" w:rsidR="006F194D" w:rsidRDefault="006F194D" w:rsidP="00922D18">
      <w:pPr>
        <w:pStyle w:val="berschrift3"/>
        <w:spacing w:before="0" w:after="3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Die Lösung</w:t>
      </w:r>
    </w:p>
    <w:p w14:paraId="30BDD02A" w14:textId="77777777" w:rsidR="006F194D" w:rsidRDefault="006F194D" w:rsidP="00922D18">
      <w:pPr>
        <w:pStyle w:val="StandardWeb"/>
        <w:spacing w:after="30"/>
        <w:rPr>
          <w:rFonts w:ascii="Calibri" w:hAnsi="Calibri" w:cs="Calibri"/>
          <w:color w:val="1B1B2F"/>
          <w:sz w:val="18"/>
          <w:szCs w:val="18"/>
        </w:rPr>
      </w:pPr>
      <w:r>
        <w:rPr>
          <w:rFonts w:ascii="Calibri" w:hAnsi="Calibri" w:cs="Calibri"/>
          <w:color w:val="1B1B2F"/>
          <w:sz w:val="18"/>
          <w:szCs w:val="18"/>
        </w:rPr>
        <w:t>KAȲȲA OS führt Teilnehmer, Kursleitung, Begleitung, Einsatzplanung, Finanzen und Management auf einer Datenbasis. Sie erhalten eine Read-only-Sicht auf Ihre Maßnahmen: Jede Kennzahl ist bis zum Einzelbeleg rückverfolgbar. Die KAȲȲA-KI (powered by Claude, Anthropic) bereitet Meldungen, Berichte und Hinweise vor – Entscheidungen über Personen trifft immer ein Mensch (Human-in-the-Loop, keine automatisierten Einzelentscheidungen i. S. v. Art. 22 DSGVO); Sozial- und Gesundheitsdaten werden nicht an die KI-Engin</w:t>
      </w:r>
      <w:r>
        <w:rPr>
          <w:rFonts w:ascii="Calibri" w:hAnsi="Calibri" w:cs="Calibri"/>
          <w:color w:val="1B1B2F"/>
          <w:sz w:val="18"/>
          <w:szCs w:val="18"/>
        </w:rPr>
        <w:t>e übermittelt. Ziel: Was der Kostenträger zahlt, ist auf den Einzelbeleg nachweisbar in der Maßnahme angekommen.</w:t>
      </w:r>
    </w:p>
    <w:p w14:paraId="7CE7A7AE" w14:textId="77777777" w:rsidR="006F194D" w:rsidRDefault="006F194D" w:rsidP="00922D18">
      <w:pPr>
        <w:pStyle w:val="berschrift3"/>
        <w:spacing w:before="0" w:after="3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Was Sie als Kostenträger sehen</w:t>
      </w:r>
    </w:p>
    <w:p w14:paraId="5E18C8E7" w14:textId="77777777" w:rsidR="006F194D" w:rsidRDefault="006F194D" w:rsidP="00922D18">
      <w:pPr>
        <w:numPr>
          <w:ilvl w:val="0"/>
          <w:numId w:val="1"/>
        </w:numPr>
        <w:spacing w:after="30"/>
        <w:rPr>
          <w:rFonts w:ascii="Calibri" w:eastAsia="Times New Roman" w:hAnsi="Calibri" w:cs="Calibri"/>
          <w:color w:val="1B1B2F"/>
          <w:sz w:val="18"/>
          <w:szCs w:val="18"/>
        </w:rPr>
      </w:pPr>
      <w:r>
        <w:rPr>
          <w:rFonts w:ascii="Calibri" w:eastAsia="Times New Roman" w:hAnsi="Calibri" w:cs="Calibri"/>
          <w:color w:val="1B1B2F"/>
          <w:sz w:val="18"/>
          <w:szCs w:val="18"/>
        </w:rPr>
        <w:t>Kennzahlen je Maßnahme – Eingliederungsquote, Anwesenheit, Kosten je Eingliederung, belegte Plätze – tagesaktuell statt im Quartalsbericht</w:t>
      </w:r>
    </w:p>
    <w:p w14:paraId="77E02825" w14:textId="77777777" w:rsidR="006F194D" w:rsidRDefault="006F194D" w:rsidP="00922D18">
      <w:pPr>
        <w:numPr>
          <w:ilvl w:val="0"/>
          <w:numId w:val="1"/>
        </w:numPr>
        <w:spacing w:after="30"/>
        <w:rPr>
          <w:rFonts w:ascii="Calibri" w:eastAsia="Times New Roman" w:hAnsi="Calibri" w:cs="Calibri"/>
          <w:color w:val="1B1B2F"/>
          <w:sz w:val="18"/>
          <w:szCs w:val="18"/>
        </w:rPr>
      </w:pPr>
      <w:r>
        <w:rPr>
          <w:rFonts w:ascii="Calibri" w:eastAsia="Times New Roman" w:hAnsi="Calibri" w:cs="Calibri"/>
          <w:color w:val="1B1B2F"/>
          <w:sz w:val="18"/>
          <w:szCs w:val="18"/>
        </w:rPr>
        <w:t>Ampeln je Maßnahme (Anwesenheit, Fortschritt, Compliance-Fristen) und Anwesenheits-Trend über Monate</w:t>
      </w:r>
    </w:p>
    <w:p w14:paraId="6D7118A9" w14:textId="77777777" w:rsidR="006F194D" w:rsidRDefault="006F194D" w:rsidP="00922D18">
      <w:pPr>
        <w:numPr>
          <w:ilvl w:val="0"/>
          <w:numId w:val="1"/>
        </w:numPr>
        <w:spacing w:after="30"/>
        <w:rPr>
          <w:rFonts w:ascii="Calibri" w:eastAsia="Times New Roman" w:hAnsi="Calibri" w:cs="Calibri"/>
          <w:color w:val="1B1B2F"/>
          <w:sz w:val="18"/>
          <w:szCs w:val="18"/>
        </w:rPr>
      </w:pPr>
      <w:r>
        <w:rPr>
          <w:rFonts w:ascii="Calibri" w:eastAsia="Times New Roman" w:hAnsi="Calibri" w:cs="Calibri"/>
          <w:color w:val="1B1B2F"/>
          <w:sz w:val="18"/>
          <w:szCs w:val="18"/>
        </w:rPr>
        <w:t>Drill-down über drei Ebenen: Kennzahl → Kostenart → Einzelbeleg bis zur Zeitbuchung (Stundensatz, Verwendung)</w:t>
      </w:r>
    </w:p>
    <w:p w14:paraId="26CC0A1A" w14:textId="77777777" w:rsidR="006F194D" w:rsidRDefault="006F194D" w:rsidP="00922D18">
      <w:pPr>
        <w:numPr>
          <w:ilvl w:val="0"/>
          <w:numId w:val="1"/>
        </w:numPr>
        <w:spacing w:after="30"/>
        <w:rPr>
          <w:rFonts w:ascii="Calibri" w:eastAsia="Times New Roman" w:hAnsi="Calibri" w:cs="Calibri"/>
          <w:color w:val="1B1B2F"/>
          <w:sz w:val="18"/>
          <w:szCs w:val="18"/>
        </w:rPr>
      </w:pPr>
      <w:r>
        <w:rPr>
          <w:rFonts w:ascii="Calibri" w:eastAsia="Times New Roman" w:hAnsi="Calibri" w:cs="Calibri"/>
          <w:color w:val="1B1B2F"/>
          <w:sz w:val="18"/>
          <w:szCs w:val="18"/>
        </w:rPr>
        <w:t>Eingliederungsnachweise: digital gesiegelte Abschlusszeugnisse mit Prüfcode, direkt aus dem Dashboard verifizierbar</w:t>
      </w:r>
    </w:p>
    <w:p w14:paraId="7CAC40E9" w14:textId="77777777" w:rsidR="006F194D" w:rsidRDefault="006F194D" w:rsidP="00922D18">
      <w:pPr>
        <w:numPr>
          <w:ilvl w:val="0"/>
          <w:numId w:val="1"/>
        </w:numPr>
        <w:spacing w:after="30"/>
        <w:rPr>
          <w:rFonts w:ascii="Calibri" w:eastAsia="Times New Roman" w:hAnsi="Calibri" w:cs="Calibri"/>
          <w:color w:val="1B1B2F"/>
          <w:sz w:val="18"/>
          <w:szCs w:val="18"/>
        </w:rPr>
      </w:pPr>
      <w:r>
        <w:rPr>
          <w:rFonts w:ascii="Calibri" w:eastAsia="Times New Roman" w:hAnsi="Calibri" w:cs="Calibri"/>
          <w:color w:val="1B1B2F"/>
          <w:sz w:val="18"/>
          <w:szCs w:val="18"/>
        </w:rPr>
        <w:t>Monatsbericht = Live-Ansicht; Prüfpaket-Export und Rückfrage an den Träger aus derselben Sicht</w:t>
      </w:r>
    </w:p>
    <w:p w14:paraId="7743370F" w14:textId="77777777" w:rsidR="006F194D" w:rsidRDefault="006F194D" w:rsidP="00922D18">
      <w:pPr>
        <w:numPr>
          <w:ilvl w:val="0"/>
          <w:numId w:val="1"/>
        </w:numPr>
        <w:spacing w:after="30"/>
        <w:rPr>
          <w:rFonts w:ascii="Calibri" w:eastAsia="Times New Roman" w:hAnsi="Calibri" w:cs="Calibri"/>
          <w:color w:val="1B1B2F"/>
          <w:sz w:val="18"/>
          <w:szCs w:val="18"/>
        </w:rPr>
      </w:pPr>
      <w:r>
        <w:rPr>
          <w:rFonts w:ascii="Calibri" w:eastAsia="Times New Roman" w:hAnsi="Calibri" w:cs="Calibri"/>
          <w:color w:val="1B1B2F"/>
          <w:sz w:val="18"/>
          <w:szCs w:val="18"/>
        </w:rPr>
        <w:t>Keine Gesundheits- oder Falldaten in Ihrer Sicht – feldgenaues Rollenkonzept</w:t>
      </w:r>
    </w:p>
    <w:p w14:paraId="68A42392" w14:textId="77777777" w:rsidR="006F194D" w:rsidRDefault="006F194D" w:rsidP="00922D18">
      <w:pPr>
        <w:pStyle w:val="berschrift3"/>
        <w:spacing w:before="0" w:after="3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Kernfunktionen</w:t>
      </w:r>
    </w:p>
    <w:tbl>
      <w:tblPr>
        <w:tblW w:w="5000" w:type="pct"/>
        <w:tblCellMar>
          <w:top w:w="30" w:type="dxa"/>
          <w:left w:w="15" w:type="dxa"/>
          <w:bottom w:w="30" w:type="dxa"/>
          <w:right w:w="15" w:type="dxa"/>
        </w:tblCellMar>
        <w:tblLook w:val="04A0" w:firstRow="1" w:lastRow="0" w:firstColumn="1" w:lastColumn="0" w:noHBand="0" w:noVBand="1"/>
      </w:tblPr>
      <w:tblGrid>
        <w:gridCol w:w="3209"/>
        <w:gridCol w:w="3810"/>
        <w:gridCol w:w="3008"/>
      </w:tblGrid>
      <w:tr w:rsidR="00000000" w14:paraId="7C305454" w14:textId="77777777" w:rsidTr="00922D18">
        <w:trPr>
          <w:tblHeader/>
        </w:trPr>
        <w:tc>
          <w:tcPr>
            <w:tcW w:w="1600" w:type="pct"/>
            <w:tcBorders>
              <w:top w:val="single" w:sz="8" w:space="0" w:color="5B21B6"/>
              <w:left w:val="single" w:sz="8" w:space="0" w:color="5B21B6"/>
              <w:bottom w:val="single" w:sz="8" w:space="0" w:color="5B21B6"/>
              <w:right w:val="single" w:sz="8" w:space="0" w:color="5B21B6"/>
            </w:tcBorders>
            <w:shd w:val="clear" w:color="auto" w:fill="5B21B6"/>
            <w:tcMar>
              <w:top w:w="50" w:type="dxa"/>
              <w:left w:w="80" w:type="dxa"/>
              <w:bottom w:w="50" w:type="dxa"/>
              <w:right w:w="80" w:type="dxa"/>
            </w:tcMar>
            <w:hideMark/>
          </w:tcPr>
          <w:p w14:paraId="7BF5923E" w14:textId="77777777" w:rsidR="006F194D" w:rsidRDefault="006F194D" w:rsidP="00922D18">
            <w:pPr>
              <w:rPr>
                <w:rFonts w:ascii="Calibri" w:eastAsia="Times New Roman" w:hAnsi="Calibri" w:cs="Calibri"/>
                <w:b/>
                <w:bCs/>
                <w:color w:val="FFFFFF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7"/>
                <w:szCs w:val="17"/>
              </w:rPr>
              <w:t>Funktion</w:t>
            </w:r>
          </w:p>
        </w:tc>
        <w:tc>
          <w:tcPr>
            <w:tcW w:w="1900" w:type="pct"/>
            <w:tcBorders>
              <w:top w:val="single" w:sz="8" w:space="0" w:color="5B21B6"/>
              <w:left w:val="single" w:sz="8" w:space="0" w:color="5B21B6"/>
              <w:bottom w:val="single" w:sz="8" w:space="0" w:color="5B21B6"/>
              <w:right w:val="single" w:sz="8" w:space="0" w:color="5B21B6"/>
            </w:tcBorders>
            <w:shd w:val="clear" w:color="auto" w:fill="5B21B6"/>
            <w:tcMar>
              <w:top w:w="50" w:type="dxa"/>
              <w:left w:w="80" w:type="dxa"/>
              <w:bottom w:w="50" w:type="dxa"/>
              <w:right w:w="80" w:type="dxa"/>
            </w:tcMar>
            <w:hideMark/>
          </w:tcPr>
          <w:p w14:paraId="16F85E8B" w14:textId="77777777" w:rsidR="006F194D" w:rsidRDefault="006F194D" w:rsidP="00922D18">
            <w:pPr>
              <w:rPr>
                <w:rFonts w:ascii="Calibri" w:eastAsia="Times New Roman" w:hAnsi="Calibri" w:cs="Calibri"/>
                <w:b/>
                <w:bCs/>
                <w:color w:val="FFFFFF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7"/>
                <w:szCs w:val="17"/>
              </w:rPr>
              <w:t>Ihr Nutzen</w:t>
            </w:r>
          </w:p>
        </w:tc>
        <w:tc>
          <w:tcPr>
            <w:tcW w:w="0" w:type="auto"/>
            <w:tcBorders>
              <w:top w:val="single" w:sz="8" w:space="0" w:color="5B21B6"/>
              <w:left w:val="single" w:sz="8" w:space="0" w:color="5B21B6"/>
              <w:bottom w:val="single" w:sz="8" w:space="0" w:color="5B21B6"/>
              <w:right w:val="single" w:sz="8" w:space="0" w:color="5B21B6"/>
            </w:tcBorders>
            <w:shd w:val="clear" w:color="auto" w:fill="5B21B6"/>
            <w:tcMar>
              <w:top w:w="50" w:type="dxa"/>
              <w:left w:w="80" w:type="dxa"/>
              <w:bottom w:w="50" w:type="dxa"/>
              <w:right w:w="80" w:type="dxa"/>
            </w:tcMar>
            <w:hideMark/>
          </w:tcPr>
          <w:p w14:paraId="514FC473" w14:textId="77777777" w:rsidR="006F194D" w:rsidRDefault="006F194D" w:rsidP="00922D18">
            <w:pPr>
              <w:rPr>
                <w:rFonts w:ascii="Calibri" w:eastAsia="Times New Roman" w:hAnsi="Calibri" w:cs="Calibri"/>
                <w:b/>
                <w:bCs/>
                <w:color w:val="FFFFFF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7"/>
                <w:szCs w:val="17"/>
              </w:rPr>
              <w:t>Stand</w:t>
            </w:r>
          </w:p>
        </w:tc>
      </w:tr>
      <w:tr w:rsidR="00000000" w14:paraId="663DB258" w14:textId="77777777" w:rsidTr="00922D18">
        <w:tc>
          <w:tcPr>
            <w:tcW w:w="0" w:type="auto"/>
            <w:tcBorders>
              <w:top w:val="single" w:sz="8" w:space="0" w:color="DDD6FE"/>
              <w:left w:val="single" w:sz="8" w:space="0" w:color="DDD6FE"/>
              <w:bottom w:val="single" w:sz="8" w:space="0" w:color="DDD6FE"/>
              <w:right w:val="single" w:sz="8" w:space="0" w:color="DDD6FE"/>
            </w:tcBorders>
            <w:tcMar>
              <w:top w:w="50" w:type="dxa"/>
              <w:left w:w="80" w:type="dxa"/>
              <w:bottom w:w="50" w:type="dxa"/>
              <w:right w:w="80" w:type="dxa"/>
            </w:tcMar>
            <w:hideMark/>
          </w:tcPr>
          <w:p w14:paraId="65201193" w14:textId="77777777" w:rsidR="006F194D" w:rsidRDefault="006F194D" w:rsidP="00922D18">
            <w:pPr>
              <w:rPr>
                <w:rFonts w:ascii="Calibri" w:eastAsia="Times New Roman" w:hAnsi="Calibri" w:cs="Calibri"/>
                <w:color w:val="1B1B2F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1B1B2F"/>
                <w:sz w:val="17"/>
                <w:szCs w:val="17"/>
              </w:rPr>
              <w:t>Echtzeit-Dashboard mit Kennzahlen und Ampeln je Maßnahme</w:t>
            </w:r>
          </w:p>
        </w:tc>
        <w:tc>
          <w:tcPr>
            <w:tcW w:w="0" w:type="auto"/>
            <w:tcBorders>
              <w:top w:val="single" w:sz="8" w:space="0" w:color="DDD6FE"/>
              <w:left w:val="single" w:sz="8" w:space="0" w:color="DDD6FE"/>
              <w:bottom w:val="single" w:sz="8" w:space="0" w:color="DDD6FE"/>
              <w:right w:val="single" w:sz="8" w:space="0" w:color="DDD6FE"/>
            </w:tcBorders>
            <w:tcMar>
              <w:top w:w="50" w:type="dxa"/>
              <w:left w:w="80" w:type="dxa"/>
              <w:bottom w:w="50" w:type="dxa"/>
              <w:right w:w="80" w:type="dxa"/>
            </w:tcMar>
            <w:hideMark/>
          </w:tcPr>
          <w:p w14:paraId="1A4F265F" w14:textId="77777777" w:rsidR="006F194D" w:rsidRDefault="006F194D" w:rsidP="00922D18">
            <w:pPr>
              <w:rPr>
                <w:rFonts w:ascii="Calibri" w:eastAsia="Times New Roman" w:hAnsi="Calibri" w:cs="Calibri"/>
                <w:color w:val="1B1B2F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1B1B2F"/>
                <w:sz w:val="17"/>
                <w:szCs w:val="17"/>
              </w:rPr>
              <w:t>Abweichungen fallen sofort auf, nicht erst im Quartalsbericht</w:t>
            </w:r>
          </w:p>
        </w:tc>
        <w:tc>
          <w:tcPr>
            <w:tcW w:w="0" w:type="auto"/>
            <w:tcBorders>
              <w:top w:val="single" w:sz="8" w:space="0" w:color="DDD6FE"/>
              <w:left w:val="single" w:sz="8" w:space="0" w:color="DDD6FE"/>
              <w:bottom w:val="single" w:sz="8" w:space="0" w:color="DDD6FE"/>
              <w:right w:val="single" w:sz="8" w:space="0" w:color="DDD6FE"/>
            </w:tcBorders>
            <w:tcMar>
              <w:top w:w="50" w:type="dxa"/>
              <w:left w:w="80" w:type="dxa"/>
              <w:bottom w:w="50" w:type="dxa"/>
              <w:right w:w="80" w:type="dxa"/>
            </w:tcMar>
            <w:hideMark/>
          </w:tcPr>
          <w:p w14:paraId="697FC88D" w14:textId="77777777" w:rsidR="006F194D" w:rsidRDefault="006F194D" w:rsidP="00922D18">
            <w:pPr>
              <w:rPr>
                <w:rFonts w:ascii="Calibri" w:eastAsia="Times New Roman" w:hAnsi="Calibri" w:cs="Calibri"/>
                <w:color w:val="6B7280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6B7280"/>
                <w:sz w:val="17"/>
                <w:szCs w:val="17"/>
              </w:rPr>
              <w:t>Prototyp – klickbar, Übungsdaten</w:t>
            </w:r>
          </w:p>
        </w:tc>
      </w:tr>
      <w:tr w:rsidR="00000000" w14:paraId="176D7E0A" w14:textId="77777777" w:rsidTr="00922D18">
        <w:tc>
          <w:tcPr>
            <w:tcW w:w="0" w:type="auto"/>
            <w:tcBorders>
              <w:top w:val="single" w:sz="8" w:space="0" w:color="DDD6FE"/>
              <w:left w:val="single" w:sz="8" w:space="0" w:color="DDD6FE"/>
              <w:bottom w:val="single" w:sz="8" w:space="0" w:color="DDD6FE"/>
              <w:right w:val="single" w:sz="8" w:space="0" w:color="DDD6FE"/>
            </w:tcBorders>
            <w:tcMar>
              <w:top w:w="50" w:type="dxa"/>
              <w:left w:w="80" w:type="dxa"/>
              <w:bottom w:w="50" w:type="dxa"/>
              <w:right w:w="80" w:type="dxa"/>
            </w:tcMar>
            <w:hideMark/>
          </w:tcPr>
          <w:p w14:paraId="67EFD41A" w14:textId="77777777" w:rsidR="006F194D" w:rsidRDefault="006F194D" w:rsidP="00922D18">
            <w:pPr>
              <w:rPr>
                <w:rFonts w:ascii="Calibri" w:eastAsia="Times New Roman" w:hAnsi="Calibri" w:cs="Calibri"/>
                <w:color w:val="1B1B2F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1B1B2F"/>
                <w:sz w:val="17"/>
                <w:szCs w:val="17"/>
              </w:rPr>
              <w:t>Beleg-Drilldown über drei Ebenen bis zur Zeitbuchung</w:t>
            </w:r>
          </w:p>
        </w:tc>
        <w:tc>
          <w:tcPr>
            <w:tcW w:w="0" w:type="auto"/>
            <w:tcBorders>
              <w:top w:val="single" w:sz="8" w:space="0" w:color="DDD6FE"/>
              <w:left w:val="single" w:sz="8" w:space="0" w:color="DDD6FE"/>
              <w:bottom w:val="single" w:sz="8" w:space="0" w:color="DDD6FE"/>
              <w:right w:val="single" w:sz="8" w:space="0" w:color="DDD6FE"/>
            </w:tcBorders>
            <w:tcMar>
              <w:top w:w="50" w:type="dxa"/>
              <w:left w:w="80" w:type="dxa"/>
              <w:bottom w:w="50" w:type="dxa"/>
              <w:right w:w="80" w:type="dxa"/>
            </w:tcMar>
            <w:hideMark/>
          </w:tcPr>
          <w:p w14:paraId="76A8C621" w14:textId="77777777" w:rsidR="006F194D" w:rsidRDefault="006F194D" w:rsidP="00922D18">
            <w:pPr>
              <w:rPr>
                <w:rFonts w:ascii="Calibri" w:eastAsia="Times New Roman" w:hAnsi="Calibri" w:cs="Calibri"/>
                <w:color w:val="1B1B2F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1B1B2F"/>
                <w:sz w:val="17"/>
                <w:szCs w:val="17"/>
              </w:rPr>
              <w:t>Ein Verdacht lässt sich in Minuten statt Monaten aufklären; Stichproben statt Vollprüfung</w:t>
            </w:r>
          </w:p>
        </w:tc>
        <w:tc>
          <w:tcPr>
            <w:tcW w:w="0" w:type="auto"/>
            <w:tcBorders>
              <w:top w:val="single" w:sz="8" w:space="0" w:color="DDD6FE"/>
              <w:left w:val="single" w:sz="8" w:space="0" w:color="DDD6FE"/>
              <w:bottom w:val="single" w:sz="8" w:space="0" w:color="DDD6FE"/>
              <w:right w:val="single" w:sz="8" w:space="0" w:color="DDD6FE"/>
            </w:tcBorders>
            <w:tcMar>
              <w:top w:w="50" w:type="dxa"/>
              <w:left w:w="80" w:type="dxa"/>
              <w:bottom w:w="50" w:type="dxa"/>
              <w:right w:w="80" w:type="dxa"/>
            </w:tcMar>
            <w:hideMark/>
          </w:tcPr>
          <w:p w14:paraId="43C5D447" w14:textId="77777777" w:rsidR="006F194D" w:rsidRDefault="006F194D" w:rsidP="00922D18">
            <w:pPr>
              <w:rPr>
                <w:rFonts w:ascii="Calibri" w:eastAsia="Times New Roman" w:hAnsi="Calibri" w:cs="Calibri"/>
                <w:color w:val="6B7280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6B7280"/>
                <w:sz w:val="17"/>
                <w:szCs w:val="17"/>
              </w:rPr>
              <w:t>Prototyp – Übungsdaten</w:t>
            </w:r>
          </w:p>
        </w:tc>
      </w:tr>
      <w:tr w:rsidR="00000000" w14:paraId="46FAF03E" w14:textId="77777777" w:rsidTr="00922D18">
        <w:tc>
          <w:tcPr>
            <w:tcW w:w="0" w:type="auto"/>
            <w:tcBorders>
              <w:top w:val="single" w:sz="8" w:space="0" w:color="DDD6FE"/>
              <w:left w:val="single" w:sz="8" w:space="0" w:color="DDD6FE"/>
              <w:bottom w:val="single" w:sz="8" w:space="0" w:color="DDD6FE"/>
              <w:right w:val="single" w:sz="8" w:space="0" w:color="DDD6FE"/>
            </w:tcBorders>
            <w:tcMar>
              <w:top w:w="50" w:type="dxa"/>
              <w:left w:w="80" w:type="dxa"/>
              <w:bottom w:w="50" w:type="dxa"/>
              <w:right w:w="80" w:type="dxa"/>
            </w:tcMar>
            <w:hideMark/>
          </w:tcPr>
          <w:p w14:paraId="5E88FBBB" w14:textId="77777777" w:rsidR="006F194D" w:rsidRDefault="006F194D" w:rsidP="00922D18">
            <w:pPr>
              <w:rPr>
                <w:rFonts w:ascii="Calibri" w:eastAsia="Times New Roman" w:hAnsi="Calibri" w:cs="Calibri"/>
                <w:color w:val="1B1B2F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1B1B2F"/>
                <w:sz w:val="17"/>
                <w:szCs w:val="17"/>
              </w:rPr>
              <w:t>Eingliederungsnachweis mit Online-Verifikation (Prüfcode, Fernsiegel)</w:t>
            </w:r>
          </w:p>
        </w:tc>
        <w:tc>
          <w:tcPr>
            <w:tcW w:w="0" w:type="auto"/>
            <w:tcBorders>
              <w:top w:val="single" w:sz="8" w:space="0" w:color="DDD6FE"/>
              <w:left w:val="single" w:sz="8" w:space="0" w:color="DDD6FE"/>
              <w:bottom w:val="single" w:sz="8" w:space="0" w:color="DDD6FE"/>
              <w:right w:val="single" w:sz="8" w:space="0" w:color="DDD6FE"/>
            </w:tcBorders>
            <w:tcMar>
              <w:top w:w="50" w:type="dxa"/>
              <w:left w:w="80" w:type="dxa"/>
              <w:bottom w:w="50" w:type="dxa"/>
              <w:right w:w="80" w:type="dxa"/>
            </w:tcMar>
            <w:hideMark/>
          </w:tcPr>
          <w:p w14:paraId="482E1451" w14:textId="77777777" w:rsidR="006F194D" w:rsidRDefault="006F194D" w:rsidP="00922D18">
            <w:pPr>
              <w:rPr>
                <w:rFonts w:ascii="Calibri" w:eastAsia="Times New Roman" w:hAnsi="Calibri" w:cs="Calibri"/>
                <w:color w:val="1B1B2F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1B1B2F"/>
                <w:sz w:val="17"/>
                <w:szCs w:val="17"/>
              </w:rPr>
              <w:t>Eingliederungsquoten sind je Abschluss nachprüfbar – ohne Klarnamen</w:t>
            </w:r>
          </w:p>
        </w:tc>
        <w:tc>
          <w:tcPr>
            <w:tcW w:w="0" w:type="auto"/>
            <w:tcBorders>
              <w:top w:val="single" w:sz="8" w:space="0" w:color="DDD6FE"/>
              <w:left w:val="single" w:sz="8" w:space="0" w:color="DDD6FE"/>
              <w:bottom w:val="single" w:sz="8" w:space="0" w:color="DDD6FE"/>
              <w:right w:val="single" w:sz="8" w:space="0" w:color="DDD6FE"/>
            </w:tcBorders>
            <w:tcMar>
              <w:top w:w="50" w:type="dxa"/>
              <w:left w:w="80" w:type="dxa"/>
              <w:bottom w:w="50" w:type="dxa"/>
              <w:right w:w="80" w:type="dxa"/>
            </w:tcMar>
            <w:hideMark/>
          </w:tcPr>
          <w:p w14:paraId="2ACE4A08" w14:textId="77777777" w:rsidR="006F194D" w:rsidRDefault="006F194D" w:rsidP="00922D18">
            <w:pPr>
              <w:rPr>
                <w:rFonts w:ascii="Calibri" w:eastAsia="Times New Roman" w:hAnsi="Calibri" w:cs="Calibri"/>
                <w:color w:val="6B7280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6B7280"/>
                <w:sz w:val="17"/>
                <w:szCs w:val="17"/>
              </w:rPr>
              <w:t>Prototyp – Prüfcode lokal; Fernsiegel-Anbindung vorbereitet</w:t>
            </w:r>
          </w:p>
        </w:tc>
      </w:tr>
      <w:tr w:rsidR="00000000" w14:paraId="2D30E503" w14:textId="77777777" w:rsidTr="00922D18">
        <w:tc>
          <w:tcPr>
            <w:tcW w:w="0" w:type="auto"/>
            <w:tcBorders>
              <w:top w:val="single" w:sz="8" w:space="0" w:color="DDD6FE"/>
              <w:left w:val="single" w:sz="8" w:space="0" w:color="DDD6FE"/>
              <w:bottom w:val="single" w:sz="8" w:space="0" w:color="DDD6FE"/>
              <w:right w:val="single" w:sz="8" w:space="0" w:color="DDD6FE"/>
            </w:tcBorders>
            <w:tcMar>
              <w:top w:w="50" w:type="dxa"/>
              <w:left w:w="80" w:type="dxa"/>
              <w:bottom w:w="50" w:type="dxa"/>
              <w:right w:w="80" w:type="dxa"/>
            </w:tcMar>
            <w:hideMark/>
          </w:tcPr>
          <w:p w14:paraId="23DF6479" w14:textId="77777777" w:rsidR="006F194D" w:rsidRDefault="006F194D" w:rsidP="00922D18">
            <w:pPr>
              <w:rPr>
                <w:rFonts w:ascii="Calibri" w:eastAsia="Times New Roman" w:hAnsi="Calibri" w:cs="Calibri"/>
                <w:color w:val="1B1B2F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1B1B2F"/>
                <w:sz w:val="17"/>
                <w:szCs w:val="17"/>
              </w:rPr>
              <w:t>Monatsbericht = Live-Ansicht, Prüfpaket-Export, Rückfrage</w:t>
            </w:r>
          </w:p>
        </w:tc>
        <w:tc>
          <w:tcPr>
            <w:tcW w:w="0" w:type="auto"/>
            <w:tcBorders>
              <w:top w:val="single" w:sz="8" w:space="0" w:color="DDD6FE"/>
              <w:left w:val="single" w:sz="8" w:space="0" w:color="DDD6FE"/>
              <w:bottom w:val="single" w:sz="8" w:space="0" w:color="DDD6FE"/>
              <w:right w:val="single" w:sz="8" w:space="0" w:color="DDD6FE"/>
            </w:tcBorders>
            <w:tcMar>
              <w:top w:w="50" w:type="dxa"/>
              <w:left w:w="80" w:type="dxa"/>
              <w:bottom w:w="50" w:type="dxa"/>
              <w:right w:w="80" w:type="dxa"/>
            </w:tcMar>
            <w:hideMark/>
          </w:tcPr>
          <w:p w14:paraId="4C1E49A7" w14:textId="77777777" w:rsidR="006F194D" w:rsidRDefault="006F194D" w:rsidP="00922D18">
            <w:pPr>
              <w:rPr>
                <w:rFonts w:ascii="Calibri" w:eastAsia="Times New Roman" w:hAnsi="Calibri" w:cs="Calibri"/>
                <w:color w:val="1B1B2F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1B1B2F"/>
                <w:sz w:val="17"/>
                <w:szCs w:val="17"/>
              </w:rPr>
              <w:t>Kein Warten auf den Bericht; Prüfpaket auf Knopfdruck</w:t>
            </w:r>
          </w:p>
        </w:tc>
        <w:tc>
          <w:tcPr>
            <w:tcW w:w="0" w:type="auto"/>
            <w:tcBorders>
              <w:top w:val="single" w:sz="8" w:space="0" w:color="DDD6FE"/>
              <w:left w:val="single" w:sz="8" w:space="0" w:color="DDD6FE"/>
              <w:bottom w:val="single" w:sz="8" w:space="0" w:color="DDD6FE"/>
              <w:right w:val="single" w:sz="8" w:space="0" w:color="DDD6FE"/>
            </w:tcBorders>
            <w:tcMar>
              <w:top w:w="50" w:type="dxa"/>
              <w:left w:w="80" w:type="dxa"/>
              <w:bottom w:w="50" w:type="dxa"/>
              <w:right w:w="80" w:type="dxa"/>
            </w:tcMar>
            <w:hideMark/>
          </w:tcPr>
          <w:p w14:paraId="40FC6163" w14:textId="77777777" w:rsidR="006F194D" w:rsidRDefault="006F194D" w:rsidP="00922D18">
            <w:pPr>
              <w:rPr>
                <w:rFonts w:ascii="Calibri" w:eastAsia="Times New Roman" w:hAnsi="Calibri" w:cs="Calibri"/>
                <w:color w:val="6B7280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6B7280"/>
                <w:sz w:val="17"/>
                <w:szCs w:val="17"/>
              </w:rPr>
              <w:t>Prototyp – Oberfläche vorhanden, PDF-Erzeugung noch nicht</w:t>
            </w:r>
          </w:p>
        </w:tc>
      </w:tr>
      <w:tr w:rsidR="00000000" w14:paraId="53F50680" w14:textId="77777777" w:rsidTr="00922D18">
        <w:tc>
          <w:tcPr>
            <w:tcW w:w="0" w:type="auto"/>
            <w:tcBorders>
              <w:top w:val="single" w:sz="8" w:space="0" w:color="DDD6FE"/>
              <w:left w:val="single" w:sz="8" w:space="0" w:color="DDD6FE"/>
              <w:bottom w:val="single" w:sz="8" w:space="0" w:color="DDD6FE"/>
              <w:right w:val="single" w:sz="8" w:space="0" w:color="DDD6FE"/>
            </w:tcBorders>
            <w:tcMar>
              <w:top w:w="50" w:type="dxa"/>
              <w:left w:w="80" w:type="dxa"/>
              <w:bottom w:w="50" w:type="dxa"/>
              <w:right w:w="80" w:type="dxa"/>
            </w:tcMar>
            <w:hideMark/>
          </w:tcPr>
          <w:p w14:paraId="47CE79F5" w14:textId="77777777" w:rsidR="006F194D" w:rsidRDefault="006F194D" w:rsidP="00922D18">
            <w:pPr>
              <w:rPr>
                <w:rFonts w:ascii="Calibri" w:eastAsia="Times New Roman" w:hAnsi="Calibri" w:cs="Calibri"/>
                <w:color w:val="1B1B2F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1B1B2F"/>
                <w:sz w:val="17"/>
                <w:szCs w:val="17"/>
              </w:rPr>
              <w:t>eM@w-Meldungen aus Ist-Daten, menschlich freigegeben</w:t>
            </w:r>
          </w:p>
        </w:tc>
        <w:tc>
          <w:tcPr>
            <w:tcW w:w="0" w:type="auto"/>
            <w:tcBorders>
              <w:top w:val="single" w:sz="8" w:space="0" w:color="DDD6FE"/>
              <w:left w:val="single" w:sz="8" w:space="0" w:color="DDD6FE"/>
              <w:bottom w:val="single" w:sz="8" w:space="0" w:color="DDD6FE"/>
              <w:right w:val="single" w:sz="8" w:space="0" w:color="DDD6FE"/>
            </w:tcBorders>
            <w:tcMar>
              <w:top w:w="50" w:type="dxa"/>
              <w:left w:w="80" w:type="dxa"/>
              <w:bottom w:w="50" w:type="dxa"/>
              <w:right w:w="80" w:type="dxa"/>
            </w:tcMar>
            <w:hideMark/>
          </w:tcPr>
          <w:p w14:paraId="57298BFC" w14:textId="77777777" w:rsidR="006F194D" w:rsidRDefault="006F194D" w:rsidP="00922D18">
            <w:pPr>
              <w:rPr>
                <w:rFonts w:ascii="Calibri" w:eastAsia="Times New Roman" w:hAnsi="Calibri" w:cs="Calibri"/>
                <w:color w:val="1B1B2F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1B1B2F"/>
                <w:sz w:val="17"/>
                <w:szCs w:val="17"/>
              </w:rPr>
              <w:t>Pflichtmeldungen und Dashboard stimmen überein; weniger Nachforderungen</w:t>
            </w:r>
          </w:p>
        </w:tc>
        <w:tc>
          <w:tcPr>
            <w:tcW w:w="0" w:type="auto"/>
            <w:tcBorders>
              <w:top w:val="single" w:sz="8" w:space="0" w:color="DDD6FE"/>
              <w:left w:val="single" w:sz="8" w:space="0" w:color="DDD6FE"/>
              <w:bottom w:val="single" w:sz="8" w:space="0" w:color="DDD6FE"/>
              <w:right w:val="single" w:sz="8" w:space="0" w:color="DDD6FE"/>
            </w:tcBorders>
            <w:tcMar>
              <w:top w:w="50" w:type="dxa"/>
              <w:left w:w="80" w:type="dxa"/>
              <w:bottom w:w="50" w:type="dxa"/>
              <w:right w:w="80" w:type="dxa"/>
            </w:tcMar>
            <w:hideMark/>
          </w:tcPr>
          <w:p w14:paraId="6FEC3689" w14:textId="77777777" w:rsidR="006F194D" w:rsidRDefault="006F194D" w:rsidP="00922D18">
            <w:pPr>
              <w:rPr>
                <w:rFonts w:ascii="Calibri" w:eastAsia="Times New Roman" w:hAnsi="Calibri" w:cs="Calibri"/>
                <w:color w:val="6B7280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6B7280"/>
                <w:sz w:val="17"/>
                <w:szCs w:val="17"/>
              </w:rPr>
              <w:t>Anbindung vorbereitet; Herstellerzulassung wird beantragt</w:t>
            </w:r>
          </w:p>
        </w:tc>
      </w:tr>
      <w:tr w:rsidR="00000000" w14:paraId="04D036F4" w14:textId="77777777" w:rsidTr="00922D18">
        <w:tc>
          <w:tcPr>
            <w:tcW w:w="0" w:type="auto"/>
            <w:tcBorders>
              <w:top w:val="single" w:sz="8" w:space="0" w:color="DDD6FE"/>
              <w:left w:val="single" w:sz="8" w:space="0" w:color="DDD6FE"/>
              <w:bottom w:val="single" w:sz="8" w:space="0" w:color="DDD6FE"/>
              <w:right w:val="single" w:sz="8" w:space="0" w:color="DDD6FE"/>
            </w:tcBorders>
            <w:tcMar>
              <w:top w:w="50" w:type="dxa"/>
              <w:left w:w="80" w:type="dxa"/>
              <w:bottom w:w="50" w:type="dxa"/>
              <w:right w:w="80" w:type="dxa"/>
            </w:tcMar>
            <w:hideMark/>
          </w:tcPr>
          <w:p w14:paraId="7A074984" w14:textId="77777777" w:rsidR="006F194D" w:rsidRDefault="006F194D" w:rsidP="00922D18">
            <w:pPr>
              <w:rPr>
                <w:rFonts w:ascii="Calibri" w:eastAsia="Times New Roman" w:hAnsi="Calibri" w:cs="Calibri"/>
                <w:color w:val="1B1B2F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1B1B2F"/>
                <w:sz w:val="17"/>
                <w:szCs w:val="17"/>
              </w:rPr>
              <w:t>Frühwarnung Abbruchrisiko → Motivationsbegleitung</w:t>
            </w:r>
          </w:p>
        </w:tc>
        <w:tc>
          <w:tcPr>
            <w:tcW w:w="0" w:type="auto"/>
            <w:tcBorders>
              <w:top w:val="single" w:sz="8" w:space="0" w:color="DDD6FE"/>
              <w:left w:val="single" w:sz="8" w:space="0" w:color="DDD6FE"/>
              <w:bottom w:val="single" w:sz="8" w:space="0" w:color="DDD6FE"/>
              <w:right w:val="single" w:sz="8" w:space="0" w:color="DDD6FE"/>
            </w:tcBorders>
            <w:tcMar>
              <w:top w:w="50" w:type="dxa"/>
              <w:left w:w="80" w:type="dxa"/>
              <w:bottom w:w="50" w:type="dxa"/>
              <w:right w:w="80" w:type="dxa"/>
            </w:tcMar>
            <w:hideMark/>
          </w:tcPr>
          <w:p w14:paraId="049C582D" w14:textId="77777777" w:rsidR="006F194D" w:rsidRDefault="006F194D" w:rsidP="00922D18">
            <w:pPr>
              <w:rPr>
                <w:rFonts w:ascii="Calibri" w:eastAsia="Times New Roman" w:hAnsi="Calibri" w:cs="Calibri"/>
                <w:color w:val="1B1B2F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1B1B2F"/>
                <w:sz w:val="17"/>
                <w:szCs w:val="17"/>
              </w:rPr>
              <w:t>Intervention, bevor die Maßnahme scheitert – als Empfehlung, nie automatisch</w:t>
            </w:r>
          </w:p>
        </w:tc>
        <w:tc>
          <w:tcPr>
            <w:tcW w:w="0" w:type="auto"/>
            <w:tcBorders>
              <w:top w:val="single" w:sz="8" w:space="0" w:color="DDD6FE"/>
              <w:left w:val="single" w:sz="8" w:space="0" w:color="DDD6FE"/>
              <w:bottom w:val="single" w:sz="8" w:space="0" w:color="DDD6FE"/>
              <w:right w:val="single" w:sz="8" w:space="0" w:color="DDD6FE"/>
            </w:tcBorders>
            <w:tcMar>
              <w:top w:w="50" w:type="dxa"/>
              <w:left w:w="80" w:type="dxa"/>
              <w:bottom w:w="50" w:type="dxa"/>
              <w:right w:w="80" w:type="dxa"/>
            </w:tcMar>
            <w:hideMark/>
          </w:tcPr>
          <w:p w14:paraId="7CEF5657" w14:textId="77777777" w:rsidR="006F194D" w:rsidRDefault="006F194D" w:rsidP="00922D18">
            <w:pPr>
              <w:rPr>
                <w:rFonts w:ascii="Calibri" w:eastAsia="Times New Roman" w:hAnsi="Calibri" w:cs="Calibri"/>
                <w:color w:val="6B7280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6B7280"/>
                <w:sz w:val="17"/>
                <w:szCs w:val="17"/>
              </w:rPr>
              <w:t>Prototyp – Frühwarnliste, Score, Eskalation intern</w:t>
            </w:r>
          </w:p>
        </w:tc>
      </w:tr>
      <w:tr w:rsidR="00000000" w14:paraId="57DE8E13" w14:textId="77777777" w:rsidTr="00922D18">
        <w:tc>
          <w:tcPr>
            <w:tcW w:w="0" w:type="auto"/>
            <w:tcBorders>
              <w:top w:val="single" w:sz="8" w:space="0" w:color="DDD6FE"/>
              <w:left w:val="single" w:sz="8" w:space="0" w:color="DDD6FE"/>
              <w:bottom w:val="single" w:sz="8" w:space="0" w:color="DDD6FE"/>
              <w:right w:val="single" w:sz="8" w:space="0" w:color="DDD6FE"/>
            </w:tcBorders>
            <w:tcMar>
              <w:top w:w="50" w:type="dxa"/>
              <w:left w:w="80" w:type="dxa"/>
              <w:bottom w:w="50" w:type="dxa"/>
              <w:right w:w="80" w:type="dxa"/>
            </w:tcMar>
            <w:hideMark/>
          </w:tcPr>
          <w:p w14:paraId="42D8DF1F" w14:textId="77777777" w:rsidR="006F194D" w:rsidRDefault="006F194D" w:rsidP="00922D18">
            <w:pPr>
              <w:rPr>
                <w:rFonts w:ascii="Calibri" w:eastAsia="Times New Roman" w:hAnsi="Calibri" w:cs="Calibri"/>
                <w:color w:val="1B1B2F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1B1B2F"/>
                <w:sz w:val="17"/>
                <w:szCs w:val="17"/>
              </w:rPr>
              <w:t>Internes Kontrollsystem: Maßnahmen-ID-Pflicht, Dubletten-Stopp, Vier-Augen-Zahllauf, Append-only-Protokoll</w:t>
            </w:r>
          </w:p>
        </w:tc>
        <w:tc>
          <w:tcPr>
            <w:tcW w:w="0" w:type="auto"/>
            <w:tcBorders>
              <w:top w:val="single" w:sz="8" w:space="0" w:color="DDD6FE"/>
              <w:left w:val="single" w:sz="8" w:space="0" w:color="DDD6FE"/>
              <w:bottom w:val="single" w:sz="8" w:space="0" w:color="DDD6FE"/>
              <w:right w:val="single" w:sz="8" w:space="0" w:color="DDD6FE"/>
            </w:tcBorders>
            <w:tcMar>
              <w:top w:w="50" w:type="dxa"/>
              <w:left w:w="80" w:type="dxa"/>
              <w:bottom w:w="50" w:type="dxa"/>
              <w:right w:w="80" w:type="dxa"/>
            </w:tcMar>
            <w:hideMark/>
          </w:tcPr>
          <w:p w14:paraId="14F46FBF" w14:textId="77777777" w:rsidR="006F194D" w:rsidRDefault="006F194D" w:rsidP="00922D18">
            <w:pPr>
              <w:rPr>
                <w:rFonts w:ascii="Calibri" w:eastAsia="Times New Roman" w:hAnsi="Calibri" w:cs="Calibri"/>
                <w:color w:val="1B1B2F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1B1B2F"/>
                <w:sz w:val="17"/>
                <w:szCs w:val="17"/>
              </w:rPr>
              <w:t>Schutz vor Abrechnungsmissbrauch, objektiv prüfbar ohne Sonderprüfung</w:t>
            </w:r>
          </w:p>
        </w:tc>
        <w:tc>
          <w:tcPr>
            <w:tcW w:w="0" w:type="auto"/>
            <w:tcBorders>
              <w:top w:val="single" w:sz="8" w:space="0" w:color="DDD6FE"/>
              <w:left w:val="single" w:sz="8" w:space="0" w:color="DDD6FE"/>
              <w:bottom w:val="single" w:sz="8" w:space="0" w:color="DDD6FE"/>
              <w:right w:val="single" w:sz="8" w:space="0" w:color="DDD6FE"/>
            </w:tcBorders>
            <w:tcMar>
              <w:top w:w="50" w:type="dxa"/>
              <w:left w:w="80" w:type="dxa"/>
              <w:bottom w:w="50" w:type="dxa"/>
              <w:right w:w="80" w:type="dxa"/>
            </w:tcMar>
            <w:hideMark/>
          </w:tcPr>
          <w:p w14:paraId="006FB0CE" w14:textId="77777777" w:rsidR="006F194D" w:rsidRDefault="006F194D" w:rsidP="00922D18">
            <w:pPr>
              <w:rPr>
                <w:rFonts w:ascii="Calibri" w:eastAsia="Times New Roman" w:hAnsi="Calibri" w:cs="Calibri"/>
                <w:color w:val="6B7280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6B7280"/>
                <w:sz w:val="17"/>
                <w:szCs w:val="17"/>
              </w:rPr>
              <w:t>Prototyp – Übungsdaten</w:t>
            </w:r>
          </w:p>
        </w:tc>
      </w:tr>
      <w:tr w:rsidR="00000000" w14:paraId="4E244037" w14:textId="77777777" w:rsidTr="00922D18">
        <w:tc>
          <w:tcPr>
            <w:tcW w:w="0" w:type="auto"/>
            <w:tcBorders>
              <w:top w:val="single" w:sz="8" w:space="0" w:color="DDD6FE"/>
              <w:left w:val="single" w:sz="8" w:space="0" w:color="DDD6FE"/>
              <w:bottom w:val="single" w:sz="8" w:space="0" w:color="DDD6FE"/>
              <w:right w:val="single" w:sz="8" w:space="0" w:color="DDD6FE"/>
            </w:tcBorders>
            <w:tcMar>
              <w:top w:w="50" w:type="dxa"/>
              <w:left w:w="80" w:type="dxa"/>
              <w:bottom w:w="50" w:type="dxa"/>
              <w:right w:w="80" w:type="dxa"/>
            </w:tcMar>
            <w:hideMark/>
          </w:tcPr>
          <w:p w14:paraId="0FFD546F" w14:textId="77777777" w:rsidR="006F194D" w:rsidRDefault="006F194D" w:rsidP="00922D18">
            <w:pPr>
              <w:rPr>
                <w:rFonts w:ascii="Calibri" w:eastAsia="Times New Roman" w:hAnsi="Calibri" w:cs="Calibri"/>
                <w:color w:val="1B1B2F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1B1B2F"/>
                <w:sz w:val="17"/>
                <w:szCs w:val="17"/>
              </w:rPr>
              <w:t>Live-Marktdaten: Stellen der BA-Jobbörse für das Teilnehmer-Matching, EU-Ausschreibungen (TED)</w:t>
            </w:r>
          </w:p>
        </w:tc>
        <w:tc>
          <w:tcPr>
            <w:tcW w:w="0" w:type="auto"/>
            <w:tcBorders>
              <w:top w:val="single" w:sz="8" w:space="0" w:color="DDD6FE"/>
              <w:left w:val="single" w:sz="8" w:space="0" w:color="DDD6FE"/>
              <w:bottom w:val="single" w:sz="8" w:space="0" w:color="DDD6FE"/>
              <w:right w:val="single" w:sz="8" w:space="0" w:color="DDD6FE"/>
            </w:tcBorders>
            <w:tcMar>
              <w:top w:w="50" w:type="dxa"/>
              <w:left w:w="80" w:type="dxa"/>
              <w:bottom w:w="50" w:type="dxa"/>
              <w:right w:w="80" w:type="dxa"/>
            </w:tcMar>
            <w:hideMark/>
          </w:tcPr>
          <w:p w14:paraId="049CE9FD" w14:textId="77777777" w:rsidR="006F194D" w:rsidRDefault="006F194D" w:rsidP="00922D18">
            <w:pPr>
              <w:rPr>
                <w:rFonts w:ascii="Calibri" w:eastAsia="Times New Roman" w:hAnsi="Calibri" w:cs="Calibri"/>
                <w:color w:val="1B1B2F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1B1B2F"/>
                <w:sz w:val="17"/>
                <w:szCs w:val="17"/>
              </w:rPr>
              <w:t>Vermittlung gegen den echten Stellenmarkt; Beleg, dass die Plattform Marktdaten anbindet</w:t>
            </w:r>
          </w:p>
        </w:tc>
        <w:tc>
          <w:tcPr>
            <w:tcW w:w="0" w:type="auto"/>
            <w:tcBorders>
              <w:top w:val="single" w:sz="8" w:space="0" w:color="DDD6FE"/>
              <w:left w:val="single" w:sz="8" w:space="0" w:color="DDD6FE"/>
              <w:bottom w:val="single" w:sz="8" w:space="0" w:color="DDD6FE"/>
              <w:right w:val="single" w:sz="8" w:space="0" w:color="DDD6FE"/>
            </w:tcBorders>
            <w:tcMar>
              <w:top w:w="50" w:type="dxa"/>
              <w:left w:w="80" w:type="dxa"/>
              <w:bottom w:w="50" w:type="dxa"/>
              <w:right w:w="80" w:type="dxa"/>
            </w:tcMar>
            <w:hideMark/>
          </w:tcPr>
          <w:p w14:paraId="12C94337" w14:textId="77777777" w:rsidR="006F194D" w:rsidRDefault="006F194D" w:rsidP="00922D18">
            <w:pPr>
              <w:rPr>
                <w:rFonts w:ascii="Calibri" w:eastAsia="Times New Roman" w:hAnsi="Calibri" w:cs="Calibri"/>
                <w:b/>
                <w:bCs/>
                <w:color w:val="047857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b/>
                <w:bCs/>
                <w:color w:val="047857"/>
                <w:sz w:val="17"/>
                <w:szCs w:val="17"/>
              </w:rPr>
              <w:t>live – BA-Stellen und TED-Bekanntmachungen</w:t>
            </w:r>
          </w:p>
        </w:tc>
      </w:tr>
    </w:tbl>
    <w:p w14:paraId="5FC05066" w14:textId="77777777" w:rsidR="006F194D" w:rsidRDefault="006F194D" w:rsidP="00922D18">
      <w:pPr>
        <w:pStyle w:val="berschrift3"/>
        <w:spacing w:before="0" w:after="3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Stand der Entwicklung (ehrlich)</w:t>
      </w:r>
    </w:p>
    <w:p w14:paraId="6FD951C3" w14:textId="77777777" w:rsidR="006F194D" w:rsidRDefault="006F194D" w:rsidP="00922D18">
      <w:pPr>
        <w:numPr>
          <w:ilvl w:val="0"/>
          <w:numId w:val="2"/>
        </w:numPr>
        <w:spacing w:after="30"/>
        <w:rPr>
          <w:rFonts w:ascii="Calibri" w:eastAsia="Times New Roman" w:hAnsi="Calibri" w:cs="Calibri"/>
          <w:color w:val="1B1B2F"/>
          <w:sz w:val="18"/>
          <w:szCs w:val="18"/>
        </w:rPr>
      </w:pPr>
      <w:r>
        <w:rPr>
          <w:rStyle w:val="Fett"/>
          <w:rFonts w:ascii="Calibri" w:eastAsia="Times New Roman" w:hAnsi="Calibri" w:cs="Calibri"/>
          <w:color w:val="1B1B2F"/>
          <w:sz w:val="18"/>
          <w:szCs w:val="18"/>
        </w:rPr>
        <w:t>Prototyp v0.5</w:t>
      </w:r>
      <w:r>
        <w:rPr>
          <w:rFonts w:ascii="Calibri" w:eastAsia="Times New Roman" w:hAnsi="Calibri" w:cs="Calibri"/>
          <w:color w:val="1B1B2F"/>
          <w:sz w:val="18"/>
          <w:szCs w:val="18"/>
        </w:rPr>
        <w:t xml:space="preserve"> </w:t>
      </w:r>
      <w:r>
        <w:rPr>
          <w:rFonts w:ascii="Calibri" w:eastAsia="Times New Roman" w:hAnsi="Calibri" w:cs="Calibri"/>
          <w:color w:val="1B1B2F"/>
          <w:sz w:val="18"/>
          <w:szCs w:val="18"/>
        </w:rPr>
        <w:t>– klickbare Webanwendung, zehn Rollen-Frontends, fünf Sprachen. Personen-, Maßnahmen- und Finanzdaten sind synthetische Übungsdaten – keine Referenzmaßnahmen, keine Kunden.</w:t>
      </w:r>
    </w:p>
    <w:p w14:paraId="7F229794" w14:textId="77777777" w:rsidR="006F194D" w:rsidRDefault="006F194D" w:rsidP="00922D18">
      <w:pPr>
        <w:numPr>
          <w:ilvl w:val="0"/>
          <w:numId w:val="2"/>
        </w:numPr>
        <w:spacing w:after="30"/>
        <w:rPr>
          <w:rFonts w:ascii="Calibri" w:eastAsia="Times New Roman" w:hAnsi="Calibri" w:cs="Calibri"/>
          <w:color w:val="1B1B2F"/>
          <w:sz w:val="18"/>
          <w:szCs w:val="18"/>
        </w:rPr>
      </w:pPr>
      <w:r>
        <w:rPr>
          <w:rStyle w:val="Fett"/>
          <w:rFonts w:ascii="Calibri" w:eastAsia="Times New Roman" w:hAnsi="Calibri" w:cs="Calibri"/>
          <w:color w:val="1B1B2F"/>
          <w:sz w:val="18"/>
          <w:szCs w:val="18"/>
        </w:rPr>
        <w:t>Bereits angebunden:</w:t>
      </w:r>
      <w:r>
        <w:rPr>
          <w:rFonts w:ascii="Calibri" w:eastAsia="Times New Roman" w:hAnsi="Calibri" w:cs="Calibri"/>
          <w:color w:val="1B1B2F"/>
          <w:sz w:val="18"/>
          <w:szCs w:val="18"/>
        </w:rPr>
        <w:t xml:space="preserve"> BA-Jobsuche-API (Stellen live) und TED-Ausschreibungen (importiert + Live-Abruf über kayya.org).</w:t>
      </w:r>
    </w:p>
    <w:p w14:paraId="6D1DFEC6" w14:textId="77777777" w:rsidR="006F194D" w:rsidRDefault="006F194D" w:rsidP="00922D18">
      <w:pPr>
        <w:numPr>
          <w:ilvl w:val="0"/>
          <w:numId w:val="2"/>
        </w:numPr>
        <w:spacing w:after="30"/>
        <w:rPr>
          <w:rFonts w:ascii="Calibri" w:eastAsia="Times New Roman" w:hAnsi="Calibri" w:cs="Calibri"/>
          <w:color w:val="1B1B2F"/>
          <w:sz w:val="18"/>
          <w:szCs w:val="18"/>
        </w:rPr>
      </w:pPr>
      <w:r>
        <w:rPr>
          <w:rStyle w:val="Fett"/>
          <w:rFonts w:ascii="Calibri" w:eastAsia="Times New Roman" w:hAnsi="Calibri" w:cs="Calibri"/>
          <w:color w:val="1B1B2F"/>
          <w:sz w:val="18"/>
          <w:szCs w:val="18"/>
        </w:rPr>
        <w:t>KAȲȲA-KI:</w:t>
      </w:r>
      <w:r>
        <w:rPr>
          <w:rFonts w:ascii="Calibri" w:eastAsia="Times New Roman" w:hAnsi="Calibri" w:cs="Calibri"/>
          <w:color w:val="1B1B2F"/>
          <w:sz w:val="18"/>
          <w:szCs w:val="18"/>
        </w:rPr>
        <w:t xml:space="preserve"> </w:t>
      </w:r>
      <w:r>
        <w:rPr>
          <w:rFonts w:ascii="Calibri" w:eastAsia="Times New Roman" w:hAnsi="Calibri" w:cs="Calibri"/>
          <w:color w:val="1B1B2F"/>
          <w:sz w:val="18"/>
          <w:szCs w:val="18"/>
        </w:rPr>
        <w:t>Engine Claude (Anthropic) über unseren eigenen Server, Einwilligung vor Nutzung, keine Verwendung der Eingaben zum Training; wird freigeschaltet, sobald der Schlüssel hinterlegt ist. Gesundheitsdaten und Daten Dritter sind ausgeschlossen.</w:t>
      </w:r>
    </w:p>
    <w:p w14:paraId="32C3F56E" w14:textId="77777777" w:rsidR="006F194D" w:rsidRDefault="006F194D" w:rsidP="00922D18">
      <w:pPr>
        <w:numPr>
          <w:ilvl w:val="0"/>
          <w:numId w:val="2"/>
        </w:numPr>
        <w:spacing w:after="30"/>
        <w:rPr>
          <w:rFonts w:ascii="Calibri" w:eastAsia="Times New Roman" w:hAnsi="Calibri" w:cs="Calibri"/>
          <w:color w:val="1B1B2F"/>
          <w:sz w:val="18"/>
          <w:szCs w:val="18"/>
        </w:rPr>
      </w:pPr>
      <w:r>
        <w:rPr>
          <w:rStyle w:val="Fett"/>
          <w:rFonts w:ascii="Calibri" w:eastAsia="Times New Roman" w:hAnsi="Calibri" w:cs="Calibri"/>
          <w:color w:val="1B1B2F"/>
          <w:sz w:val="18"/>
          <w:szCs w:val="18"/>
        </w:rPr>
        <w:t>Träger:</w:t>
      </w:r>
      <w:r>
        <w:rPr>
          <w:rFonts w:ascii="Calibri" w:eastAsia="Times New Roman" w:hAnsi="Calibri" w:cs="Calibri"/>
          <w:color w:val="1B1B2F"/>
          <w:sz w:val="18"/>
          <w:szCs w:val="18"/>
        </w:rPr>
        <w:t xml:space="preserve"> </w:t>
      </w:r>
      <w:r>
        <w:rPr>
          <w:rFonts w:ascii="Calibri" w:eastAsia="Times New Roman" w:hAnsi="Calibri" w:cs="Calibri"/>
          <w:color w:val="1B1B2F"/>
          <w:sz w:val="18"/>
          <w:szCs w:val="18"/>
        </w:rPr>
        <w:t>KAȲȲA GmbH, Berlin (angemeldet 22.08.2026, Handelsregistereintrag beantragt). AZAV-Trägerzulassung wird mit dem ersten Kostenträger-Interesse terminiert; eM@w-Herstellerzulassung wird unabhängig davon beantragt. Teilnehmer- und Finanzdaten werden erst nach Datenschutzprüfung, Sicherheitshärtung und Zulassungen verarbeitet.</w:t>
      </w:r>
    </w:p>
    <w:p w14:paraId="22AB4E69" w14:textId="77777777" w:rsidR="006F194D" w:rsidRDefault="006F194D" w:rsidP="00922D18">
      <w:pPr>
        <w:numPr>
          <w:ilvl w:val="0"/>
          <w:numId w:val="2"/>
        </w:numPr>
        <w:spacing w:after="30"/>
        <w:rPr>
          <w:rFonts w:ascii="Calibri" w:eastAsia="Times New Roman" w:hAnsi="Calibri" w:cs="Calibri"/>
          <w:color w:val="1B1B2F"/>
          <w:sz w:val="18"/>
          <w:szCs w:val="18"/>
        </w:rPr>
      </w:pPr>
      <w:r>
        <w:rPr>
          <w:rStyle w:val="Fett"/>
          <w:rFonts w:ascii="Calibri" w:eastAsia="Times New Roman" w:hAnsi="Calibri" w:cs="Calibri"/>
          <w:color w:val="1B1B2F"/>
          <w:sz w:val="18"/>
          <w:szCs w:val="18"/>
        </w:rPr>
        <w:t>Eigenentwicklung</w:t>
      </w:r>
      <w:r>
        <w:rPr>
          <w:rFonts w:ascii="Calibri" w:eastAsia="Times New Roman" w:hAnsi="Calibri" w:cs="Calibri"/>
          <w:color w:val="1B1B2F"/>
          <w:sz w:val="18"/>
          <w:szCs w:val="18"/>
        </w:rPr>
        <w:t xml:space="preserve"> ohne Fremdlizenzen und ohne Investorenkapital als Voraussetzung.</w:t>
      </w:r>
    </w:p>
    <w:p w14:paraId="20EBD6A2" w14:textId="77777777" w:rsidR="006F194D" w:rsidRDefault="006F194D" w:rsidP="00922D18">
      <w:pPr>
        <w:pStyle w:val="kontakt"/>
        <w:spacing w:before="0" w:after="30"/>
        <w:rPr>
          <w:rFonts w:ascii="Calibri" w:hAnsi="Calibri" w:cs="Calibri"/>
          <w:color w:val="1B1B2F"/>
        </w:rPr>
      </w:pPr>
      <w:r>
        <w:rPr>
          <w:rStyle w:val="Fett"/>
          <w:rFonts w:ascii="Calibri" w:hAnsi="Calibri" w:cs="Calibri"/>
          <w:color w:val="1B1B2F"/>
        </w:rPr>
        <w:t>Kontakt:</w:t>
      </w:r>
      <w:r>
        <w:rPr>
          <w:rFonts w:ascii="Calibri" w:hAnsi="Calibri" w:cs="Calibri"/>
          <w:color w:val="1B1B2F"/>
        </w:rPr>
        <w:t xml:space="preserve"> </w:t>
      </w:r>
      <w:r>
        <w:rPr>
          <w:rFonts w:ascii="Calibri" w:hAnsi="Calibri" w:cs="Calibri"/>
          <w:color w:val="1B1B2F"/>
        </w:rPr>
        <w:t>KAȲȲA GmbH · Bernhard Krug (Geschäftsführer) · b@kayya.org · https://kayya.org · Demo-Zugang auf Anfrage</w:t>
      </w:r>
    </w:p>
    <w:sectPr w:rsidR="006F194D" w:rsidSect="00922D1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/>
      <w:pgMar w:top="800" w:right="900" w:bottom="800" w:left="9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0C0EF3" w14:textId="77777777" w:rsidR="006F194D" w:rsidRDefault="006F194D" w:rsidP="00922D18">
      <w:r>
        <w:separator/>
      </w:r>
    </w:p>
  </w:endnote>
  <w:endnote w:type="continuationSeparator" w:id="0">
    <w:p w14:paraId="5DCB45E0" w14:textId="77777777" w:rsidR="006F194D" w:rsidRDefault="006F194D" w:rsidP="00922D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CDC370" w14:textId="77777777" w:rsidR="00922D18" w:rsidRDefault="00922D18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5B6FF" w14:textId="35F3F7A6" w:rsidR="00922D18" w:rsidRPr="00922D18" w:rsidRDefault="00922D18" w:rsidP="00922D18">
    <w:pPr>
      <w:pStyle w:val="Fuzeile"/>
      <w:jc w:val="center"/>
      <w:rPr>
        <w:color w:val="8A5A8A"/>
        <w:sz w:val="16"/>
      </w:rPr>
    </w:pPr>
    <w:r w:rsidRPr="00922D18">
      <w:rPr>
        <w:color w:val="8A5A8A"/>
        <w:sz w:val="16"/>
      </w:rPr>
      <w:t xml:space="preserve">KAȲȲA GmbH · Bernhard Krug · b@kayya.org · https://kayya.org   ·   Seite </w:t>
    </w:r>
    <w:r w:rsidRPr="00922D18">
      <w:rPr>
        <w:color w:val="8A5A8A"/>
        <w:sz w:val="16"/>
      </w:rPr>
      <w:fldChar w:fldCharType="begin"/>
    </w:r>
    <w:r w:rsidRPr="00922D18">
      <w:rPr>
        <w:color w:val="8A5A8A"/>
        <w:sz w:val="16"/>
      </w:rPr>
      <w:instrText xml:space="preserve"> PAGE </w:instrText>
    </w:r>
    <w:r w:rsidRPr="00922D18">
      <w:rPr>
        <w:color w:val="8A5A8A"/>
        <w:sz w:val="16"/>
      </w:rPr>
      <w:fldChar w:fldCharType="separate"/>
    </w:r>
    <w:r w:rsidRPr="00922D18">
      <w:rPr>
        <w:noProof/>
        <w:color w:val="8A5A8A"/>
        <w:sz w:val="16"/>
      </w:rPr>
      <w:t>1</w:t>
    </w:r>
    <w:r w:rsidRPr="00922D18">
      <w:rPr>
        <w:color w:val="8A5A8A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CED89" w14:textId="77777777" w:rsidR="00922D18" w:rsidRDefault="00922D18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A55969" w14:textId="77777777" w:rsidR="006F194D" w:rsidRDefault="006F194D" w:rsidP="00922D18">
      <w:r>
        <w:separator/>
      </w:r>
    </w:p>
  </w:footnote>
  <w:footnote w:type="continuationSeparator" w:id="0">
    <w:p w14:paraId="7D06D98B" w14:textId="77777777" w:rsidR="006F194D" w:rsidRDefault="006F194D" w:rsidP="00922D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732CAE" w14:textId="77777777" w:rsidR="00922D18" w:rsidRDefault="00922D18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C6865D" w14:textId="77777777" w:rsidR="00922D18" w:rsidRDefault="00922D18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9FFFB3" w14:textId="77777777" w:rsidR="00922D18" w:rsidRDefault="00922D18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5716D"/>
    <w:multiLevelType w:val="multilevel"/>
    <w:tmpl w:val="12D0F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6555E00"/>
    <w:multiLevelType w:val="multilevel"/>
    <w:tmpl w:val="DDA80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1869595">
    <w:abstractNumId w:val="0"/>
  </w:num>
  <w:num w:numId="2" w16cid:durableId="6377591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D18"/>
    <w:rsid w:val="006F194D"/>
    <w:rsid w:val="009179F2"/>
    <w:rsid w:val="00922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671A793"/>
  <w15:chartTrackingRefBased/>
  <w15:docId w15:val="{A664B98A-7022-44E2-A909-8B266DEB2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eastAsiaTheme="minorEastAsia"/>
      <w:sz w:val="24"/>
      <w:szCs w:val="24"/>
    </w:rPr>
  </w:style>
  <w:style w:type="paragraph" w:styleId="berschrift1">
    <w:name w:val="heading 1"/>
    <w:basedOn w:val="Standard"/>
    <w:link w:val="berschrift1Zchn"/>
    <w:uiPriority w:val="9"/>
    <w:qFormat/>
    <w:pPr>
      <w:spacing w:after="40"/>
      <w:outlineLvl w:val="0"/>
    </w:pPr>
    <w:rPr>
      <w:b/>
      <w:bCs/>
      <w:color w:val="5B21B6"/>
      <w:kern w:val="36"/>
      <w:sz w:val="36"/>
      <w:szCs w:val="36"/>
    </w:rPr>
  </w:style>
  <w:style w:type="paragraph" w:styleId="berschrift3">
    <w:name w:val="heading 3"/>
    <w:basedOn w:val="Standard"/>
    <w:link w:val="berschrift3Zchn"/>
    <w:uiPriority w:val="9"/>
    <w:qFormat/>
    <w:pPr>
      <w:spacing w:before="140" w:after="40"/>
      <w:outlineLvl w:val="2"/>
    </w:pPr>
    <w:rPr>
      <w:b/>
      <w:bCs/>
      <w:color w:val="4C1D95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msonormal0">
    <w:name w:val="msonormal"/>
    <w:basedOn w:val="Standard"/>
    <w:pPr>
      <w:spacing w:after="80"/>
    </w:pPr>
  </w:style>
  <w:style w:type="paragraph" w:styleId="StandardWeb">
    <w:name w:val="Normal (Web)"/>
    <w:basedOn w:val="Standard"/>
    <w:uiPriority w:val="99"/>
    <w:semiHidden/>
    <w:unhideWhenUsed/>
    <w:pPr>
      <w:spacing w:after="80"/>
    </w:pPr>
  </w:style>
  <w:style w:type="paragraph" w:customStyle="1" w:styleId="live">
    <w:name w:val="live"/>
    <w:basedOn w:val="Standard"/>
    <w:rPr>
      <w:b/>
      <w:bCs/>
      <w:color w:val="047857"/>
    </w:rPr>
  </w:style>
  <w:style w:type="paragraph" w:customStyle="1" w:styleId="sim">
    <w:name w:val="sim"/>
    <w:basedOn w:val="Standard"/>
    <w:rPr>
      <w:color w:val="6B7280"/>
    </w:rPr>
  </w:style>
  <w:style w:type="paragraph" w:customStyle="1" w:styleId="top">
    <w:name w:val="top"/>
    <w:basedOn w:val="Standard"/>
    <w:pPr>
      <w:spacing w:after="60"/>
    </w:pPr>
    <w:rPr>
      <w:color w:val="7C3AED"/>
      <w:spacing w:val="30"/>
      <w:sz w:val="16"/>
      <w:szCs w:val="16"/>
    </w:rPr>
  </w:style>
  <w:style w:type="paragraph" w:customStyle="1" w:styleId="sub">
    <w:name w:val="sub"/>
    <w:basedOn w:val="Standard"/>
    <w:pPr>
      <w:spacing w:after="120"/>
    </w:pPr>
    <w:rPr>
      <w:color w:val="6D28D9"/>
      <w:sz w:val="20"/>
      <w:szCs w:val="20"/>
    </w:rPr>
  </w:style>
  <w:style w:type="paragraph" w:customStyle="1" w:styleId="kontakt">
    <w:name w:val="kontakt"/>
    <w:basedOn w:val="Standard"/>
    <w:pPr>
      <w:pBdr>
        <w:top w:val="single" w:sz="8" w:space="4" w:color="C4B5FD"/>
      </w:pBdr>
      <w:spacing w:before="120"/>
    </w:pPr>
    <w:rPr>
      <w:sz w:val="18"/>
      <w:szCs w:val="18"/>
    </w:rPr>
  </w:style>
  <w:style w:type="character" w:styleId="Fett">
    <w:name w:val="Strong"/>
    <w:basedOn w:val="Absatz-Standardschriftart"/>
    <w:uiPriority w:val="22"/>
    <w:qFormat/>
    <w:rPr>
      <w:b/>
      <w:bCs/>
    </w:rPr>
  </w:style>
  <w:style w:type="paragraph" w:styleId="Kopfzeile">
    <w:name w:val="header"/>
    <w:basedOn w:val="Standard"/>
    <w:link w:val="KopfzeileZchn"/>
    <w:uiPriority w:val="99"/>
    <w:unhideWhenUsed/>
    <w:rsid w:val="00922D18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922D18"/>
    <w:rPr>
      <w:rFonts w:eastAsiaTheme="minorEastAsia"/>
      <w:sz w:val="24"/>
      <w:szCs w:val="24"/>
    </w:rPr>
  </w:style>
  <w:style w:type="paragraph" w:styleId="Fuzeile">
    <w:name w:val="footer"/>
    <w:basedOn w:val="Standard"/>
    <w:link w:val="FuzeileZchn"/>
    <w:uiPriority w:val="99"/>
    <w:unhideWhenUsed/>
    <w:rsid w:val="00922D18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922D18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616</Words>
  <Characters>3887</Characters>
  <Application>Microsoft Office Word</Application>
  <DocSecurity>4</DocSecurity>
  <Lines>32</Lines>
  <Paragraphs>8</Paragraphs>
  <ScaleCrop>false</ScaleCrop>
  <Company/>
  <LinksUpToDate>false</LinksUpToDate>
  <CharactersWithSpaces>4495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KAȲȲA OS – One-Pager für Kostenträger</dc:title>
  <dc:subject/>
  <dc:creator>Bernhard Krug</dc:creator>
  <cp:keywords/>
  <dc:description/>
  <cp:lastModifiedBy>Bernhard Krug</cp:lastModifiedBy>
  <cp:revision>2</cp:revision>
  <dcterms:created xsi:type="dcterms:W3CDTF">2026-08-23T20:05:00Z</dcterms:created>
  <dcterms:modified xsi:type="dcterms:W3CDTF">2026-08-23T20:05:00Z</dcterms:modified>
</cp:coreProperties>
</file>