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73B8" w14:textId="77777777" w:rsidR="00B77F52" w:rsidRDefault="00B77F52">
      <w:pPr>
        <w:pStyle w:val="entwurf"/>
        <w:spacing w:before="0" w:beforeAutospacing="0"/>
        <w:rPr>
          <w:color w:val="000000"/>
        </w:rPr>
      </w:pPr>
      <w:r>
        <w:rPr>
          <w:color w:val="000000"/>
        </w:rPr>
        <w:t>— ENTWURF ZUR VORLAGE BEIM NOTAR (Alternative zum Musterprotokoll) —</w:t>
      </w:r>
    </w:p>
    <w:p w14:paraId="61F6412B" w14:textId="77777777" w:rsidR="00B77F52" w:rsidRDefault="00B77F52">
      <w:pPr>
        <w:pStyle w:val="berschrift1"/>
        <w:rPr>
          <w:rFonts w:eastAsia="Times New Roman"/>
          <w:color w:val="000000"/>
        </w:rPr>
      </w:pPr>
      <w:r>
        <w:rPr>
          <w:rFonts w:eastAsia="Times New Roman"/>
          <w:color w:val="000000"/>
        </w:rPr>
        <w:t>Gesellschaftsvertrag</w:t>
      </w:r>
    </w:p>
    <w:p w14:paraId="3F2EFAF8" w14:textId="77777777" w:rsidR="00B77F52" w:rsidRDefault="00B77F52">
      <w:pPr>
        <w:pStyle w:val="berschrift2"/>
        <w:rPr>
          <w:rFonts w:eastAsia="Times New Roman"/>
          <w:color w:val="000000"/>
        </w:rPr>
      </w:pPr>
      <w:r>
        <w:rPr>
          <w:rFonts w:eastAsia="Times New Roman"/>
          <w:color w:val="000000"/>
        </w:rPr>
        <w:t>der KAYYA UG (haftungsbeschränkt) mit dem Sitz in Berlin</w:t>
      </w:r>
    </w:p>
    <w:p w14:paraId="085EC899" w14:textId="77777777" w:rsidR="00B77F52" w:rsidRDefault="00B77F52">
      <w:pPr>
        <w:pStyle w:val="berschrift3"/>
        <w:rPr>
          <w:rFonts w:eastAsia="Times New Roman"/>
          <w:color w:val="000000"/>
        </w:rPr>
      </w:pPr>
      <w:r>
        <w:rPr>
          <w:rFonts w:eastAsia="Times New Roman"/>
          <w:color w:val="000000"/>
        </w:rPr>
        <w:t>§ 1 Firma und Sitz</w:t>
      </w:r>
    </w:p>
    <w:p w14:paraId="37425A84" w14:textId="77777777" w:rsidR="00B77F52" w:rsidRDefault="00B77F52">
      <w:pPr>
        <w:pStyle w:val="abs"/>
        <w:spacing w:before="0" w:beforeAutospacing="0" w:after="160" w:afterAutospacing="0"/>
        <w:jc w:val="both"/>
        <w:rPr>
          <w:color w:val="000000"/>
        </w:rPr>
      </w:pPr>
      <w:r>
        <w:rPr>
          <w:color w:val="000000"/>
        </w:rPr>
        <w:t xml:space="preserve">(1) Die Firma der Gesellschaft lautet: </w:t>
      </w:r>
      <w:r>
        <w:rPr>
          <w:b/>
          <w:bCs/>
          <w:color w:val="000000"/>
        </w:rPr>
        <w:t>KAYYA UG (haftungsbeschränkt)</w:t>
      </w:r>
      <w:r>
        <w:rPr>
          <w:color w:val="000000"/>
        </w:rPr>
        <w:t>.</w:t>
      </w:r>
    </w:p>
    <w:p w14:paraId="079757FE" w14:textId="77777777" w:rsidR="00B77F52" w:rsidRDefault="00B77F52">
      <w:pPr>
        <w:pStyle w:val="abs"/>
        <w:spacing w:before="0" w:beforeAutospacing="0" w:after="160" w:afterAutospacing="0"/>
        <w:jc w:val="both"/>
        <w:rPr>
          <w:color w:val="000000"/>
        </w:rPr>
      </w:pPr>
      <w:r>
        <w:rPr>
          <w:color w:val="000000"/>
        </w:rPr>
        <w:t xml:space="preserve">(2) Die Gesellschaft hat ihren Sitz in </w:t>
      </w:r>
      <w:r>
        <w:rPr>
          <w:b/>
          <w:bCs/>
          <w:color w:val="000000"/>
        </w:rPr>
        <w:t>Berlin</w:t>
      </w:r>
      <w:r>
        <w:rPr>
          <w:color w:val="000000"/>
        </w:rPr>
        <w:t>.</w:t>
      </w:r>
    </w:p>
    <w:p w14:paraId="54175D2D" w14:textId="77777777" w:rsidR="00B77F52" w:rsidRDefault="00B77F52">
      <w:pPr>
        <w:pStyle w:val="berschrift3"/>
        <w:rPr>
          <w:rFonts w:eastAsia="Times New Roman"/>
          <w:color w:val="000000"/>
        </w:rPr>
      </w:pPr>
      <w:r>
        <w:rPr>
          <w:rFonts w:eastAsia="Times New Roman"/>
          <w:color w:val="000000"/>
        </w:rPr>
        <w:t>§ 2 Gegenstand des Unternehmens</w:t>
      </w:r>
    </w:p>
    <w:p w14:paraId="1F5E6024" w14:textId="77777777" w:rsidR="00B77F52" w:rsidRDefault="00B77F52">
      <w:pPr>
        <w:pStyle w:val="abs"/>
        <w:spacing w:before="0" w:beforeAutospacing="0" w:after="160" w:afterAutospacing="0"/>
        <w:jc w:val="both"/>
        <w:rPr>
          <w:color w:val="000000"/>
        </w:rPr>
      </w:pPr>
      <w:r>
        <w:rPr>
          <w:color w:val="000000"/>
        </w:rPr>
        <w:t>(1) Gegenstand des Unternehmens ist die Entwicklung, der Betrieb und der Vertrieb von Software für Bildungs- und Eingliederungsträger (insbesondere der Plattform „KAȲȲA OS"), die Erbringung von Bildungs-, Qualifizierungs- und Eingliederungsdienstleistungen sowie alle damit zusammenhängenden Geschäfte.</w:t>
      </w:r>
    </w:p>
    <w:p w14:paraId="029B01ED" w14:textId="77777777" w:rsidR="00B77F52" w:rsidRDefault="00B77F52">
      <w:pPr>
        <w:pStyle w:val="abs"/>
        <w:spacing w:before="0" w:beforeAutospacing="0" w:after="160" w:afterAutospacing="0"/>
        <w:jc w:val="both"/>
        <w:rPr>
          <w:color w:val="000000"/>
        </w:rPr>
      </w:pPr>
      <w:r>
        <w:rPr>
          <w:color w:val="000000"/>
        </w:rPr>
        <w:t>(2) Die Gesellschaft ist zu allen Geschäften und Maßnahmen berechtigt, die dem Gegenstand des Unternehmens unmittelbar oder mittelbar zu dienen geeignet sind. Sie kann Zweigniederlassungen im In- und Ausland errichten, gleichartige oder ähnliche Unternehmen gründen oder erwerben und sich an solchen beteiligen.</w:t>
      </w:r>
    </w:p>
    <w:p w14:paraId="0FA58118" w14:textId="77777777" w:rsidR="00B77F52" w:rsidRDefault="00B77F52">
      <w:pPr>
        <w:pStyle w:val="berschrift3"/>
        <w:rPr>
          <w:rFonts w:eastAsia="Times New Roman"/>
          <w:color w:val="000000"/>
        </w:rPr>
      </w:pPr>
      <w:r>
        <w:rPr>
          <w:rFonts w:eastAsia="Times New Roman"/>
          <w:color w:val="000000"/>
        </w:rPr>
        <w:t>§ 3 Stammkapital und Geschäftsanteil</w:t>
      </w:r>
    </w:p>
    <w:p w14:paraId="5B563EB3" w14:textId="77777777" w:rsidR="00B77F52" w:rsidRDefault="00B77F52">
      <w:pPr>
        <w:pStyle w:val="abs"/>
        <w:spacing w:before="0" w:beforeAutospacing="0" w:after="160" w:afterAutospacing="0"/>
        <w:jc w:val="both"/>
        <w:rPr>
          <w:color w:val="000000"/>
        </w:rPr>
      </w:pPr>
      <w:r>
        <w:rPr>
          <w:color w:val="000000"/>
        </w:rPr>
        <w:t xml:space="preserve">(1) Das Stammkapital der Gesellschaft beträgt </w:t>
      </w:r>
      <w:r>
        <w:rPr>
          <w:b/>
          <w:bCs/>
          <w:color w:val="000000"/>
        </w:rPr>
        <w:t>[1.000] €</w:t>
      </w:r>
      <w:r>
        <w:rPr>
          <w:color w:val="000000"/>
        </w:rPr>
        <w:t xml:space="preserve"> (in Worten: [eintausend] Euro).</w:t>
      </w:r>
    </w:p>
    <w:p w14:paraId="16B046BA" w14:textId="77777777" w:rsidR="00B77F52" w:rsidRDefault="00B77F52">
      <w:pPr>
        <w:pStyle w:val="abs"/>
        <w:spacing w:before="0" w:beforeAutospacing="0" w:after="160" w:afterAutospacing="0"/>
        <w:jc w:val="both"/>
        <w:rPr>
          <w:color w:val="000000"/>
        </w:rPr>
      </w:pPr>
      <w:r>
        <w:rPr>
          <w:color w:val="000000"/>
        </w:rPr>
        <w:t xml:space="preserve">(2) Es ist eingeteilt in einen Geschäftsanteil Nr. 1 mit einem Nennbetrag von [1.000] €. Diesen Geschäftsanteil übernimmt Herr </w:t>
      </w:r>
      <w:r>
        <w:rPr>
          <w:b/>
          <w:bCs/>
          <w:color w:val="000000"/>
        </w:rPr>
        <w:t>Bernhard Krug</w:t>
      </w:r>
      <w:r>
        <w:rPr>
          <w:color w:val="000000"/>
        </w:rPr>
        <w:t>, geboren am [Geburtsdatum], wohnhaft Thaerstraße 40, 10249 Berlin</w:t>
      </w:r>
      <w:r>
        <w:rPr>
          <w:color w:val="000000"/>
          <w:vertAlign w:val="superscript"/>
        </w:rPr>
        <w:t>1</w:t>
      </w:r>
      <w:r>
        <w:rPr>
          <w:color w:val="000000"/>
        </w:rPr>
        <w:t>.</w:t>
      </w:r>
    </w:p>
    <w:p w14:paraId="0395FE0E" w14:textId="77777777" w:rsidR="00B77F52" w:rsidRDefault="00B77F52">
      <w:pPr>
        <w:pStyle w:val="abs"/>
        <w:spacing w:before="0" w:beforeAutospacing="0" w:after="160" w:afterAutospacing="0"/>
        <w:jc w:val="both"/>
        <w:rPr>
          <w:color w:val="000000"/>
        </w:rPr>
      </w:pPr>
      <w:r>
        <w:rPr>
          <w:color w:val="000000"/>
        </w:rPr>
        <w:t>(3) Die Einlage ist in Geld zu erbringen und vor der Anmeldung der Gesellschaft zur Eintragung in das Handelsregister in voller Höhe einzuzahlen (§ 5a Abs. 2 Satz 1 GmbHG). Sacheinlagen sind ausgeschlossen (§ 5a Abs. 2 Satz 2 GmbHG).</w:t>
      </w:r>
    </w:p>
    <w:p w14:paraId="2C400035" w14:textId="77777777" w:rsidR="00B77F52" w:rsidRDefault="00B77F52">
      <w:pPr>
        <w:pStyle w:val="berschrift3"/>
        <w:rPr>
          <w:rFonts w:eastAsia="Times New Roman"/>
          <w:color w:val="000000"/>
        </w:rPr>
      </w:pPr>
      <w:r>
        <w:rPr>
          <w:rFonts w:eastAsia="Times New Roman"/>
          <w:color w:val="000000"/>
        </w:rPr>
        <w:t>§ 4 Geschäftsführung und Vertretung</w:t>
      </w:r>
    </w:p>
    <w:p w14:paraId="2E54AFAC" w14:textId="77777777" w:rsidR="00B77F52" w:rsidRDefault="00B77F52">
      <w:pPr>
        <w:pStyle w:val="abs"/>
        <w:spacing w:before="0" w:beforeAutospacing="0" w:after="160" w:afterAutospacing="0"/>
        <w:jc w:val="both"/>
        <w:rPr>
          <w:color w:val="000000"/>
        </w:rPr>
      </w:pPr>
      <w:r>
        <w:rPr>
          <w:color w:val="000000"/>
        </w:rPr>
        <w:t>(1) Die Gesellschaft hat einen oder mehrere Geschäftsführer.</w:t>
      </w:r>
    </w:p>
    <w:p w14:paraId="01E418BA" w14:textId="77777777" w:rsidR="00B77F52" w:rsidRDefault="00B77F52">
      <w:pPr>
        <w:pStyle w:val="abs"/>
        <w:spacing w:before="0" w:beforeAutospacing="0" w:after="160" w:afterAutospacing="0"/>
        <w:jc w:val="both"/>
        <w:rPr>
          <w:color w:val="000000"/>
        </w:rPr>
      </w:pPr>
      <w:r>
        <w:rPr>
          <w:color w:val="000000"/>
        </w:rPr>
        <w:t>(2) Ist nur ein Geschäftsführer bestellt, vertritt er die Gesellschaft allein. Sind mehrere Geschäftsführer bestellt, wird die Gesellschaft durch zwei Geschäftsführer gemeinsam oder durch einen Geschäftsführer gemeinsam mit einem Prokuristen vertreten.</w:t>
      </w:r>
    </w:p>
    <w:p w14:paraId="269556BD" w14:textId="77777777" w:rsidR="00B77F52" w:rsidRDefault="00B77F52">
      <w:pPr>
        <w:pStyle w:val="abs"/>
        <w:spacing w:before="0" w:beforeAutospacing="0" w:after="160" w:afterAutospacing="0"/>
        <w:jc w:val="both"/>
        <w:rPr>
          <w:color w:val="000000"/>
        </w:rPr>
      </w:pPr>
      <w:r>
        <w:rPr>
          <w:color w:val="000000"/>
        </w:rPr>
        <w:t>(3) Die Gesellschafterversammlung kann jedem Geschäftsführer Einzelvertretungsbefugnis erteilen und ihn allgemein oder für den Einzelfall von den Beschränkungen des § 181 BGB befreien.</w:t>
      </w:r>
    </w:p>
    <w:p w14:paraId="4A2D48DC" w14:textId="77777777" w:rsidR="00B77F52" w:rsidRDefault="00B77F52">
      <w:pPr>
        <w:pStyle w:val="abs"/>
        <w:spacing w:before="0" w:beforeAutospacing="0" w:after="160" w:afterAutospacing="0"/>
        <w:jc w:val="both"/>
        <w:rPr>
          <w:color w:val="000000"/>
        </w:rPr>
      </w:pPr>
      <w:r>
        <w:rPr>
          <w:color w:val="000000"/>
        </w:rPr>
        <w:t xml:space="preserve">(4) Zum ersten Geschäftsführer wird bestellt: Herr </w:t>
      </w:r>
      <w:r>
        <w:rPr>
          <w:b/>
          <w:bCs/>
          <w:color w:val="000000"/>
        </w:rPr>
        <w:t>Bernhard Krug</w:t>
      </w:r>
      <w:r>
        <w:rPr>
          <w:color w:val="000000"/>
        </w:rPr>
        <w:t>, geboren am [Geburtsdatum], wohnhaft Thaerstraße 40, 10249 Berlin</w:t>
      </w:r>
      <w:r>
        <w:rPr>
          <w:color w:val="000000"/>
          <w:vertAlign w:val="superscript"/>
        </w:rPr>
        <w:t>1</w:t>
      </w:r>
      <w:r>
        <w:rPr>
          <w:color w:val="000000"/>
        </w:rPr>
        <w:t>. Er ist einzelvertretungsberechtigt und von den Beschränkungen des § 181 BGB befreit.</w:t>
      </w:r>
      <w:r>
        <w:rPr>
          <w:color w:val="000000"/>
          <w:vertAlign w:val="superscript"/>
        </w:rPr>
        <w:t>2</w:t>
      </w:r>
    </w:p>
    <w:p w14:paraId="4650F33E" w14:textId="77777777" w:rsidR="00B77F52" w:rsidRDefault="00B77F52">
      <w:pPr>
        <w:pStyle w:val="berschrift3"/>
        <w:rPr>
          <w:rFonts w:eastAsia="Times New Roman"/>
          <w:color w:val="000000"/>
        </w:rPr>
      </w:pPr>
      <w:r>
        <w:rPr>
          <w:rFonts w:eastAsia="Times New Roman"/>
          <w:color w:val="000000"/>
        </w:rPr>
        <w:t>§ 5 Geschäftsjahr und Dauer</w:t>
      </w:r>
    </w:p>
    <w:p w14:paraId="2A906AC4" w14:textId="77777777" w:rsidR="00B77F52" w:rsidRDefault="00B77F52">
      <w:pPr>
        <w:pStyle w:val="abs"/>
        <w:spacing w:before="0" w:beforeAutospacing="0" w:after="160" w:afterAutospacing="0"/>
        <w:jc w:val="both"/>
        <w:rPr>
          <w:color w:val="000000"/>
        </w:rPr>
      </w:pPr>
      <w:r>
        <w:rPr>
          <w:color w:val="000000"/>
        </w:rPr>
        <w:t>(1) Geschäftsjahr ist das Kalenderjahr. Das erste Geschäftsjahr ist ein Rumpfgeschäftsjahr; es beginnt mit der Errichtung der Gesellschaft und endet am 31. Dezember desselben Jahres.</w:t>
      </w:r>
    </w:p>
    <w:p w14:paraId="015CA17F" w14:textId="77777777" w:rsidR="00B77F52" w:rsidRDefault="00B77F52">
      <w:pPr>
        <w:pStyle w:val="abs"/>
        <w:spacing w:before="0" w:beforeAutospacing="0" w:after="160" w:afterAutospacing="0"/>
        <w:jc w:val="both"/>
        <w:rPr>
          <w:color w:val="000000"/>
        </w:rPr>
      </w:pPr>
      <w:r>
        <w:rPr>
          <w:color w:val="000000"/>
        </w:rPr>
        <w:lastRenderedPageBreak/>
        <w:t>(2) Die Gesellschaft ist auf unbestimmte Zeit errichtet.</w:t>
      </w:r>
    </w:p>
    <w:p w14:paraId="59AC32C4" w14:textId="77777777" w:rsidR="00B77F52" w:rsidRDefault="00B77F52">
      <w:pPr>
        <w:pStyle w:val="berschrift3"/>
        <w:rPr>
          <w:rFonts w:eastAsia="Times New Roman"/>
          <w:color w:val="000000"/>
        </w:rPr>
      </w:pPr>
      <w:r>
        <w:rPr>
          <w:rFonts w:eastAsia="Times New Roman"/>
          <w:color w:val="000000"/>
        </w:rPr>
        <w:t>§ 6 Gesetzliche Rücklage (§ 5a Abs. 3 GmbHG)</w:t>
      </w:r>
    </w:p>
    <w:p w14:paraId="3E247ACC" w14:textId="77777777" w:rsidR="00B77F52" w:rsidRDefault="00B77F52">
      <w:pPr>
        <w:pStyle w:val="abs"/>
        <w:spacing w:before="0" w:beforeAutospacing="0" w:after="160" w:afterAutospacing="0"/>
        <w:jc w:val="both"/>
        <w:rPr>
          <w:color w:val="000000"/>
        </w:rPr>
      </w:pPr>
      <w:r>
        <w:rPr>
          <w:color w:val="000000"/>
        </w:rPr>
        <w:t>(1) In der Bilanz des nach den §§ 242, 264 HGB aufzustellenden Jahresabschlusses ist eine gesetzliche Rücklage zu bilden, in die ein Viertel des um einen Verlustvortrag aus dem Vorjahr geminderten Jahresüberschusses einzustellen ist.</w:t>
      </w:r>
    </w:p>
    <w:p w14:paraId="1887B123" w14:textId="77777777" w:rsidR="00B77F52" w:rsidRDefault="00B77F52">
      <w:pPr>
        <w:pStyle w:val="abs"/>
        <w:spacing w:before="0" w:beforeAutospacing="0" w:after="160" w:afterAutospacing="0"/>
        <w:jc w:val="both"/>
        <w:rPr>
          <w:color w:val="000000"/>
        </w:rPr>
      </w:pPr>
      <w:r>
        <w:rPr>
          <w:color w:val="000000"/>
        </w:rPr>
        <w:t>(2) Die Rücklage darf nur verwandt werden:</w:t>
      </w:r>
      <w:r>
        <w:rPr>
          <w:color w:val="000000"/>
        </w:rPr>
        <w:br/>
        <w:t>1. für Zwecke des § 57c GmbHG (Kapitalerhöhung aus Gesellschaftsmitteln);</w:t>
      </w:r>
      <w:r>
        <w:rPr>
          <w:color w:val="000000"/>
        </w:rPr>
        <w:br/>
        <w:t>2. zum Ausgleich eines Jahresfehlbetrags, soweit er nicht durch einen Gewinnvortrag aus dem Vorjahr gedeckt ist;</w:t>
      </w:r>
      <w:r>
        <w:rPr>
          <w:color w:val="000000"/>
        </w:rPr>
        <w:br/>
      </w:r>
      <w:r>
        <w:rPr>
          <w:color w:val="000000"/>
        </w:rPr>
        <w:t>3. zum Ausgleich eines Verlustvortrags aus dem Vorjahr, soweit er nicht durch einen Jahresüberschuss gedeckt ist.</w:t>
      </w:r>
    </w:p>
    <w:p w14:paraId="28A35B11" w14:textId="77777777" w:rsidR="00B77F52" w:rsidRDefault="00B77F52">
      <w:pPr>
        <w:pStyle w:val="abs"/>
        <w:spacing w:before="0" w:beforeAutospacing="0" w:after="160" w:afterAutospacing="0"/>
        <w:jc w:val="both"/>
        <w:rPr>
          <w:color w:val="000000"/>
        </w:rPr>
      </w:pPr>
      <w:r>
        <w:rPr>
          <w:color w:val="000000"/>
        </w:rPr>
        <w:t>(3) Die Verpflichtung nach Absatz 1 endet, wenn das Stammkapital der Gesellschaft auf mindestens 25.000 € erhöht worden ist (§ 5a Abs. 5 GmbHG).</w:t>
      </w:r>
    </w:p>
    <w:p w14:paraId="1DE95C5E" w14:textId="77777777" w:rsidR="00B77F52" w:rsidRDefault="00B77F52">
      <w:pPr>
        <w:pStyle w:val="berschrift3"/>
        <w:rPr>
          <w:rFonts w:eastAsia="Times New Roman"/>
          <w:color w:val="000000"/>
        </w:rPr>
      </w:pPr>
      <w:r>
        <w:rPr>
          <w:rFonts w:eastAsia="Times New Roman"/>
          <w:color w:val="000000"/>
        </w:rPr>
        <w:t>§ 7 Jahresabschluss und Ergebnisverwendung</w:t>
      </w:r>
    </w:p>
    <w:p w14:paraId="1C8936AD" w14:textId="77777777" w:rsidR="00B77F52" w:rsidRDefault="00B77F52">
      <w:pPr>
        <w:pStyle w:val="abs"/>
        <w:spacing w:before="0" w:beforeAutospacing="0" w:after="160" w:afterAutospacing="0"/>
        <w:jc w:val="both"/>
        <w:rPr>
          <w:color w:val="000000"/>
        </w:rPr>
      </w:pPr>
      <w:r>
        <w:rPr>
          <w:color w:val="000000"/>
        </w:rPr>
        <w:t>(1) Die Geschäftsführung hat den Jahresabschluss und, soweit gesetzlich erforderlich, den Lagebericht innerhalb der gesetzlichen Fristen aufzustellen und der Gesellschafterversammlung unverzüglich zur Feststellung vorzulegen.</w:t>
      </w:r>
    </w:p>
    <w:p w14:paraId="57034AFC" w14:textId="77777777" w:rsidR="00B77F52" w:rsidRDefault="00B77F52">
      <w:pPr>
        <w:pStyle w:val="abs"/>
        <w:spacing w:before="0" w:beforeAutospacing="0" w:after="160" w:afterAutospacing="0"/>
        <w:jc w:val="both"/>
        <w:rPr>
          <w:color w:val="000000"/>
        </w:rPr>
      </w:pPr>
      <w:r>
        <w:rPr>
          <w:color w:val="000000"/>
        </w:rPr>
        <w:t>(2) Über die Feststellung des Jahresabschlusses und die Verwendung des Ergebnisses beschließt die Gesellschafterversammlung unter Beachtung des § 6 dieses Vertrags und des § 29 GmbHG.</w:t>
      </w:r>
    </w:p>
    <w:p w14:paraId="346091F8" w14:textId="77777777" w:rsidR="00B77F52" w:rsidRDefault="00B77F52">
      <w:pPr>
        <w:pStyle w:val="berschrift3"/>
        <w:rPr>
          <w:rFonts w:eastAsia="Times New Roman"/>
          <w:color w:val="000000"/>
        </w:rPr>
      </w:pPr>
      <w:r>
        <w:rPr>
          <w:rFonts w:eastAsia="Times New Roman"/>
          <w:color w:val="000000"/>
        </w:rPr>
        <w:t>§ 8 Verfügung über Geschäftsanteile</w:t>
      </w:r>
    </w:p>
    <w:p w14:paraId="77CCAA90" w14:textId="77777777" w:rsidR="00B77F52" w:rsidRDefault="00B77F52">
      <w:pPr>
        <w:pStyle w:val="abs"/>
        <w:spacing w:before="0" w:beforeAutospacing="0" w:after="160" w:afterAutospacing="0"/>
        <w:jc w:val="both"/>
        <w:rPr>
          <w:color w:val="000000"/>
        </w:rPr>
      </w:pPr>
      <w:r>
        <w:rPr>
          <w:color w:val="000000"/>
        </w:rPr>
        <w:t>(1) Die Abtretung, Verpfändung oder sonstige Belastung von Geschäftsanteilen oder von Teilen von Geschäftsanteilen sowie die Bestellung eines Nießbrauchs daran bedürfen zu ihrer Wirksamkeit der Zustimmung der Gesellschafterversammlung.</w:t>
      </w:r>
    </w:p>
    <w:p w14:paraId="01B83D7E" w14:textId="77777777" w:rsidR="00B77F52" w:rsidRDefault="00B77F52">
      <w:pPr>
        <w:pStyle w:val="abs"/>
        <w:spacing w:before="0" w:beforeAutospacing="0" w:after="160" w:afterAutospacing="0"/>
        <w:jc w:val="both"/>
        <w:rPr>
          <w:color w:val="000000"/>
        </w:rPr>
      </w:pPr>
      <w:r>
        <w:rPr>
          <w:color w:val="000000"/>
        </w:rPr>
        <w:t>(2) Solange die Gesellschaft nur einen Gesellschafter hat, gilt die Zustimmung als erteilt.</w:t>
      </w:r>
    </w:p>
    <w:p w14:paraId="141BC2E6" w14:textId="77777777" w:rsidR="00B77F52" w:rsidRDefault="00B77F52">
      <w:pPr>
        <w:pStyle w:val="berschrift3"/>
        <w:rPr>
          <w:rFonts w:eastAsia="Times New Roman"/>
          <w:color w:val="000000"/>
        </w:rPr>
      </w:pPr>
      <w:r>
        <w:rPr>
          <w:rFonts w:eastAsia="Times New Roman"/>
          <w:color w:val="000000"/>
        </w:rPr>
        <w:t>§ 9 Einziehung von Geschäftsanteilen</w:t>
      </w:r>
    </w:p>
    <w:p w14:paraId="0810A6E9" w14:textId="77777777" w:rsidR="00B77F52" w:rsidRDefault="00B77F52">
      <w:pPr>
        <w:pStyle w:val="abs"/>
        <w:spacing w:before="0" w:beforeAutospacing="0" w:after="160" w:afterAutospacing="0"/>
        <w:jc w:val="both"/>
        <w:rPr>
          <w:color w:val="000000"/>
        </w:rPr>
      </w:pPr>
      <w:r>
        <w:rPr>
          <w:color w:val="000000"/>
        </w:rPr>
        <w:t>(1) Die Einziehung von Geschäftsanteilen ist mit Zustimmung des betroffenen Gesellschafters jederzeit zulässig.</w:t>
      </w:r>
    </w:p>
    <w:p w14:paraId="01DFE95A" w14:textId="77777777" w:rsidR="00B77F52" w:rsidRDefault="00B77F52">
      <w:pPr>
        <w:pStyle w:val="abs"/>
        <w:spacing w:before="0" w:beforeAutospacing="0" w:after="160" w:afterAutospacing="0"/>
        <w:jc w:val="both"/>
        <w:rPr>
          <w:color w:val="000000"/>
        </w:rPr>
      </w:pPr>
      <w:r>
        <w:rPr>
          <w:color w:val="000000"/>
        </w:rPr>
        <w:t>(2) Ohne Zustimmung des betroffenen Gesellschafters ist die Einziehung zulässig, wenn</w:t>
      </w:r>
      <w:r>
        <w:rPr>
          <w:color w:val="000000"/>
        </w:rPr>
        <w:br/>
        <w:t>1. über das Vermögen des Gesellschafters das Insolvenzverfahren eröffnet oder die Eröffnung mangels Masse abgelehnt wird;</w:t>
      </w:r>
      <w:r>
        <w:rPr>
          <w:color w:val="000000"/>
        </w:rPr>
        <w:br/>
        <w:t>2. ein Gläubiger des Gesellschafters dessen Geschäftsanteil pfändet und die Pfändung nicht innerhalb von drei Monaten aufgehoben wird;</w:t>
      </w:r>
      <w:r>
        <w:rPr>
          <w:color w:val="000000"/>
        </w:rPr>
        <w:br/>
        <w:t>3. in der Person des Gesellschafters ein wichtiger Grund vorliegt, der seine Ausschließung rechtfertigen würde.</w:t>
      </w:r>
    </w:p>
    <w:p w14:paraId="0607D7B9" w14:textId="77777777" w:rsidR="00B77F52" w:rsidRDefault="00B77F52">
      <w:pPr>
        <w:pStyle w:val="abs"/>
        <w:spacing w:before="0" w:beforeAutospacing="0" w:after="160" w:afterAutospacing="0"/>
        <w:jc w:val="both"/>
        <w:rPr>
          <w:color w:val="000000"/>
        </w:rPr>
      </w:pPr>
      <w:r>
        <w:rPr>
          <w:color w:val="000000"/>
        </w:rPr>
        <w:t>(3) Statt der Einziehung kann die Gesellschafterversammlung beschließen, dass der Geschäftsanteil auf die Gesellschaft, einen Gesellschafter oder einen von der Gesellschaft benannten Dritten zu übertragen ist.</w:t>
      </w:r>
    </w:p>
    <w:p w14:paraId="75EB8642" w14:textId="77777777" w:rsidR="00B77F52" w:rsidRDefault="00B77F52">
      <w:pPr>
        <w:pStyle w:val="abs"/>
        <w:spacing w:before="0" w:beforeAutospacing="0" w:after="160" w:afterAutospacing="0"/>
        <w:jc w:val="both"/>
        <w:rPr>
          <w:color w:val="000000"/>
        </w:rPr>
      </w:pPr>
      <w:r>
        <w:rPr>
          <w:color w:val="000000"/>
        </w:rPr>
        <w:t xml:space="preserve">(4) Der betroffene Gesellschafter erhält eine Abfindung in Höhe des Verkehrswerts seines Geschäftsanteils, zahlbar in drei gleichen Jahresraten, beginnend sechs Monate nach dem Wirksamwerden der Einziehung; die jeweils offene Abfindung ist mit zwei Prozentpunkten </w:t>
      </w:r>
      <w:r>
        <w:rPr>
          <w:color w:val="000000"/>
        </w:rPr>
        <w:lastRenderedPageBreak/>
        <w:t>über dem Basiszinssatz zu verzinsen. Zwingende gesetzliche Kapitalerhaltungsvorschriften (§§ 30, 34 Abs. 3 GmbHG) bleiben unberührt.</w:t>
      </w:r>
    </w:p>
    <w:p w14:paraId="678A8FB2" w14:textId="77777777" w:rsidR="00B77F52" w:rsidRDefault="00B77F52">
      <w:pPr>
        <w:pStyle w:val="abs"/>
        <w:spacing w:before="0" w:beforeAutospacing="0" w:after="160" w:afterAutospacing="0"/>
        <w:jc w:val="both"/>
        <w:rPr>
          <w:color w:val="000000"/>
        </w:rPr>
      </w:pPr>
      <w:r>
        <w:rPr>
          <w:color w:val="000000"/>
        </w:rPr>
        <w:t>(5) Bei der Beschlussfassung über die Einziehung hat der betroffene Gesellschafter kein Stimmrecht.</w:t>
      </w:r>
    </w:p>
    <w:p w14:paraId="49B788CA" w14:textId="77777777" w:rsidR="00B77F52" w:rsidRDefault="00B77F52">
      <w:pPr>
        <w:pStyle w:val="berschrift3"/>
        <w:rPr>
          <w:rFonts w:eastAsia="Times New Roman"/>
          <w:color w:val="000000"/>
        </w:rPr>
      </w:pPr>
      <w:r>
        <w:rPr>
          <w:rFonts w:eastAsia="Times New Roman"/>
          <w:color w:val="000000"/>
        </w:rPr>
        <w:t>§ 10 Bekanntmachungen</w:t>
      </w:r>
    </w:p>
    <w:p w14:paraId="21078128" w14:textId="77777777" w:rsidR="00B77F52" w:rsidRDefault="00B77F52">
      <w:pPr>
        <w:pStyle w:val="abs"/>
        <w:spacing w:before="0" w:beforeAutospacing="0" w:after="160" w:afterAutospacing="0"/>
        <w:jc w:val="both"/>
        <w:rPr>
          <w:color w:val="000000"/>
        </w:rPr>
      </w:pPr>
      <w:r>
        <w:rPr>
          <w:color w:val="000000"/>
        </w:rPr>
        <w:t>Die Bekanntmachungen der Gesellschaft erfolgen ausschließlich im Bundesanzeiger.</w:t>
      </w:r>
    </w:p>
    <w:p w14:paraId="37F291DB" w14:textId="77777777" w:rsidR="00B77F52" w:rsidRDefault="00B77F52">
      <w:pPr>
        <w:pStyle w:val="berschrift3"/>
        <w:rPr>
          <w:rFonts w:eastAsia="Times New Roman"/>
          <w:color w:val="000000"/>
        </w:rPr>
      </w:pPr>
      <w:r>
        <w:rPr>
          <w:rFonts w:eastAsia="Times New Roman"/>
          <w:color w:val="000000"/>
        </w:rPr>
        <w:t>§ 11 Gründungsaufwand</w:t>
      </w:r>
    </w:p>
    <w:p w14:paraId="6FD24C7B" w14:textId="77777777" w:rsidR="00B77F52" w:rsidRDefault="00B77F52">
      <w:pPr>
        <w:pStyle w:val="abs"/>
        <w:spacing w:before="0" w:beforeAutospacing="0" w:after="160" w:afterAutospacing="0"/>
        <w:jc w:val="both"/>
        <w:rPr>
          <w:color w:val="000000"/>
        </w:rPr>
      </w:pPr>
      <w:r>
        <w:rPr>
          <w:color w:val="000000"/>
        </w:rPr>
        <w:t>Die Gesellschaft trägt die mit ihrer Gründung verbundenen Kosten (Notar- und Gerichtskosten, Kosten der Bekanntmachung sowie Beratungskosten) bis zu einem Gesamtbetrag von 300 €, höchstens jedoch bis zum Betrag ihres Stammkapitals. Darüber hinausgehende Kosten trägt der Gesellschafter.</w:t>
      </w:r>
    </w:p>
    <w:p w14:paraId="71CD0749" w14:textId="77777777" w:rsidR="00B77F52" w:rsidRDefault="00B77F52">
      <w:pPr>
        <w:pStyle w:val="berschrift3"/>
        <w:rPr>
          <w:rFonts w:eastAsia="Times New Roman"/>
          <w:color w:val="000000"/>
        </w:rPr>
      </w:pPr>
      <w:r>
        <w:rPr>
          <w:rFonts w:eastAsia="Times New Roman"/>
          <w:color w:val="000000"/>
        </w:rPr>
        <w:t>§ 12 Salvatorische Klausel</w:t>
      </w:r>
    </w:p>
    <w:p w14:paraId="619D7E6B" w14:textId="77777777" w:rsidR="00B77F52" w:rsidRDefault="00B77F52">
      <w:pPr>
        <w:pStyle w:val="abs"/>
        <w:spacing w:before="0" w:beforeAutospacing="0" w:after="160" w:afterAutospacing="0"/>
        <w:jc w:val="both"/>
        <w:rPr>
          <w:color w:val="000000"/>
        </w:rPr>
      </w:pPr>
      <w:r>
        <w:rPr>
          <w:color w:val="000000"/>
        </w:rPr>
        <w:t>Sollten einzelne Bestimmungen dieses Vertrags ganz oder teilweise unwirksam oder undurchführbar sein oder werden, wird die Wirksamkeit der übrigen Bestimmungen hiervon nicht berührt. Anstelle der unwirksamen oder undurchführbaren Bestimmung gilt diejenige wirksame Regelung als vereinbart, die dem mit der unwirksamen Bestimmung verfolgten wirtschaftlichen Zweck am nächsten kommt. Entsprechendes gilt für die Ausfüllung von Vertragslücken.</w:t>
      </w:r>
    </w:p>
    <w:p w14:paraId="7207B54C" w14:textId="77777777" w:rsidR="00B77F52" w:rsidRDefault="00B77F52">
      <w:pPr>
        <w:pStyle w:val="StandardWeb"/>
        <w:spacing w:before="560"/>
        <w:divId w:val="1538929409"/>
        <w:rPr>
          <w:color w:val="000000"/>
        </w:rPr>
      </w:pPr>
      <w:r>
        <w:rPr>
          <w:color w:val="000000"/>
        </w:rPr>
        <w:t>Berlin, den [Datum]</w:t>
      </w:r>
    </w:p>
    <w:p w14:paraId="2CC30A10" w14:textId="77777777" w:rsidR="00B77F52" w:rsidRDefault="00B77F52">
      <w:pPr>
        <w:pStyle w:val="linie"/>
        <w:spacing w:after="160" w:afterAutospacing="0"/>
        <w:jc w:val="both"/>
        <w:divId w:val="1538929409"/>
        <w:rPr>
          <w:color w:val="000000"/>
        </w:rPr>
      </w:pPr>
      <w:r>
        <w:rPr>
          <w:color w:val="000000"/>
        </w:rPr>
        <w:t>Bernhard Krug (Gründungsgesellschafter)</w:t>
      </w:r>
    </w:p>
    <w:p w14:paraId="5165DF8E" w14:textId="77777777" w:rsidR="00B77F52" w:rsidRDefault="00B77F52">
      <w:pPr>
        <w:pStyle w:val="StandardWeb"/>
        <w:spacing w:before="480"/>
        <w:divId w:val="1173111935"/>
        <w:rPr>
          <w:color w:val="000000"/>
          <w:sz w:val="19"/>
          <w:szCs w:val="19"/>
        </w:rPr>
      </w:pPr>
      <w:r>
        <w:rPr>
          <w:color w:val="000000"/>
          <w:sz w:val="19"/>
          <w:szCs w:val="19"/>
          <w:vertAlign w:val="superscript"/>
        </w:rPr>
        <w:t>1</w:t>
      </w:r>
      <w:r>
        <w:rPr>
          <w:color w:val="000000"/>
          <w:sz w:val="19"/>
          <w:szCs w:val="19"/>
        </w:rPr>
        <w:t xml:space="preserve"> </w:t>
      </w:r>
      <w:r>
        <w:rPr>
          <w:b/>
          <w:bCs/>
          <w:color w:val="000000"/>
          <w:sz w:val="19"/>
          <w:szCs w:val="19"/>
        </w:rPr>
        <w:t>Bearbeitungshinweis (vor Beurkundung zu klären und zu entfernen):</w:t>
      </w:r>
      <w:r>
        <w:rPr>
          <w:color w:val="000000"/>
          <w:sz w:val="19"/>
          <w:szCs w:val="19"/>
        </w:rPr>
        <w:t xml:space="preserve"> Der Auftraggeber nannte die Anschrift „Thaerstraße 40, 10437 Berlin"; nach dem amtlichen Straßenverzeichnis liegt die Thaerstraße 40 in 10249 Berlin (Friedrichshain), ebenso im Impressum von kayya.org. Hier wird durchgängig 10249 verwendet.</w:t>
      </w:r>
    </w:p>
    <w:p w14:paraId="4C3E18F6" w14:textId="77777777" w:rsidR="00B77F52" w:rsidRDefault="00B77F52">
      <w:pPr>
        <w:pStyle w:val="StandardWeb"/>
        <w:divId w:val="1173111935"/>
        <w:rPr>
          <w:color w:val="000000"/>
          <w:sz w:val="19"/>
          <w:szCs w:val="19"/>
        </w:rPr>
      </w:pPr>
      <w:r>
        <w:rPr>
          <w:color w:val="000000"/>
          <w:sz w:val="19"/>
          <w:szCs w:val="19"/>
          <w:vertAlign w:val="superscript"/>
        </w:rPr>
        <w:t>2</w:t>
      </w:r>
      <w:r>
        <w:rPr>
          <w:color w:val="000000"/>
          <w:sz w:val="19"/>
          <w:szCs w:val="19"/>
        </w:rPr>
        <w:t xml:space="preserve"> </w:t>
      </w:r>
      <w:r>
        <w:rPr>
          <w:color w:val="000000"/>
          <w:sz w:val="19"/>
          <w:szCs w:val="19"/>
        </w:rPr>
        <w:t>Die Bestellung des ersten Geschäftsführers kann alternativ außerhalb der Satzung im notariellen Gründungsbeschluss erfolgen; dann entfällt § 4 Abs. 4 als bloß formeller Satzungsbestandteil. Mit dem Notar abstimmen.</w:t>
      </w:r>
    </w:p>
    <w:p w14:paraId="05506F0F" w14:textId="77777777" w:rsidR="00B77F52" w:rsidRDefault="00B77F52">
      <w:pPr>
        <w:pStyle w:val="StandardWeb"/>
        <w:divId w:val="1173111935"/>
        <w:rPr>
          <w:color w:val="000000"/>
          <w:sz w:val="19"/>
          <w:szCs w:val="19"/>
        </w:rPr>
      </w:pPr>
      <w:r>
        <w:rPr>
          <w:b/>
          <w:bCs/>
          <w:color w:val="000000"/>
          <w:sz w:val="19"/>
          <w:szCs w:val="19"/>
        </w:rPr>
        <w:t>Hinweis:</w:t>
      </w:r>
      <w:r>
        <w:rPr>
          <w:color w:val="000000"/>
          <w:sz w:val="19"/>
          <w:szCs w:val="19"/>
        </w:rPr>
        <w:t xml:space="preserve"> Dieser Vertrag bedarf der notariellen Beurkundung (§ 2 Abs. 1 GmbHG). Bei Gründung mit diesem Vertrag ist zusätzlich eine Gesellschafterliste nach § 40 GmbHG einzureichen (Entwurf: Dokument 5).</w:t>
      </w:r>
    </w:p>
    <w:sectPr w:rsidR="00B77F52" w:rsidSect="001D06B4">
      <w:pgSz w:w="11907" w:h="16839"/>
      <w:pgMar w:top="1418" w:right="1134"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06B4"/>
    <w:rsid w:val="001D06B4"/>
    <w:rsid w:val="00A842E3"/>
    <w:rsid w:val="00B77F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82049"/>
  <w15:chartTrackingRefBased/>
  <w15:docId w15:val="{4EB8B5A8-3E1B-40F4-BA28-23512CE5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40"/>
      <w:jc w:val="center"/>
      <w:outlineLvl w:val="0"/>
    </w:pPr>
    <w:rPr>
      <w:b/>
      <w:bCs/>
      <w:kern w:val="36"/>
      <w:sz w:val="30"/>
      <w:szCs w:val="30"/>
    </w:rPr>
  </w:style>
  <w:style w:type="paragraph" w:styleId="berschrift2">
    <w:name w:val="heading 2"/>
    <w:basedOn w:val="Standard"/>
    <w:link w:val="berschrift2Zchn"/>
    <w:uiPriority w:val="9"/>
    <w:qFormat/>
    <w:pPr>
      <w:spacing w:after="360"/>
      <w:jc w:val="center"/>
      <w:outlineLvl w:val="1"/>
    </w:pPr>
  </w:style>
  <w:style w:type="paragraph" w:styleId="berschrift3">
    <w:name w:val="heading 3"/>
    <w:basedOn w:val="Standard"/>
    <w:link w:val="berschrift3Zchn"/>
    <w:uiPriority w:val="9"/>
    <w:qFormat/>
    <w:pPr>
      <w:spacing w:before="320" w:after="120"/>
      <w:jc w:val="center"/>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Standard"/>
    <w:pPr>
      <w:spacing w:after="160"/>
      <w:jc w:val="both"/>
    </w:pPr>
  </w:style>
  <w:style w:type="paragraph" w:styleId="StandardWeb">
    <w:name w:val="Normal (Web)"/>
    <w:basedOn w:val="Standard"/>
    <w:uiPriority w:val="99"/>
    <w:semiHidden/>
    <w:unhideWhenUsed/>
    <w:pPr>
      <w:spacing w:after="160"/>
      <w:jc w:val="both"/>
    </w:pPr>
  </w:style>
  <w:style w:type="paragraph" w:customStyle="1" w:styleId="abs">
    <w:name w:val="abs"/>
    <w:basedOn w:val="Standard"/>
    <w:pPr>
      <w:spacing w:before="100" w:beforeAutospacing="1" w:after="100" w:afterAutospacing="1"/>
    </w:pPr>
  </w:style>
  <w:style w:type="paragraph" w:customStyle="1" w:styleId="entwurf">
    <w:name w:val="entwurf"/>
    <w:basedOn w:val="Standard"/>
    <w:pPr>
      <w:spacing w:before="100" w:beforeAutospacing="1" w:after="200"/>
      <w:jc w:val="center"/>
    </w:pPr>
    <w:rPr>
      <w:spacing w:val="40"/>
      <w:sz w:val="21"/>
      <w:szCs w:val="21"/>
    </w:rPr>
  </w:style>
  <w:style w:type="paragraph" w:customStyle="1" w:styleId="fussnote">
    <w:name w:val="fussnote"/>
    <w:basedOn w:val="Standard"/>
    <w:pPr>
      <w:pBdr>
        <w:top w:val="single" w:sz="6" w:space="4" w:color="000000"/>
      </w:pBdr>
      <w:spacing w:before="480" w:after="100" w:afterAutospacing="1"/>
      <w:jc w:val="both"/>
    </w:pPr>
    <w:rPr>
      <w:sz w:val="19"/>
      <w:szCs w:val="19"/>
    </w:rPr>
  </w:style>
  <w:style w:type="paragraph" w:customStyle="1" w:styleId="linie">
    <w:name w:val="linie"/>
    <w:basedOn w:val="Standard"/>
    <w:pPr>
      <w:pBdr>
        <w:top w:val="single" w:sz="6" w:space="2" w:color="000000"/>
      </w:pBdr>
      <w:spacing w:before="600" w:after="100" w:afterAutospacing="1"/>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111935">
      <w:marLeft w:val="0"/>
      <w:marRight w:val="0"/>
      <w:marTop w:val="480"/>
      <w:marBottom w:val="0"/>
      <w:divBdr>
        <w:top w:val="single" w:sz="6" w:space="4" w:color="000000"/>
        <w:left w:val="none" w:sz="0" w:space="0" w:color="auto"/>
        <w:bottom w:val="none" w:sz="0" w:space="0" w:color="auto"/>
        <w:right w:val="none" w:sz="0" w:space="0" w:color="auto"/>
      </w:divBdr>
    </w:div>
    <w:div w:id="153892940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970</Words>
  <Characters>6115</Characters>
  <Application>Microsoft Office Word</Application>
  <DocSecurity>0</DocSecurity>
  <Lines>50</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KAYYA UG (haftungsbeschränkt)</dc:title>
  <dc:subject/>
  <dc:creator>Bernhard Krug</dc:creator>
  <cp:keywords/>
  <dc:description/>
  <cp:lastModifiedBy>Bernhard Krug</cp:lastModifiedBy>
  <cp:revision>2</cp:revision>
  <dcterms:created xsi:type="dcterms:W3CDTF">2026-08-30T12:43:00Z</dcterms:created>
  <dcterms:modified xsi:type="dcterms:W3CDTF">2026-08-30T12:43:00Z</dcterms:modified>
</cp:coreProperties>
</file>