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5F"/>
          <w:sz w:val="52"/>
          <w:szCs w:val="52"/>
        </w:rPr>
        <w:t xml:space="preserve">Ungeschönte Einschätzung</w:t>
      </w:r>
    </w:p>
    <w:p>
      <w:pPr>
        <w:spacing w:after="160"/>
        <w:jc w:val="center"/>
      </w:pPr>
      <w:r>
        <w:rPr>
          <w:sz w:val="26"/>
          <w:szCs w:val="26"/>
        </w:rPr>
        <w:t xml:space="preserve">Erfolgsaussichten des Gesamtprojekts – unter der Annahme nachhaltiger, geduldiger Investoren</w:t>
      </w:r>
    </w:p>
    <w:p>
      <w:pPr>
        <w:spacing w:after="120"/>
        <w:jc w:val="center"/>
      </w:pPr>
      <w:r>
        <w:rPr>
          <w:i/>
          <w:iCs/>
          <w:color w:val="666666"/>
          <w:sz w:val="22"/>
          <w:szCs w:val="22"/>
        </w:rPr>
        <w:t xml:space="preserve">Erstellt von der beteiligten KI auf Basis der gesamten Projektarbeit. Ohne Verkaufsprosa – als internes Korrektiv zu Ideenpapier und Investorenunterlage.</w:t>
      </w:r>
    </w:p>
    <w:p>
      <w:pPr>
        <w:spacing w:before="260"/>
        <w:jc w:val="center"/>
      </w:pPr>
      <w:r>
        <w:rPr>
          <w:color w:val="666666"/>
          <w:sz w:val="22"/>
          <w:szCs w:val="22"/>
        </w:rPr>
        <w:t xml:space="preserve">KAȲȲA (Arbeitstitel) · Version 260721 · vertraulich – nur für die Gründer</w:t>
      </w:r>
    </w:p>
    <w:p>
      <w:r>
        <w:br w:type="page"/>
      </w:r>
    </w:p>
    <w:p>
      <w:pPr>
        <w:pStyle w:val="Heading1"/>
        <w:spacing w:after="130" w:before="300"/>
      </w:pPr>
      <w:r>
        <w:rPr>
          <w:color w:val="1F4E5F"/>
        </w:rPr>
        <w:t xml:space="preserve">1. Das Urteil in einem Absatz</w:t>
      </w:r>
    </w:p>
    <w:p>
      <w:pPr>
        <w:spacing w:after="120" w:line="276"/>
        <w:jc w:val="both"/>
      </w:pPr>
      <w:r>
        <w:t xml:space="preserve">Die Kernthese trägt. Der Kostenvorteil ist keine Hoffnung, sondern Arithmetik: Wer bei gedeckelten Preisen eine Verwaltungsquote unter 10 % erreicht, während Wettbewerber 20–30 % tragen, gewinnt zwangsläufig – offen ist nur die Geschwindigkeit. Dazu kommen ein antizyklisch und verlässlich zahlender Markt, ein reales Zeitfenster (die Insolvenzen und Losrückzüge der Großträger belegen es) und ein Vorteil, den Bestandsorganisationen strukturell nicht kopieren können. Das ist mehr Substanz, als die meisten Gründungen je haben. Erfolgreich wird das Projekt trotzdem nur, wenn vier harte Wahrheiten respektiert werden.</w:t>
      </w:r>
    </w:p>
    <w:p>
      <w:pPr>
        <w:pStyle w:val="Heading1"/>
        <w:spacing w:after="130" w:before="300"/>
      </w:pPr>
      <w:r>
        <w:rPr>
          <w:color w:val="1F4E5F"/>
        </w:rPr>
        <w:t xml:space="preserve">2. Die vier harten Wahrheiten</w:t>
      </w:r>
    </w:p>
    <w:p>
      <w:pPr>
        <w:pStyle w:val="ListParagraph"/>
        <w:numPr>
          <w:ilvl w:val="0"/>
          <w:numId w:val="2"/>
        </w:numPr>
        <w:spacing w:after="70" w:line="264"/>
        <w:jc w:val="both"/>
      </w:pPr>
      <w:r>
        <w:rPr>
          <w:b/>
          <w:bCs/>
        </w:rPr>
        <w:t xml:space="preserve">Erstens – die Exekution ist das größte Risiko, nicht der Markt: </w:t>
      </w:r>
      <w:r>
        <w:t xml:space="preserve">Dieses Konzept ist besser als das, was die meisten Teams umsetzen können. Sieben Geschäftsfelder plus Softwareentwicklung sind nur beherrschbar, wenn die im Ideenpapier verankerte Fokus-Sequenz eisern gilt: erst Inlandsgeschäft plus KAȲȲA OS Stufe 1, alles andere danach und nur nach erfüllten Erfolgskriterien. Die Versuchung, parallel zu starten, wird groß sein – ihr nachzugeben wäre der wahrscheinlichste Todesweg des Projekts.</w:t>
      </w:r>
    </w:p>
    <w:p>
      <w:pPr>
        <w:pStyle w:val="ListParagraph"/>
        <w:numPr>
          <w:ilvl w:val="0"/>
          <w:numId w:val="2"/>
        </w:numPr>
        <w:spacing w:after="70" w:line="264"/>
        <w:jc w:val="both"/>
      </w:pPr>
      <w:r>
        <w:rPr>
          <w:b/>
          <w:bCs/>
        </w:rPr>
        <w:t xml:space="preserve">Zweitens – der Vertrieb ist analog: </w:t>
      </w:r>
      <w:r>
        <w:t xml:space="preserve">Über Zuweisungen entscheiden Vermittlungsfachkräfte in Agenturen und Jobcentern – Menschen mit Gewohnheiten und gewachsenen Trägerbeziehungen. Das beste Dashboard der Welt füllt im ersten Jahr keinen einzigen Kurs; das macht Beziehungsarbeit vor Ort. Realistische Korrektur zur Planung: Break-even eher Monat 24–30 als 18–24. Die Finanzierung muss diesen längeren Atem von Anfang an einpreisen.</w:t>
      </w:r>
    </w:p>
    <w:p>
      <w:pPr>
        <w:pStyle w:val="ListParagraph"/>
        <w:numPr>
          <w:ilvl w:val="0"/>
          <w:numId w:val="2"/>
        </w:numPr>
        <w:spacing w:after="70" w:line="264"/>
        <w:jc w:val="both"/>
      </w:pPr>
      <w:r>
        <w:rPr>
          <w:b/>
          <w:bCs/>
        </w:rPr>
        <w:t xml:space="preserve">Drittens – Behörden belohnen Transparenz nicht automatisch: </w:t>
      </w:r>
      <w:r>
        <w:t xml:space="preserve">Das Vergaberecht bewertet Preis und Konzept nach Schema; für Echtzeit-Offenheit gibt es formal keine Punkte. Der Transparenz-USP wirkt mittelbar – über Referenzen, Quoten und Vertrauen – und damit zeitverzögert. In den ersten Vergaben gewinnt der Preis, den die schlanke Struktur ermöglicht; die Transparenz gewinnt die Folgeaufträge.</w:t>
      </w:r>
    </w:p>
    <w:p>
      <w:pPr>
        <w:pStyle w:val="ListParagraph"/>
        <w:numPr>
          <w:ilvl w:val="0"/>
          <w:numId w:val="2"/>
        </w:numPr>
        <w:spacing w:after="70" w:line="264"/>
        <w:jc w:val="both"/>
      </w:pPr>
      <w:r>
        <w:rPr>
          <w:b/>
          <w:bCs/>
        </w:rPr>
        <w:t xml:space="preserve">Viertens – die Ausbaustufen sind eigene Wetten: </w:t>
      </w:r>
      <w:r>
        <w:t xml:space="preserve">International (Anerkennungs- und Visumsrisiken, Partnerabhängigkeit), Suchtprogramm (Kostenträger-Ermessen trotz § 31 SGB IX) und eigene Einrichtungen (Kapitalbedarf, Betreiberrisiko) haben jeweils eigenes Scheiternspotenzial. Das Inlandsgeschäft muss allein tragfähig sein – und ist es nach der Planung auch. Jede Ausbaustufe ist Chance, keine Voraussetzung.</w:t>
      </w:r>
    </w:p>
    <w:p>
      <w:pPr>
        <w:pStyle w:val="Heading1"/>
        <w:spacing w:after="130" w:before="300"/>
      </w:pPr>
      <w:r>
        <w:rPr>
          <w:color w:val="1F4E5F"/>
        </w:rPr>
        <w:t xml:space="preserve">3. Was nachhaltige Investoren konkret verändern</w:t>
      </w:r>
    </w:p>
    <w:p>
      <w:pPr>
        <w:spacing w:after="120" w:line="276"/>
        <w:jc w:val="both"/>
      </w:pPr>
      <w:r>
        <w:t xml:space="preserve">Geduldiges Kapital kauft das Wichtigste, was dieses Projekt braucht: Zeit. Es erlaubt die Fokus-Disziplin statt Wachstumsdruck, überbrückt die nächste arbeitsmarktpolitische Haushaltsdelle und macht die Ist-Kosten-Ehrlichkeit durchhaltbar – wer quartalsgetrieben liefern muss, beginnt zu schönen, und damit stirbt der Markenkern. Mit nachhaltigen Investoren steigt die Erfolgswahrscheinlichkeit erheblich; mit renditegetriebenen Kurzfrist-Investoren würde dieses spezifische Modell nicht nur schwieriger, sondern in sich widersprüchlich.</w:t>
      </w:r>
    </w:p>
    <w:p>
      <w:pPr>
        <w:pStyle w:val="Heading1"/>
        <w:spacing w:after="130" w:before="300"/>
      </w:pPr>
      <w:r>
        <w:rPr>
          <w:color w:val="1F4E5F"/>
        </w:rPr>
        <w:t xml:space="preserve">4. Die ehrlichen Zahlen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160"/>
      </w:tblGrid>
      <w:tr>
        <w:tc>
          <w:tcPr>
            <w:tcW w:type="dxa" w:w="3300"/>
            <w:shd w:fill="1F4E5F" w:val="clear"/>
            <w:tcMar>
              <w:top w:type="dxa" w:w="60"/>
              <w:left w:type="dxa" w:w="100"/>
              <w:bottom w:type="dxa" w:w="60"/>
              <w:right w:type="dxa" w:w="100"/>
            </w:tcMar>
          </w:tcPr>
          <w:p>
            <w:r>
              <w:rPr>
                <w:b/>
                <w:bCs/>
                <w:color w:val="FFFFFF"/>
                <w:sz w:val="19"/>
                <w:szCs w:val="19"/>
              </w:rPr>
              <w:t xml:space="preserve">Szenario</w:t>
            </w:r>
          </w:p>
        </w:tc>
        <w:tc>
          <w:tcPr>
            <w:tcW w:type="dxa" w:w="1900"/>
            <w:shd w:fill="1F4E5F" w:val="clear"/>
            <w:tcMar>
              <w:top w:type="dxa" w:w="60"/>
              <w:left w:type="dxa" w:w="100"/>
              <w:bottom w:type="dxa" w:w="60"/>
              <w:right w:type="dxa" w:w="100"/>
            </w:tcMar>
          </w:tcPr>
          <w:p>
            <w:r>
              <w:rPr>
                <w:b/>
                <w:bCs/>
                <w:color w:val="FFFFFF"/>
                <w:sz w:val="19"/>
                <w:szCs w:val="19"/>
              </w:rPr>
              <w:t xml:space="preserve">Einschätzung</w:t>
            </w:r>
          </w:p>
        </w:tc>
        <w:tc>
          <w:tcPr>
            <w:tcW w:type="dxa" w:w="4160"/>
            <w:shd w:fill="1F4E5F" w:val="clear"/>
            <w:tcMar>
              <w:top w:type="dxa" w:w="60"/>
              <w:left w:type="dxa" w:w="100"/>
              <w:bottom w:type="dxa" w:w="60"/>
              <w:right w:type="dxa" w:w="100"/>
            </w:tcMar>
          </w:tcPr>
          <w:p>
            <w:r>
              <w:rPr>
                <w:b/>
                <w:bCs/>
                <w:color w:val="FFFFFF"/>
                <w:sz w:val="19"/>
                <w:szCs w:val="19"/>
              </w:rPr>
              <w:t xml:space="preserve">Begründung</w:t>
            </w:r>
          </w:p>
        </w:tc>
      </w:tr>
      <w:tr>
        <w:tc>
          <w:tcPr>
            <w:tcW w:type="dxa" w:w="3300"/>
            <w:shd w:fill="FFFFFF" w:val="clear"/>
            <w:tcMar>
              <w:top w:type="dxa" w:w="60"/>
              <w:left w:type="dxa" w:w="100"/>
              <w:bottom w:type="dxa" w:w="60"/>
              <w:right w:type="dxa" w:w="100"/>
            </w:tcMar>
          </w:tcPr>
          <w:p>
            <w:r>
              <w:rPr>
                <w:b w:val="false"/>
                <w:bCs w:val="false"/>
                <w:color w:val="000000"/>
                <w:sz w:val="19"/>
                <w:szCs w:val="19"/>
              </w:rPr>
              <w:t xml:space="preserve">Kerngeschäft: profitabler Inlandsträger + funktionierendes KAȲȲA OS in 5 Jahren</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deutlich über 50 %</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Arithmetischer Kostenvorteil, verlässliche öffentliche Nachfrage, Zeitfenster; Hauptvoraussetzungen: Fokus + Vertriebszugang</w:t>
            </w:r>
          </w:p>
        </w:tc>
      </w:tr>
      <w:tr>
        <w:tc>
          <w:tcPr>
            <w:tcW w:type="dxa" w:w="3300"/>
            <w:shd w:fill="F2F2F2" w:val="clear"/>
            <w:tcMar>
              <w:top w:type="dxa" w:w="60"/>
              <w:left w:type="dxa" w:w="100"/>
              <w:bottom w:type="dxa" w:w="60"/>
              <w:right w:type="dxa" w:w="100"/>
            </w:tcMar>
          </w:tcPr>
          <w:p>
            <w:r>
              <w:rPr>
                <w:b w:val="false"/>
                <w:bCs w:val="false"/>
                <w:color w:val="000000"/>
                <w:sz w:val="19"/>
                <w:szCs w:val="19"/>
              </w:rPr>
              <w:t xml:space="preserve">Volles Zielbild: zusätzlich International, Sucht, eigene Einrichtungen, Alliance als Marktstandard</w:t>
            </w:r>
          </w:p>
        </w:tc>
        <w:tc>
          <w:tcPr>
            <w:tcW w:type="dxa" w:w="1900"/>
            <w:shd w:fill="F2F2F2" w:val="clear"/>
            <w:tcMar>
              <w:top w:type="dxa" w:w="60"/>
              <w:left w:type="dxa" w:w="100"/>
              <w:bottom w:type="dxa" w:w="60"/>
              <w:right w:type="dxa" w:w="100"/>
            </w:tcMar>
          </w:tcPr>
          <w:p>
            <w:r>
              <w:rPr>
                <w:b w:val="false"/>
                <w:bCs w:val="false"/>
                <w:color w:val="000000"/>
                <w:sz w:val="19"/>
                <w:szCs w:val="19"/>
              </w:rPr>
              <w:t xml:space="preserve">etwa 1 zu 4</w:t>
            </w:r>
          </w:p>
        </w:tc>
        <w:tc>
          <w:tcPr>
            <w:tcW w:type="dxa" w:w="4160"/>
            <w:shd w:fill="F2F2F2" w:val="clear"/>
            <w:tcMar>
              <w:top w:type="dxa" w:w="60"/>
              <w:left w:type="dxa" w:w="100"/>
              <w:bottom w:type="dxa" w:w="60"/>
              <w:right w:type="dxa" w:w="100"/>
            </w:tcMar>
          </w:tcPr>
          <w:p>
            <w:r>
              <w:rPr>
                <w:b w:val="false"/>
                <w:bCs w:val="false"/>
                <w:color w:val="000000"/>
                <w:sz w:val="19"/>
                <w:szCs w:val="19"/>
              </w:rPr>
              <w:t xml:space="preserve">Jede Stufe trägt eigenes Risiko; Kumulation ambitioniert – aber jede erreichte Stufe ist für sich werthaltig</w:t>
            </w:r>
          </w:p>
        </w:tc>
      </w:tr>
      <w:tr>
        <w:tc>
          <w:tcPr>
            <w:tcW w:type="dxa" w:w="3300"/>
            <w:shd w:fill="FFFFFF" w:val="clear"/>
            <w:tcMar>
              <w:top w:type="dxa" w:w="60"/>
              <w:left w:type="dxa" w:w="100"/>
              <w:bottom w:type="dxa" w:w="60"/>
              <w:right w:type="dxa" w:w="100"/>
            </w:tcMar>
          </w:tcPr>
          <w:p>
            <w:r>
              <w:rPr>
                <w:b w:val="false"/>
                <w:bCs w:val="false"/>
                <w:color w:val="000000"/>
                <w:sz w:val="19"/>
                <w:szCs w:val="19"/>
              </w:rPr>
              <w:t xml:space="preserve">Totalverlust-Szenario</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begrenzt wahrscheinlich</w:t>
            </w:r>
          </w:p>
        </w:tc>
        <w:tc>
          <w:tcPr>
            <w:tcW w:type="dxa" w:w="4160"/>
            <w:shd w:fill="FFFFFF" w:val="clear"/>
            <w:tcMar>
              <w:top w:type="dxa" w:w="60"/>
              <w:left w:type="dxa" w:w="100"/>
              <w:bottom w:type="dxa" w:w="60"/>
              <w:right w:type="dxa" w:w="100"/>
            </w:tcMar>
          </w:tcPr>
          <w:p>
            <w:r>
              <w:rPr>
                <w:b w:val="false"/>
                <w:bCs w:val="false"/>
                <w:color w:val="000000"/>
                <w:sz w:val="19"/>
                <w:szCs w:val="19"/>
              </w:rPr>
              <w:t xml:space="preserve">Selbst bei Scheitern des großen Bildes bleiben verwertbare Assets: Software, Zulassungen, Datenbasis, ein profitabler Regionalträger</w:t>
            </w:r>
          </w:p>
        </w:tc>
      </w:tr>
    </w:tbl>
    <w:p>
      <w:pPr>
        <w:spacing w:after="120"/>
      </w:pPr>
    </w:p>
    <w:p>
      <w:pPr>
        <w:spacing w:after="120" w:line="276"/>
        <w:jc w:val="both"/>
      </w:pPr>
      <w:r>
        <w:t xml:space="preserve">Das Risikoprofil ist asymmetrisch: begrenzte Downside, große Upside – exakt das Profil, das nachhaltige Investoren suchen. Diese Asymmetrie ist kein Zufall, sondern Ergebnis der Stufenkonstruktion: Keine Stufe setzt die nächste voraus, jede trägt sich selbst.</w:t>
      </w:r>
    </w:p>
    <w:p>
      <w:pPr>
        <w:pStyle w:val="Heading1"/>
        <w:spacing w:after="130" w:before="300"/>
      </w:pPr>
      <w:r>
        <w:rPr>
          <w:color w:val="1F4E5F"/>
        </w:rPr>
        <w:t xml:space="preserve">5. Die zwei Bedingungen</w:t>
      </w:r>
    </w:p>
    <w:p>
      <w:pPr>
        <w:pStyle w:val="ListParagraph"/>
        <w:numPr>
          <w:ilvl w:val="0"/>
          <w:numId w:val="2"/>
        </w:numPr>
        <w:spacing w:after="70" w:line="264"/>
        <w:jc w:val="both"/>
      </w:pPr>
      <w:r>
        <w:rPr>
          <w:b/>
          <w:bCs/>
        </w:rPr>
        <w:t xml:space="preserve">Zwölf Monate kompromissloser Fokus: </w:t>
      </w:r>
      <w:r>
        <w:t xml:space="preserve">Inlandsgeschäft plus KAȲȲA OS Stufe 1 – nichts anderes. Jede Verlockung (ein früher Auslandsdeal, eine günstige Einrichtungsübernahme) wird dokumentiert, terminiert und auf später verschoben.</w:t>
      </w:r>
    </w:p>
    <w:p>
      <w:pPr>
        <w:pStyle w:val="ListParagraph"/>
        <w:numPr>
          <w:ilvl w:val="0"/>
          <w:numId w:val="2"/>
        </w:numPr>
        <w:spacing w:after="70" w:line="264"/>
        <w:jc w:val="both"/>
      </w:pPr>
      <w:r>
        <w:rPr>
          <w:b/>
          <w:bCs/>
        </w:rPr>
        <w:t xml:space="preserve">Der analoge Vertriebsmensch: </w:t>
      </w:r>
      <w:r>
        <w:t xml:space="preserve">Früh eine Person ins Team, die das Netzwerk zu Agenturen, Jobcentern und Kammern mitbringt – idealerweise mit Vergangenheit bei einem Träger oder einer Agentur. Diese eine Personalentscheidung beeinflusst die Erfolgswahrscheinlichkeit stärker als jedes Feature der Software.</w:t>
      </w:r>
    </w:p>
    <w:p>
      <w:pPr>
        <w:pStyle w:val="Heading1"/>
        <w:spacing w:after="130" w:before="300"/>
      </w:pPr>
      <w:r>
        <w:rPr>
          <w:color w:val="1F4E5F"/>
        </w:rPr>
        <w:t xml:space="preserve">6. Schlusssatz</w:t>
      </w:r>
    </w:p>
    <w:p>
      <w:pPr>
        <w:spacing w:after="120" w:line="276"/>
        <w:jc w:val="both"/>
      </w:pPr>
      <w:r>
        <w:t xml:space="preserve">Wenn beide Bedingungen stehen und das Kapital geduldig ist, ist dieses Projekt kein Traum, sondern ein Plan. Pläne dieser Tiefe scheitern selten am Konzept – nur an der Geduld. Sie ist die eigentliche Währung dieses Vorhabens: bei den Gründern, bei den Investoren und gegenüber einem Systemwandel, der nicht in Quartalen rechnet.</w:t>
      </w:r>
    </w:p>
    <w:p>
      <w:pPr>
        <w:pBdr>
          <w:top w:val="single" w:color="CCCCCC" w:sz="4"/>
        </w:pBdr>
        <w:spacing w:before="300"/>
      </w:pPr>
      <w:r>
        <w:rPr>
          <w:i/>
          <w:iCs/>
          <w:color w:val="666666"/>
          <w:sz w:val="18"/>
          <w:szCs w:val="18"/>
        </w:rPr>
        <w:t xml:space="preserve">Interne Einschätzung, keine Anlage- oder Rechtsberatung. Wahrscheinlichkeiten sind begründete Schätzungen der beteiligten KI auf Basis der Projektunterlagen V260721, keine Prognosen.</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2026-07-22T18:39:50.208Z</dcterms:created>
  <dcterms:modified xsi:type="dcterms:W3CDTF">2026-07-22T18:39:50.208Z</dcterms:modified>
</cp:coreProperties>
</file>

<file path=docProps/custom.xml><?xml version="1.0" encoding="utf-8"?>
<Properties xmlns="http://schemas.openxmlformats.org/officeDocument/2006/custom-properties" xmlns:vt="http://schemas.openxmlformats.org/officeDocument/2006/docPropsVTypes"/>
</file>