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5F"/>
          <w:sz w:val="56"/>
          <w:szCs w:val="56"/>
        </w:rPr>
        <w:t xml:space="preserve">Ideenpapier</w:t>
      </w:r>
    </w:p>
    <w:p>
      <w:pPr>
        <w:spacing w:after="120"/>
        <w:jc w:val="center"/>
      </w:pPr>
      <w:r>
        <w:rPr>
          <w:sz w:val="30"/>
          <w:szCs w:val="30"/>
        </w:rPr>
        <w:t xml:space="preserve">Gründung eines gemeinnützigen Bildungsträgers (gGmbH)</w:t>
      </w:r>
    </w:p>
    <w:p>
      <w:pPr>
        <w:spacing w:after="200"/>
        <w:jc w:val="center"/>
      </w:pPr>
      <w:r>
        <w:rPr>
          <w:i/>
          <w:iCs/>
          <w:sz w:val="24"/>
          <w:szCs w:val="24"/>
        </w:rPr>
        <w:t xml:space="preserve">Ein Träger über die gesamte Wertschöpfungskette – von der Ausbildung im In- und Ausland bis zur Beschäftigung in eigenen Einrichtungen. Digitalisierung und KI übernehmen die reine Verwaltung und die bürokratischen Fleißaufgaben, die Ausbilder und Therapeuten sonst von ihrer eigentlichen Arbeit abhalten – und sie fördern, steigern und dokumentieren zugleich den Erfolg der Maßnahme und jedes einzelnen Teilnehmers. Das spart Kosten und gibt den Menschen – besser bezahlt, weil kein teurer Verwaltungsapparat mitverdient – die Zeit für das, was zählt: die Arbeit am Menschen. Jeder Euro und jeder Erfolg revisionssicher belegt – volle Transparenz für die Kostenträger.</w:t>
      </w:r>
    </w:p>
    <w:p>
      <w:pPr>
        <w:spacing w:after="80"/>
        <w:jc w:val="center"/>
      </w:pPr>
      <w:r>
        <w:rPr>
          <w:color w:val="666666"/>
          <w:sz w:val="22"/>
          <w:szCs w:val="22"/>
        </w:rPr>
        <w:t xml:space="preserve">Berufliche Weiterbildung · Umschulung im Handwerk · Aktivierung &amp; Vermittlung · Internationale Fachkräfteausbildung · Eigene Einrichtungen · Suchteingliederung · Schulbegleitung</w:t>
      </w:r>
    </w:p>
    <w:p>
      <w:pPr>
        <w:spacing w:before="400"/>
        <w:jc w:val="center"/>
      </w:pPr>
      <w:r>
        <w:rPr>
          <w:color w:val="666666"/>
          <w:sz w:val="22"/>
          <w:szCs w:val="22"/>
        </w:rPr>
        <w:t xml:space="preserve">Bernhard Krug · Juli 2026 · Version 260721</w:t>
      </w:r>
    </w:p>
    <w:p>
      <w:r>
        <w:br w:type="page"/>
      </w:r>
    </w:p>
    <w:p>
      <w:pPr>
        <w:pStyle w:val="Heading1"/>
        <w:spacing w:after="140" w:before="320"/>
      </w:pPr>
      <w:r>
        <w:rPr>
          <w:color w:val="1F4E5F"/>
        </w:rPr>
        <w:t xml:space="preserve">Einleitung</w:t>
      </w:r>
    </w:p>
    <w:p>
      <w:pPr>
        <w:spacing w:after="120" w:line="276"/>
        <w:jc w:val="both"/>
      </w:pPr>
      <w:r>
        <w:t xml:space="preserve">Dieses Unternehmen wird als volldigital verwaltete Bildungs- und Eingliederungsorganisation gegründet – mit einem klaren Grundsatz: Die Technik übernimmt die Verwaltung, die Menschen konzentrieren sich auf die Arbeit am Menschen. Anwesenheiten, Nachweise, Abrechnung, Berichtswesen und Qualitätsdokumentation laufen automatisiert im Hintergrund; Ärzte, Lehrkräfte, Ausbilder und Therapeuten verbringen ihre Zeit mit Menschen statt mit Formularen.</w:t>
      </w:r>
    </w:p>
    <w:p>
      <w:pPr>
        <w:spacing w:after="120" w:line="276"/>
        <w:jc w:val="both"/>
      </w:pPr>
      <w:r>
        <w:t xml:space="preserve">Die dafür nötige Technologie steht heute ausgereift und datenschutzkonform zur Verfügung. Etablierte Anbieter nutzen sie jedoch nur punktuell – als Insellösungen für einzelne Pflichtaufgaben, nicht als durchgängiges Betriebsmodell; und wo Effizienzgewinne entstehen, werden sie weder an die Kostenträger noch an das pädagogische Personal weitergegeben. Deren historisch gewachsene, überfrachtete Verwaltungsapparate haben eine doppelte Folge: Sie treiben die Maßnahmenpreise nach oben, und sie entziehen ausgerechnet denjenigen die Mittel, die die eigentliche Arbeit leisten. Wer schlank verwaltet, kann beides zugleich: den Kostenträgern bessere Preise bieten und dem pädagogischen und therapeutischen Personal eine bessere Vergütung zahlen. Mit überdurchschnittlicher Bezahlung und spürbar entlastetem Arbeitsalltag lassen sich die besten Kräfte gewinnen und halten – erfahrene Ausbilder und Meister, Pflegepädagogen und Praxisanleiter, Sucht- und Sozialtherapeuten, Sozialpädagogen, Sprach- und Integrationslehrkräfte, Prüfungs- und Bewerbungscoaches. Die Qualität einer Maßnahme entsteht bei diesen Menschen – nicht in der Verwaltung.</w:t>
      </w:r>
    </w:p>
    <w:p>
      <w:pPr>
        <w:spacing w:after="120" w:line="276"/>
        <w:jc w:val="both"/>
      </w:pPr>
      <w:r>
        <w:t xml:space="preserve">Die Gesellschaft versteht sich dabei als Treuhänderin öffentlicher Gelder – und die Dimension ist gewaltig: Allein die größten der in diesem Papier aufgeführten Kosten- und Leistungsträger vergeben zusammen weit über 45 Milliarden Euro pro Jahr. Die Eingliederungstitel von BA und Jobcentern umfassen rund 3,3 bzw. 4,7 Mrd. €, die Deutsche Rentenversicherung gab 2024 rund 8,3 Mrd. € für Rehabilitation aus (darunter rund 6,7 Mrd. € für medizinische Reha – Gelder, die ganz überwiegend als Vergütungen an Reha-Einrichtungen fließen; die Kranken- und Pflegekassen finanzieren Vorsorge-, Reha- und Pflegeeinrichtungen zusätzlich), das BAMF über 1 Mrd. € für Integrationskurse, die Eingliederungshilfe der Kommunen 28,7 Mrd. € (2024) – dazu kommen Milliarden der Kranken- und Pflegekassen (inkl. Pflegeausbildungsfonds), rund 1 Mrd. € jährlich aus ESF-Plus-Programmen, 1 Mrd. € im Bundesprogramm rehapro sowie 500 Mio. € jährlich für das Programm Junges Wohnen. In diesen Markt fließen also Jahr für Jahr Beitrags- und Steuermittel in der Größenordnung eines Bundeslandeshaushalts – und zu oft versickern sie in Maßnahmen, die nur auf dem Papier Wirksamkeit versprechen, in ineffizientem Personaleinsatz und in Kostenapparaten, die mit der eigentlichen Arbeit nichts zu tun haben: repräsentative Büros, Vorstandsgehälter, Fahrzeugflotten, Rechtsabteilungen, Assistenz- und Verwaltungsstäbe. Dieses Unternehmen verzichtet strukturell auf all das. Jede Kostenposition wird der jeweiligen Maßnahme revisionssicher zugeordnet und automatisch plausibilisiert – der Kostenträger sieht nicht nur, was eine Maßnahme kostet, sondern woraus diese Kosten bestehen und was sie bewirken. Dieselbe lückenlose Belegkette macht auch Unregelmäßigkeiten prüfbar: Wo jede Buchung einer Maßnahme, einem Beleg und einer Person zuzuordnen ist, haben Korruption und Gefälligkeiten keinen Raum, und jeder Verdacht lässt sich in Minuten statt Monaten aufklären. Öffentliche Mittel zu schützen ist hier kein Compliance-Anhängsel, sondern Geschäftsmodell.</w:t>
      </w:r>
    </w:p>
    <w:p>
      <w:pPr>
        <w:pStyle w:val="Heading2"/>
        <w:spacing w:after="100" w:before="240"/>
      </w:pPr>
      <w:r>
        <w:rPr>
          <w:color w:val="1F4E5F"/>
        </w:rPr>
        <w:t xml:space="preserve">Datenschutz und revisionssichere Teilnehmerakte als Systemvorteil</w:t>
      </w:r>
    </w:p>
    <w:p>
      <w:pPr>
        <w:spacing w:after="120" w:line="276"/>
        <w:jc w:val="both"/>
      </w:pPr>
      <w:r>
        <w:t xml:space="preserve">Verarbeitet werden hochsensible Daten von Teilnehmern, Patienten und Rehabilitanden – Gesundheits- und Sozialdaten im Sinne von Art. 9 DSGVO und der §§ 67 ff. SGB X. Das Unternehmen ist sich bewusst, dass diese Daten eine überdurchschnittliche Verarbeitungssicherheit erfordern, und trägt dem von Beginn an Rechnung: durchgängige DSGVO- und BDSG-Konformität, Verschlüsselung, rollenbasierte Zugriffe, Protokollierung jedes Zugriffs, Datenschutz-Folgenabschätzung und ein benannter Datenschutzbeauftragter.</w:t>
      </w:r>
    </w:p>
    <w:p>
      <w:pPr>
        <w:spacing w:after="120" w:line="276"/>
        <w:jc w:val="both"/>
      </w:pPr>
      <w:r>
        <w:t xml:space="preserve">Gerade hier liegt ein struktureller Vorteil gegenüber etablierten Anbietern: Diese sind zwar formal datenschutzzertifiziert, arbeiten in der Praxis aber vielfach mit Papierakten – die vollständige Teilnehmer- oder Patientenakte im Aktenschrank, dessen Zugriffsschutz sich auf einen Schlüssel beschränkt, wird den heutigen Anforderungen an den Schutz von Gesundheitsdaten nicht gerecht. Zertifizierungen, die solche Prozesse fortschreiben, bilden ein überholtes Schutzniveau ab. Eine konsequent digitale Akte bietet dagegen nachweisbaren, technisch erzwungenen Schutz – und schafft zugleich neue Möglichkeiten.</w:t>
      </w:r>
    </w:p>
    <w:p>
      <w:pPr>
        <w:spacing w:after="120" w:line="276"/>
        <w:jc w:val="both"/>
      </w:pPr>
      <w:r>
        <w:t xml:space="preserve">Denn die digitale Teilnehmerakte ist mehr als Datenschutz: Anwesenheiten, Lernfortschritte, Erfolgsnachweise und Prüfungsergebnisse werden manipulationssicher und revisionssicher fortgeschrieben. Erfolg, Kosten und Aufwand jeder Maßnahme sind damit jederzeit belegbar – gegenüber Kostenträgern, fachkundiger Stelle und in Vergabeverfahren. Ineffiziente Maßnahmen werden sofort erkannt und nachgesteuert statt fortgeführt; Fördermittel versickern nicht in wirkungslosen Maßnahmen. An diesem Anspruch will sich das Unternehmen messen lassen: Eine Maßnahme ist kein Selbstzweck, sondern muss belegbaren Eingliederungserfolg liefern.</w:t>
      </w:r>
    </w:p>
    <w:p>
      <w:pPr>
        <w:spacing w:after="120" w:line="276"/>
        <w:jc w:val="both"/>
      </w:pPr>
      <w:r>
        <w:t xml:space="preserve">Das gilt auch für die Teilnehmer selbst: Niemand soll eine Maßnahme lediglich „absitzen“. Zeigt die Verlaufsdatenanalyse nachlassende Mitwirkung, spricht frühzeitig eine dafür qualifizierte, maßnahmenübergreifend tätige Motivations- und Integrationsbegleitung den Teilnehmer an – dokumentiert und mit dem Ziel, ihn zurückzugewinnen. Diese Rolle ist bewusst vom Lehr- und Ausbildungspersonal getrennt: zum einen, weil Motivations- und Krisengespräche eine eigene Qualifikation erfordern, über die nicht jede Fachkraft verfügt; zum anderen, weil der Ausbilder oder Therapeut Vertrauensperson bleiben muss. Er darf – gerade bei der Eingliederung suchtkranker Menschen – nicht zugleich als Kontroll- und Sanktionsinstanz auftreten, und die digitale Leistungserfassung stellt sicher, dass die Fachkraft nicht als diejenige wahrgenommen wird, die Fehlverhalten meldet: Die Dokumentation erfolgt systemseitig, neutral und für den Teilnehmer transparent.</w:t>
      </w:r>
    </w:p>
    <w:p>
      <w:pPr>
        <w:pStyle w:val="Heading1"/>
        <w:spacing w:after="140" w:before="320"/>
      </w:pPr>
      <w:r>
        <w:rPr>
          <w:color w:val="1F4E5F"/>
        </w:rPr>
        <w:t xml:space="preserve">1. Executive Summary</w:t>
      </w:r>
    </w:p>
    <w:p>
      <w:pPr>
        <w:spacing w:after="120" w:line="276"/>
        <w:jc w:val="both"/>
      </w:pPr>
      <w:r>
        <w:t xml:space="preserve">Gegründet wird eine gemeinnützige GmbH als regionaler Bildungsträger nach dem Vorbild erfolgreich agierender Anbieter. Kerngeschäft sind öffentlich geförderte Arbeitsmarktdienstleistungen: berufliche Weiterbildung und Umschulung (§ 81 SGB III, Bildungsgutschein), Umschulungen und Teilqualifizierungen in Handwerksberufen sowie Maßnahmen zur Aktivierung und beruflichen Eingliederung (§ 45 SGB III, AVGS und Vergabemaßnahmen).</w:t>
      </w:r>
    </w:p>
    <w:p>
      <w:pPr>
        <w:spacing w:after="120" w:line="276"/>
        <w:jc w:val="both"/>
      </w:pPr>
      <w:r>
        <w:t xml:space="preserve">Zweites strategisches Standbein ist die internationale Fachkräftegewinnung: Pflege- und Hotelfachkräfte werden von deutschem Fachpersonal im Ausland (Philippinen, Singapur) kostengünstig nach deutschen Standards aus- und weitergebildet, sprachlich qualifiziert (B1/B2) und anschließend nach Deutschland geholt – zur Beschäftigung in eigenen Einrichtungen (z. B. Reha- und Pflegeeinrichtungen) oder zur Vermittlung an Arbeitgeber am Markt.</w:t>
      </w:r>
    </w:p>
    <w:p>
      <w:pPr>
        <w:spacing w:after="120" w:line="276"/>
        <w:jc w:val="both"/>
      </w:pPr>
      <w:r>
        <w:t xml:space="preserve">Auftraggeber und Finanzierungsquellen sind die Bundesagentur für Arbeit (BA), Jobcenter, Rentenversicherung, Landes- und ESF-Programme sowie – im internationalen Geschäft – Arbeitgeber, die Ausbildungs- und Vermittlungskosten tragen (Employer-Pays-Prinzip). Marktzugang im Inland setzt die AZAV-Zulassung voraus; Vergabemaßnahmen werden über die Regionalen Einkaufszentren (REZ) der BA elektronisch ausgeschrieben.</w:t>
      </w:r>
    </w:p>
    <w:p>
      <w:pPr>
        <w:spacing w:after="120" w:line="276"/>
        <w:jc w:val="both"/>
      </w:pPr>
      <w:r>
        <w:t xml:space="preserve">Kapitalbedarf für Gründung, Zulassungen, Räume und Anlaufphase: ca. 250.000–400.000 € (inkl. 25.000 € Stammkapital); hinzu kommt die stufenweise IT-Investition in die eigene Plattform KAȲȲA OS (Arbeitstitel) von insgesamt ca. 0,9–1,4 Mio. € über drei Jahre (Kapitel 10.1) – das Herzstück des Geschäftsmodells und zugleich ein eigenes, werthaltiges Asset. Internationale Ausbaustufe und eigene Einrichtungen erfordern separate Finanzierungsrunden. Break-even des Inlandsgeschäfts ab Monat 18–24 realistisch; das internationale Geschäft trägt ab Jahr 3.</w:t>
      </w:r>
    </w:p>
    <w:p>
      <w:pPr>
        <w:spacing w:after="120" w:line="276"/>
        <w:jc w:val="both"/>
      </w:pPr>
      <w:r>
        <w:t xml:space="preserve">Strategischer Hebel: Das Unternehmen startet volldigital und KI-gestützt – ohne den gewachsenen Verwaltungsapparat der großen Bundesträger. Die dadurch deutlich niedrigeren Overhead-Kosten erlauben marktfähigere Preise in Vergabeverfahren und Kostensätze unterhalb der B-DKS-Grenzen bei gleicher oder besserer Qualität.</w:t>
      </w:r>
    </w:p>
    <w:p>
      <w:pPr>
        <w:pStyle w:val="Heading1"/>
        <w:spacing w:after="140" w:before="320"/>
      </w:pPr>
      <w:r>
        <w:rPr>
          <w:color w:val="1F4E5F"/>
        </w:rPr>
        <w:t xml:space="preserve">2. Geschäftsidee und Leistungsangebot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560"/>
        <w:gridCol w:w="2900"/>
      </w:tblGrid>
      <w:tr>
        <w:tc>
          <w:tcPr>
            <w:tcW w:type="dxa" w:w="2900"/>
            <w:shd w:fill="1F4E5F" w:val="clear"/>
            <w:tcMar>
              <w:top w:type="dxa" w:w="60"/>
              <w:left w:type="dxa" w:w="100"/>
              <w:bottom w:type="dxa" w:w="60"/>
              <w:right w:type="dxa" w:w="100"/>
            </w:tcMar>
          </w:tcPr>
          <w:p>
            <w:r>
              <w:rPr>
                <w:b/>
                <w:bCs/>
                <w:color w:val="FFFFFF"/>
                <w:sz w:val="20"/>
                <w:szCs w:val="20"/>
              </w:rPr>
              <w:t xml:space="preserve">Geschäftsfeld</w:t>
            </w:r>
          </w:p>
        </w:tc>
        <w:tc>
          <w:tcPr>
            <w:tcW w:type="dxa" w:w="3560"/>
            <w:shd w:fill="1F4E5F" w:val="clear"/>
            <w:tcMar>
              <w:top w:type="dxa" w:w="60"/>
              <w:left w:type="dxa" w:w="100"/>
              <w:bottom w:type="dxa" w:w="60"/>
              <w:right w:type="dxa" w:w="100"/>
            </w:tcMar>
          </w:tcPr>
          <w:p>
            <w:r>
              <w:rPr>
                <w:b/>
                <w:bCs/>
                <w:color w:val="FFFFFF"/>
                <w:sz w:val="20"/>
                <w:szCs w:val="20"/>
              </w:rPr>
              <w:t xml:space="preserve">Rechtsgrundlage / Zugang</w:t>
            </w:r>
          </w:p>
        </w:tc>
        <w:tc>
          <w:tcPr>
            <w:tcW w:type="dxa" w:w="2900"/>
            <w:shd w:fill="1F4E5F" w:val="clear"/>
            <w:tcMar>
              <w:top w:type="dxa" w:w="60"/>
              <w:left w:type="dxa" w:w="100"/>
              <w:bottom w:type="dxa" w:w="60"/>
              <w:right w:type="dxa" w:w="100"/>
            </w:tcMar>
          </w:tcPr>
          <w:p>
            <w:r>
              <w:rPr>
                <w:b/>
                <w:bCs/>
                <w:color w:val="FFFFFF"/>
                <w:sz w:val="20"/>
                <w:szCs w:val="20"/>
              </w:rPr>
              <w:t xml:space="preserve">Erlösmodell</w:t>
            </w:r>
          </w:p>
        </w:tc>
      </w:tr>
      <w:tr>
        <w:tc>
          <w:tcPr>
            <w:tcW w:type="dxa" w:w="2900"/>
            <w:shd w:fill="FFFFFF" w:val="clear"/>
            <w:tcMar>
              <w:top w:type="dxa" w:w="60"/>
              <w:left w:type="dxa" w:w="100"/>
              <w:bottom w:type="dxa" w:w="60"/>
              <w:right w:type="dxa" w:w="100"/>
            </w:tcMar>
          </w:tcPr>
          <w:p>
            <w:r>
              <w:rPr>
                <w:b w:val="false"/>
                <w:bCs w:val="false"/>
                <w:color w:val="000000"/>
                <w:sz w:val="20"/>
                <w:szCs w:val="20"/>
              </w:rPr>
              <w:t xml:space="preserve">Berufliche Weiterbildung &amp; Umschulung (FbW)</w:t>
            </w:r>
          </w:p>
        </w:tc>
        <w:tc>
          <w:tcPr>
            <w:tcW w:type="dxa" w:w="3560"/>
            <w:shd w:fill="FFFFFF" w:val="clear"/>
            <w:tcMar>
              <w:top w:type="dxa" w:w="60"/>
              <w:left w:type="dxa" w:w="100"/>
              <w:bottom w:type="dxa" w:w="60"/>
              <w:right w:type="dxa" w:w="100"/>
            </w:tcMar>
          </w:tcPr>
          <w:p>
            <w:r>
              <w:rPr>
                <w:b w:val="false"/>
                <w:bCs w:val="false"/>
                <w:color w:val="000000"/>
                <w:sz w:val="20"/>
                <w:szCs w:val="20"/>
              </w:rPr>
              <w:t xml:space="preserve">§ 81 SGB III, Bildungsgutschein; AZAV-Maßnahmenzulassung</w:t>
            </w:r>
          </w:p>
        </w:tc>
        <w:tc>
          <w:tcPr>
            <w:tcW w:type="dxa" w:w="2900"/>
            <w:shd w:fill="FFFFFF" w:val="clear"/>
            <w:tcMar>
              <w:top w:type="dxa" w:w="60"/>
              <w:left w:type="dxa" w:w="100"/>
              <w:bottom w:type="dxa" w:w="60"/>
              <w:right w:type="dxa" w:w="100"/>
            </w:tcMar>
          </w:tcPr>
          <w:p>
            <w:r>
              <w:rPr>
                <w:b w:val="false"/>
                <w:bCs w:val="false"/>
                <w:color w:val="000000"/>
                <w:sz w:val="20"/>
                <w:szCs w:val="20"/>
              </w:rPr>
              <w:t xml:space="preserve">Kostensatz je Teilnehmer (B-DKS als Obergrenze)</w:t>
            </w:r>
          </w:p>
        </w:tc>
      </w:tr>
      <w:tr>
        <w:tc>
          <w:tcPr>
            <w:tcW w:type="dxa" w:w="2900"/>
            <w:shd w:fill="F2F2F2" w:val="clear"/>
            <w:tcMar>
              <w:top w:type="dxa" w:w="60"/>
              <w:left w:type="dxa" w:w="100"/>
              <w:bottom w:type="dxa" w:w="60"/>
              <w:right w:type="dxa" w:w="100"/>
            </w:tcMar>
          </w:tcPr>
          <w:p>
            <w:r>
              <w:rPr>
                <w:b w:val="false"/>
                <w:bCs w:val="false"/>
                <w:color w:val="000000"/>
                <w:sz w:val="20"/>
                <w:szCs w:val="20"/>
              </w:rPr>
              <w:t xml:space="preserve">Umschulung/Qualifizierung im Handwerk</w:t>
            </w:r>
          </w:p>
        </w:tc>
        <w:tc>
          <w:tcPr>
            <w:tcW w:type="dxa" w:w="3560"/>
            <w:shd w:fill="F2F2F2" w:val="clear"/>
            <w:tcMar>
              <w:top w:type="dxa" w:w="60"/>
              <w:left w:type="dxa" w:w="100"/>
              <w:bottom w:type="dxa" w:w="60"/>
              <w:right w:type="dxa" w:w="100"/>
            </w:tcMar>
          </w:tcPr>
          <w:p>
            <w:r>
              <w:rPr>
                <w:b w:val="false"/>
                <w:bCs w:val="false"/>
                <w:color w:val="000000"/>
                <w:sz w:val="20"/>
                <w:szCs w:val="20"/>
              </w:rPr>
              <w:t xml:space="preserve">BBiG/HwO; Anerkennung durch Handwerkskammer; Prüfung vor der HWK</w:t>
            </w:r>
          </w:p>
        </w:tc>
        <w:tc>
          <w:tcPr>
            <w:tcW w:type="dxa" w:w="2900"/>
            <w:shd w:fill="F2F2F2" w:val="clear"/>
            <w:tcMar>
              <w:top w:type="dxa" w:w="60"/>
              <w:left w:type="dxa" w:w="100"/>
              <w:bottom w:type="dxa" w:w="60"/>
              <w:right w:type="dxa" w:w="100"/>
            </w:tcMar>
          </w:tcPr>
          <w:p>
            <w:r>
              <w:rPr>
                <w:b w:val="false"/>
                <w:bCs w:val="false"/>
                <w:color w:val="000000"/>
                <w:sz w:val="20"/>
                <w:szCs w:val="20"/>
              </w:rPr>
              <w:t xml:space="preserve">FbW-Förderung, Reha-Träger, Betriebe</w:t>
            </w:r>
          </w:p>
        </w:tc>
      </w:tr>
      <w:tr>
        <w:tc>
          <w:tcPr>
            <w:tcW w:type="dxa" w:w="2900"/>
            <w:shd w:fill="FFFFFF" w:val="clear"/>
            <w:tcMar>
              <w:top w:type="dxa" w:w="60"/>
              <w:left w:type="dxa" w:w="100"/>
              <w:bottom w:type="dxa" w:w="60"/>
              <w:right w:type="dxa" w:w="100"/>
            </w:tcMar>
          </w:tcPr>
          <w:p>
            <w:r>
              <w:rPr>
                <w:b w:val="false"/>
                <w:bCs w:val="false"/>
                <w:color w:val="000000"/>
                <w:sz w:val="20"/>
                <w:szCs w:val="20"/>
              </w:rPr>
              <w:t xml:space="preserve">Aktivierung &amp; Vermittlung</w:t>
            </w:r>
          </w:p>
        </w:tc>
        <w:tc>
          <w:tcPr>
            <w:tcW w:type="dxa" w:w="3560"/>
            <w:shd w:fill="FFFFFF" w:val="clear"/>
            <w:tcMar>
              <w:top w:type="dxa" w:w="60"/>
              <w:left w:type="dxa" w:w="100"/>
              <w:bottom w:type="dxa" w:w="60"/>
              <w:right w:type="dxa" w:w="100"/>
            </w:tcMar>
          </w:tcPr>
          <w:p>
            <w:r>
              <w:rPr>
                <w:b w:val="false"/>
                <w:bCs w:val="false"/>
                <w:color w:val="000000"/>
                <w:sz w:val="20"/>
                <w:szCs w:val="20"/>
              </w:rPr>
              <w:t xml:space="preserve">§ 45 SGB III; AVGS oder Vergabe durch REZ</w:t>
            </w:r>
          </w:p>
        </w:tc>
        <w:tc>
          <w:tcPr>
            <w:tcW w:type="dxa" w:w="2900"/>
            <w:shd w:fill="FFFFFF" w:val="clear"/>
            <w:tcMar>
              <w:top w:type="dxa" w:w="60"/>
              <w:left w:type="dxa" w:w="100"/>
              <w:bottom w:type="dxa" w:w="60"/>
              <w:right w:type="dxa" w:w="100"/>
            </w:tcMar>
          </w:tcPr>
          <w:p>
            <w:r>
              <w:rPr>
                <w:b w:val="false"/>
                <w:bCs w:val="false"/>
                <w:color w:val="000000"/>
                <w:sz w:val="20"/>
                <w:szCs w:val="20"/>
              </w:rPr>
              <w:t xml:space="preserve">AVGS-Einlösung bzw. Vergabepreis</w:t>
            </w:r>
          </w:p>
        </w:tc>
      </w:tr>
      <w:tr>
        <w:tc>
          <w:tcPr>
            <w:tcW w:type="dxa" w:w="2900"/>
            <w:shd w:fill="F2F2F2" w:val="clear"/>
            <w:tcMar>
              <w:top w:type="dxa" w:w="60"/>
              <w:left w:type="dxa" w:w="100"/>
              <w:bottom w:type="dxa" w:w="60"/>
              <w:right w:type="dxa" w:w="100"/>
            </w:tcMar>
          </w:tcPr>
          <w:p>
            <w:r>
              <w:rPr>
                <w:b w:val="false"/>
                <w:bCs w:val="false"/>
                <w:color w:val="000000"/>
                <w:sz w:val="20"/>
                <w:szCs w:val="20"/>
              </w:rPr>
              <w:t xml:space="preserve">Internationale Fachkräfteausbildung (Pflege, Hotellerie)</w:t>
            </w:r>
          </w:p>
        </w:tc>
        <w:tc>
          <w:tcPr>
            <w:tcW w:type="dxa" w:w="3560"/>
            <w:shd w:fill="F2F2F2" w:val="clear"/>
            <w:tcMar>
              <w:top w:type="dxa" w:w="60"/>
              <w:left w:type="dxa" w:w="100"/>
              <w:bottom w:type="dxa" w:w="60"/>
              <w:right w:type="dxa" w:w="100"/>
            </w:tcMar>
          </w:tcPr>
          <w:p>
            <w:r>
              <w:rPr>
                <w:b w:val="false"/>
                <w:bCs w:val="false"/>
                <w:color w:val="000000"/>
                <w:sz w:val="20"/>
                <w:szCs w:val="20"/>
              </w:rPr>
              <w:t xml:space="preserve">Ausbildung im Ausland nach dt. Standards; Anerkennung + Visum (§§ 16d, 81a AufenthG); Gütezeichen Faire Anwerbung</w:t>
            </w:r>
          </w:p>
        </w:tc>
        <w:tc>
          <w:tcPr>
            <w:tcW w:type="dxa" w:w="2900"/>
            <w:shd w:fill="F2F2F2" w:val="clear"/>
            <w:tcMar>
              <w:top w:type="dxa" w:w="60"/>
              <w:left w:type="dxa" w:w="100"/>
              <w:bottom w:type="dxa" w:w="60"/>
              <w:right w:type="dxa" w:w="100"/>
            </w:tcMar>
          </w:tcPr>
          <w:p>
            <w:r>
              <w:rPr>
                <w:b w:val="false"/>
                <w:bCs w:val="false"/>
                <w:color w:val="000000"/>
                <w:sz w:val="20"/>
                <w:szCs w:val="20"/>
              </w:rPr>
              <w:t xml:space="preserve">Arbeitgeber zahlen Ausbildungs-/Vermittlungspauschale (Employer-Pays)</w:t>
            </w:r>
          </w:p>
        </w:tc>
      </w:tr>
      <w:tr>
        <w:tc>
          <w:tcPr>
            <w:tcW w:type="dxa" w:w="2900"/>
            <w:shd w:fill="FFFFFF" w:val="clear"/>
            <w:tcMar>
              <w:top w:type="dxa" w:w="60"/>
              <w:left w:type="dxa" w:w="100"/>
              <w:bottom w:type="dxa" w:w="60"/>
              <w:right w:type="dxa" w:w="100"/>
            </w:tcMar>
          </w:tcPr>
          <w:p>
            <w:r>
              <w:rPr>
                <w:b w:val="false"/>
                <w:bCs w:val="false"/>
                <w:color w:val="000000"/>
                <w:sz w:val="20"/>
                <w:szCs w:val="20"/>
              </w:rPr>
              <w:t xml:space="preserve">Eigene Einrichtungen (Reha, Pflege)</w:t>
            </w:r>
          </w:p>
        </w:tc>
        <w:tc>
          <w:tcPr>
            <w:tcW w:type="dxa" w:w="3560"/>
            <w:shd w:fill="FFFFFF" w:val="clear"/>
            <w:tcMar>
              <w:top w:type="dxa" w:w="60"/>
              <w:left w:type="dxa" w:w="100"/>
              <w:bottom w:type="dxa" w:w="60"/>
              <w:right w:type="dxa" w:w="100"/>
            </w:tcMar>
          </w:tcPr>
          <w:p>
            <w:r>
              <w:rPr>
                <w:b w:val="false"/>
                <w:bCs w:val="false"/>
                <w:color w:val="000000"/>
                <w:sz w:val="20"/>
                <w:szCs w:val="20"/>
              </w:rPr>
              <w:t xml:space="preserve">Zulassung nach SGB V/XI bzw. Versorgungsverträge; Zweckbetrieb § 66 AO</w:t>
            </w:r>
          </w:p>
        </w:tc>
        <w:tc>
          <w:tcPr>
            <w:tcW w:type="dxa" w:w="2900"/>
            <w:shd w:fill="FFFFFF" w:val="clear"/>
            <w:tcMar>
              <w:top w:type="dxa" w:w="60"/>
              <w:left w:type="dxa" w:w="100"/>
              <w:bottom w:type="dxa" w:w="60"/>
              <w:right w:type="dxa" w:w="100"/>
            </w:tcMar>
          </w:tcPr>
          <w:p>
            <w:r>
              <w:rPr>
                <w:b w:val="false"/>
                <w:bCs w:val="false"/>
                <w:color w:val="000000"/>
                <w:sz w:val="20"/>
                <w:szCs w:val="20"/>
              </w:rPr>
              <w:t xml:space="preserve">Pflegesätze/Vergütungen der Kostenträger; Eigenbedarf an Fachkräften</w:t>
            </w:r>
          </w:p>
        </w:tc>
      </w:tr>
      <w:tr>
        <w:tc>
          <w:tcPr>
            <w:tcW w:type="dxa" w:w="2900"/>
            <w:shd w:fill="F2F2F2" w:val="clear"/>
            <w:tcMar>
              <w:top w:type="dxa" w:w="60"/>
              <w:left w:type="dxa" w:w="100"/>
              <w:bottom w:type="dxa" w:w="60"/>
              <w:right w:type="dxa" w:w="100"/>
            </w:tcMar>
          </w:tcPr>
          <w:p>
            <w:r>
              <w:rPr>
                <w:b w:val="false"/>
                <w:bCs w:val="false"/>
                <w:color w:val="000000"/>
                <w:sz w:val="20"/>
                <w:szCs w:val="20"/>
              </w:rPr>
              <w:t xml:space="preserve">Kurzqualifikationen mit formaler Berechtigung (Scheine/Sachkunde)</w:t>
            </w:r>
          </w:p>
        </w:tc>
        <w:tc>
          <w:tcPr>
            <w:tcW w:type="dxa" w:w="3560"/>
            <w:shd w:fill="F2F2F2" w:val="clear"/>
            <w:tcMar>
              <w:top w:type="dxa" w:w="60"/>
              <w:left w:type="dxa" w:w="100"/>
              <w:bottom w:type="dxa" w:w="60"/>
              <w:right w:type="dxa" w:w="100"/>
            </w:tcMar>
          </w:tcPr>
          <w:p>
            <w:r>
              <w:rPr>
                <w:b w:val="false"/>
                <w:bCs w:val="false"/>
                <w:color w:val="000000"/>
                <w:sz w:val="20"/>
                <w:szCs w:val="20"/>
              </w:rPr>
              <w:t xml:space="preserve">IHK-/behördliche Prüfungen (z. B. § 34a GewO, BKrFQG, ADR); AZAV-Maßnahmenzulassung</w:t>
            </w:r>
          </w:p>
        </w:tc>
        <w:tc>
          <w:tcPr>
            <w:tcW w:type="dxa" w:w="2900"/>
            <w:shd w:fill="F2F2F2" w:val="clear"/>
            <w:tcMar>
              <w:top w:type="dxa" w:w="60"/>
              <w:left w:type="dxa" w:w="100"/>
              <w:bottom w:type="dxa" w:w="60"/>
              <w:right w:type="dxa" w:w="100"/>
            </w:tcMar>
          </w:tcPr>
          <w:p>
            <w:r>
              <w:rPr>
                <w:b w:val="false"/>
                <w:bCs w:val="false"/>
                <w:color w:val="000000"/>
                <w:sz w:val="20"/>
                <w:szCs w:val="20"/>
              </w:rPr>
              <w:t xml:space="preserve">Bildungsgutschein/AVGS, Arbeitgeber, Selbstzahler</w:t>
            </w:r>
          </w:p>
        </w:tc>
      </w:tr>
      <w:tr>
        <w:tc>
          <w:tcPr>
            <w:tcW w:type="dxa" w:w="2900"/>
            <w:shd w:fill="FFFFFF" w:val="clear"/>
            <w:tcMar>
              <w:top w:type="dxa" w:w="60"/>
              <w:left w:type="dxa" w:w="100"/>
              <w:bottom w:type="dxa" w:w="60"/>
              <w:right w:type="dxa" w:w="100"/>
            </w:tcMar>
          </w:tcPr>
          <w:p>
            <w:r>
              <w:rPr>
                <w:b w:val="false"/>
                <w:bCs w:val="false"/>
                <w:color w:val="000000"/>
                <w:sz w:val="20"/>
                <w:szCs w:val="20"/>
              </w:rPr>
              <w:t xml:space="preserve">Berufliche Wiedereingliederung Suchtkranker (nach Entzug)</w:t>
            </w:r>
          </w:p>
        </w:tc>
        <w:tc>
          <w:tcPr>
            <w:tcW w:type="dxa" w:w="3560"/>
            <w:shd w:fill="FFFFFF" w:val="clear"/>
            <w:tcMar>
              <w:top w:type="dxa" w:w="60"/>
              <w:left w:type="dxa" w:w="100"/>
              <w:bottom w:type="dxa" w:w="60"/>
              <w:right w:type="dxa" w:w="100"/>
            </w:tcMar>
          </w:tcPr>
          <w:p>
            <w:r>
              <w:rPr>
                <w:b w:val="false"/>
                <w:bCs w:val="false"/>
                <w:color w:val="000000"/>
                <w:sz w:val="20"/>
                <w:szCs w:val="20"/>
              </w:rPr>
              <w:t xml:space="preserve">Med. Reha/Adaption (SGB VI/V), LTA §§ 49 ff. SGB IX; Auslandserbringung über § 31 SGB IX; rehapro-Modellprojekte</w:t>
            </w:r>
          </w:p>
        </w:tc>
        <w:tc>
          <w:tcPr>
            <w:tcW w:type="dxa" w:w="2900"/>
            <w:shd w:fill="FFFFFF" w:val="clear"/>
            <w:tcMar>
              <w:top w:type="dxa" w:w="60"/>
              <w:left w:type="dxa" w:w="100"/>
              <w:bottom w:type="dxa" w:w="60"/>
              <w:right w:type="dxa" w:w="100"/>
            </w:tcMar>
          </w:tcPr>
          <w:p>
            <w:r>
              <w:rPr>
                <w:b w:val="false"/>
                <w:bCs w:val="false"/>
                <w:color w:val="000000"/>
                <w:sz w:val="20"/>
                <w:szCs w:val="20"/>
              </w:rPr>
              <w:t xml:space="preserve">DRV, Jobcenter, BA (berufliche Reha), rehapro, Stiftungen/Spenden</w:t>
            </w:r>
          </w:p>
        </w:tc>
      </w:tr>
      <w:tr>
        <w:tc>
          <w:tcPr>
            <w:tcW w:type="dxa" w:w="2900"/>
            <w:shd w:fill="F2F2F2" w:val="clear"/>
            <w:tcMar>
              <w:top w:type="dxa" w:w="60"/>
              <w:left w:type="dxa" w:w="100"/>
              <w:bottom w:type="dxa" w:w="60"/>
              <w:right w:type="dxa" w:w="100"/>
            </w:tcMar>
          </w:tcPr>
          <w:p>
            <w:r>
              <w:rPr>
                <w:b w:val="false"/>
                <w:bCs w:val="false"/>
                <w:color w:val="000000"/>
                <w:sz w:val="20"/>
                <w:szCs w:val="20"/>
              </w:rPr>
              <w:t xml:space="preserve">Schulbegleitung / Teilhabeassistenz</w:t>
            </w:r>
          </w:p>
        </w:tc>
        <w:tc>
          <w:tcPr>
            <w:tcW w:type="dxa" w:w="3560"/>
            <w:shd w:fill="F2F2F2" w:val="clear"/>
            <w:tcMar>
              <w:top w:type="dxa" w:w="60"/>
              <w:left w:type="dxa" w:w="100"/>
              <w:bottom w:type="dxa" w:w="60"/>
              <w:right w:type="dxa" w:w="100"/>
            </w:tcMar>
          </w:tcPr>
          <w:p>
            <w:r>
              <w:rPr>
                <w:b w:val="false"/>
                <w:bCs w:val="false"/>
                <w:color w:val="000000"/>
                <w:sz w:val="20"/>
                <w:szCs w:val="20"/>
              </w:rPr>
              <w:t xml:space="preserve">§ 112 SGB IX (Eingliederungshilfe) bzw. § 35a SGB VIII (Jugendamt); Leistungsvereinbarungen §§ 123 ff. SGB IX</w:t>
            </w:r>
          </w:p>
        </w:tc>
        <w:tc>
          <w:tcPr>
            <w:tcW w:type="dxa" w:w="2900"/>
            <w:shd w:fill="F2F2F2" w:val="clear"/>
            <w:tcMar>
              <w:top w:type="dxa" w:w="60"/>
              <w:left w:type="dxa" w:w="100"/>
              <w:bottom w:type="dxa" w:w="60"/>
              <w:right w:type="dxa" w:w="100"/>
            </w:tcMar>
          </w:tcPr>
          <w:p>
            <w:r>
              <w:rPr>
                <w:b w:val="false"/>
                <w:bCs w:val="false"/>
                <w:color w:val="000000"/>
                <w:sz w:val="20"/>
                <w:szCs w:val="20"/>
              </w:rPr>
              <w:t xml:space="preserve">Fachleistungsstunden der Kommunen (volle Kostenübernahme, einkommensunabhängig)</w:t>
            </w:r>
          </w:p>
        </w:tc>
      </w:tr>
      <w:tr>
        <w:tc>
          <w:tcPr>
            <w:tcW w:type="dxa" w:w="2900"/>
            <w:shd w:fill="FFFFFF" w:val="clear"/>
            <w:tcMar>
              <w:top w:type="dxa" w:w="60"/>
              <w:left w:type="dxa" w:w="100"/>
              <w:bottom w:type="dxa" w:w="60"/>
              <w:right w:type="dxa" w:w="100"/>
            </w:tcMar>
          </w:tcPr>
          <w:p>
            <w:r>
              <w:rPr>
                <w:b w:val="false"/>
                <w:bCs w:val="false"/>
                <w:color w:val="000000"/>
                <w:sz w:val="20"/>
                <w:szCs w:val="20"/>
              </w:rPr>
              <w:t xml:space="preserve">Eigene Pflegeschule (Ausbaustufe)</w:t>
            </w:r>
          </w:p>
        </w:tc>
        <w:tc>
          <w:tcPr>
            <w:tcW w:type="dxa" w:w="3560"/>
            <w:shd w:fill="FFFFFF" w:val="clear"/>
            <w:tcMar>
              <w:top w:type="dxa" w:w="60"/>
              <w:left w:type="dxa" w:w="100"/>
              <w:bottom w:type="dxa" w:w="60"/>
              <w:right w:type="dxa" w:w="100"/>
            </w:tcMar>
          </w:tcPr>
          <w:p>
            <w:r>
              <w:rPr>
                <w:b w:val="false"/>
                <w:bCs w:val="false"/>
                <w:color w:val="000000"/>
                <w:sz w:val="20"/>
                <w:szCs w:val="20"/>
              </w:rPr>
              <w:t xml:space="preserve">Pflegeberufegesetz/PflAFinV; staatliche Anerkennung durch das Land</w:t>
            </w:r>
          </w:p>
        </w:tc>
        <w:tc>
          <w:tcPr>
            <w:tcW w:type="dxa" w:w="2900"/>
            <w:shd w:fill="FFFFFF" w:val="clear"/>
            <w:tcMar>
              <w:top w:type="dxa" w:w="60"/>
              <w:left w:type="dxa" w:w="100"/>
              <w:bottom w:type="dxa" w:w="60"/>
              <w:right w:type="dxa" w:w="100"/>
            </w:tcMar>
          </w:tcPr>
          <w:p>
            <w:r>
              <w:rPr>
                <w:b w:val="false"/>
                <w:bCs w:val="false"/>
                <w:color w:val="000000"/>
                <w:sz w:val="20"/>
                <w:szCs w:val="20"/>
              </w:rPr>
              <w:t xml:space="preserve">Vollständige Refinanzierung über den Ausbildungsfonds des Landes</w:t>
            </w:r>
          </w:p>
        </w:tc>
      </w:tr>
      <w:tr>
        <w:tc>
          <w:tcPr>
            <w:tcW w:type="dxa" w:w="2900"/>
            <w:shd w:fill="F2F2F2" w:val="clear"/>
            <w:tcMar>
              <w:top w:type="dxa" w:w="60"/>
              <w:left w:type="dxa" w:w="100"/>
              <w:bottom w:type="dxa" w:w="60"/>
              <w:right w:type="dxa" w:w="100"/>
            </w:tcMar>
          </w:tcPr>
          <w:p>
            <w:r>
              <w:rPr>
                <w:b w:val="false"/>
                <w:bCs w:val="false"/>
                <w:color w:val="000000"/>
                <w:sz w:val="20"/>
                <w:szCs w:val="20"/>
              </w:rPr>
              <w:t xml:space="preserve">Ergänzend (Ausbaustufe)</w:t>
            </w:r>
          </w:p>
        </w:tc>
        <w:tc>
          <w:tcPr>
            <w:tcW w:type="dxa" w:w="3560"/>
            <w:shd w:fill="F2F2F2" w:val="clear"/>
            <w:tcMar>
              <w:top w:type="dxa" w:w="60"/>
              <w:left w:type="dxa" w:w="100"/>
              <w:bottom w:type="dxa" w:w="60"/>
              <w:right w:type="dxa" w:w="100"/>
            </w:tcMar>
          </w:tcPr>
          <w:p>
            <w:r>
              <w:rPr>
                <w:b w:val="false"/>
                <w:bCs w:val="false"/>
                <w:color w:val="000000"/>
                <w:sz w:val="20"/>
                <w:szCs w:val="20"/>
              </w:rPr>
              <w:t xml:space="preserve">Integrations-/Berufssprachkurse (BAMF), ESF-Projekte</w:t>
            </w:r>
          </w:p>
        </w:tc>
        <w:tc>
          <w:tcPr>
            <w:tcW w:type="dxa" w:w="2900"/>
            <w:shd w:fill="F2F2F2" w:val="clear"/>
            <w:tcMar>
              <w:top w:type="dxa" w:w="60"/>
              <w:left w:type="dxa" w:w="100"/>
              <w:bottom w:type="dxa" w:w="60"/>
              <w:right w:type="dxa" w:w="100"/>
            </w:tcMar>
          </w:tcPr>
          <w:p>
            <w:r>
              <w:rPr>
                <w:b w:val="false"/>
                <w:bCs w:val="false"/>
                <w:color w:val="000000"/>
                <w:sz w:val="20"/>
                <w:szCs w:val="20"/>
              </w:rPr>
              <w:t xml:space="preserve">BAMF-Kostensätze, Projektmittel</w:t>
            </w:r>
          </w:p>
        </w:tc>
      </w:tr>
    </w:tbl>
    <w:p>
      <w:pPr>
        <w:spacing w:after="120"/>
      </w:pPr>
    </w:p>
    <w:p>
      <w:pPr>
        <w:spacing w:after="120" w:line="276"/>
        <w:jc w:val="both"/>
      </w:pPr>
      <w:r>
        <w:t xml:space="preserve">Zielgruppen: Arbeitsuchende und Beschäftigte mit Qualifizierungsbedarf, Rehabilitanden, Geflüchtete, An- und Ungelernte – sowie international: examinierte Pflegekräfte und Hotelfachkräfte aus Südostasien. Differenzierung: Handwerksschwerpunkt mit eigenen Werkstätten, geschlossene Wertschöpfungskette im internationalen Geschäft (Ausbildung, Anerkennung, Visum, Beschäftigung/Vermittlung) und Eigenbedarf über eigene Einrichtungen – das senkt das Vermittlungsrisiko und sichert Qualität.</w:t>
      </w:r>
    </w:p>
    <w:p>
      <w:pPr>
        <w:pStyle w:val="Heading2"/>
        <w:spacing w:after="100" w:before="240"/>
      </w:pPr>
      <w:r>
        <w:rPr>
          <w:color w:val="1F4E5F"/>
        </w:rPr>
        <w:t xml:space="preserve">2.1 Ergänzendes Segment: einfache Berufe mit formaler Arbeitsberechtigung</w:t>
      </w:r>
    </w:p>
    <w:p>
      <w:pPr>
        <w:spacing w:after="120" w:line="276"/>
        <w:jc w:val="both"/>
      </w:pPr>
      <w:r>
        <w:t xml:space="preserve">Neben Vollausbildungen gibt es zahlreiche Tätigkeiten, die keine mehrjährige Ausbildung, aber eine formelle Prüfung/Bescheinigung als Arbeitsvoraussetzung verlangen – kurz, standardisiert, stark nachgefragt und voll über Bildungsgutschein/AVGS förderfähig. Ideal als schnelle, margenstarke AZAV-Maßnahmen und als niedrigschwelliger Einstieg für Teilnehmer des Suchtprogramms und internationale Kräfte:</w:t>
      </w:r>
    </w:p>
    <w:p>
      <w:pPr>
        <w:pStyle w:val="ListParagraph"/>
        <w:numPr>
          <w:ilvl w:val="0"/>
          <w:numId w:val="2"/>
        </w:numPr>
        <w:spacing w:after="60" w:line="264"/>
        <w:jc w:val="both"/>
      </w:pPr>
      <w:r>
        <w:rPr>
          <w:b/>
          <w:bCs/>
        </w:rPr>
        <w:t xml:space="preserve">Sicherheitsgewerbe: </w:t>
      </w:r>
      <w:r>
        <w:t xml:space="preserve">Sachkundeprüfung § 34a GewO (IHK) – wenige Wochen, unmittelbare Beschäftigungsfähigkeit im Bewachungsgewerbe; darauf aufbauend Servicekraft/Fachkraft Schutz &amp; Sicherheit.</w:t>
      </w:r>
    </w:p>
    <w:p>
      <w:pPr>
        <w:pStyle w:val="ListParagraph"/>
        <w:numPr>
          <w:ilvl w:val="0"/>
          <w:numId w:val="2"/>
        </w:numPr>
        <w:spacing w:after="60" w:line="264"/>
        <w:jc w:val="both"/>
      </w:pPr>
      <w:r>
        <w:rPr>
          <w:b/>
          <w:bCs/>
        </w:rPr>
        <w:t xml:space="preserve">Verkehr/Logistik: </w:t>
      </w:r>
      <w:r>
        <w:t xml:space="preserve">Berufskraftfahrer über beschleunigte Grundqualifikation (BKrFQG, IHK-Prüfung) + Führerschein C/CE bzw. D (Bus – akuter ÖPNV-Fahrermangel); Gefahrgutschein ADR; Flurförder-/Kranschein; Triebfahrzeugführer-Quereinstieg (ca. 9–12 Monate, staatlich geprüft).</w:t>
      </w:r>
    </w:p>
    <w:p>
      <w:pPr>
        <w:pStyle w:val="ListParagraph"/>
        <w:numPr>
          <w:ilvl w:val="0"/>
          <w:numId w:val="2"/>
        </w:numPr>
        <w:spacing w:after="60" w:line="264"/>
        <w:jc w:val="both"/>
      </w:pPr>
      <w:r>
        <w:rPr>
          <w:b/>
          <w:bCs/>
        </w:rPr>
        <w:t xml:space="preserve">Industrie/Handwerk: </w:t>
      </w:r>
      <w:r>
        <w:t xml:space="preserve">Schweißerprüfungen nach DIN EN ISO 9606 (Schweißerpässe, regelmäßige Wiederholungsprüfung = wiederkehrende Erlöse); Sachkundenachweise (z. B. Schädlingsbekämpfung, Pflanzenschutz).</w:t>
      </w:r>
    </w:p>
    <w:p>
      <w:pPr>
        <w:pStyle w:val="ListParagraph"/>
        <w:numPr>
          <w:ilvl w:val="0"/>
          <w:numId w:val="2"/>
        </w:numPr>
        <w:spacing w:after="60" w:line="264"/>
        <w:jc w:val="both"/>
      </w:pPr>
      <w:r>
        <w:rPr>
          <w:b/>
          <w:bCs/>
        </w:rPr>
        <w:t xml:space="preserve">Gesundheit/Soziales: </w:t>
      </w:r>
      <w:r>
        <w:t xml:space="preserve">Betreuungskraft nach §§ 43b/53c SGB XI (kurze Qualifizierung, einsetzbar in Pflegeeinrichtungen – auch den eigenen), Pflegehelfer-Landesqualifikationen, Rettungssanitäter (ca. 3 Monate, staatliche Prüfung).</w:t>
      </w:r>
    </w:p>
    <w:p>
      <w:pPr>
        <w:pStyle w:val="ListParagraph"/>
        <w:numPr>
          <w:ilvl w:val="0"/>
          <w:numId w:val="2"/>
        </w:numPr>
        <w:spacing w:after="60" w:line="264"/>
        <w:jc w:val="both"/>
      </w:pPr>
      <w:r>
        <w:rPr>
          <w:b/>
          <w:bCs/>
        </w:rPr>
        <w:t xml:space="preserve">Luftsicherheit: </w:t>
      </w:r>
      <w:r>
        <w:t xml:space="preserve">Luftsicherheitsassistent (Schulung + behördliche Prüfung nach § 5 LuftSiG) – Flughäfen suchen laufend Personal.</w:t>
      </w:r>
    </w:p>
    <w:p>
      <w:pPr>
        <w:spacing w:after="120" w:line="276"/>
        <w:jc w:val="both"/>
      </w:pPr>
      <w:r>
        <w:t xml:space="preserve">Diese Prüfungsvorbereitungen lassen sich teilweise bereits am Ausbildungscampus im Ausland beginnen (Theorie, Deutsch/Fachsprache) und in Deutschland mit Praxis und Prüfung abschließen – gleiche Logik wie bei den Vollausbildungen.</w:t>
      </w:r>
    </w:p>
    <w:p>
      <w:pPr>
        <w:pStyle w:val="Heading2"/>
        <w:spacing w:after="100" w:before="240"/>
      </w:pPr>
      <w:r>
        <w:rPr>
          <w:color w:val="1F4E5F"/>
        </w:rPr>
        <w:t xml:space="preserve">2.2 Geschäftsfeld Schulbegleitung und behördlich refinanzierte Schulen</w:t>
      </w:r>
    </w:p>
    <w:p>
      <w:pPr>
        <w:spacing w:after="120" w:line="276"/>
        <w:jc w:val="both"/>
      </w:pPr>
      <w:r>
        <w:t xml:space="preserve">Schulbegleitung (auch Teilhabe- oder Integrationsassistenz): Kinder und Jugendliche mit Behinderung werden bei Bedarf auf dem Schulweg und während des Unterrichts individuell begleitet. Die Kosten übernimmt vollständig und einkommensunabhängig die öffentliche Hand – bei körperlicher/geistiger Behinderung der Eingliederungshilfeträger (§ 112 SGB IX, Teilhabe an Bildung), bei seelischer Behinderung das Jugendamt (§ 35a SGB VIII). Abgerechnet wird je bewilligter Fachleistungsstunde auf Basis von Leistungs- und Vergütungsvereinbarungen mit dem Träger (§§ 123 ff. SGB IX bzw. § 77 SGB VIII). Der Markt wächst mit dem Inklusionsanspruch stetig, die Finanzierung ist schuljahresweise planbar, es braucht keine AZAV-Zulassung, und die digitale Einsatz- und Stundendokumentation des Unternehmens passt exakt auf das Abrechnungsmodell. Personalseitig kombinierbar: pädagogische Assistenzkräfte (auch Quereinstieg – ein Beschäftigungsfeld für eigene Absolventen und stabilisierte Teilnehmer des Suchtprogramms) unter Anleitung von Fachkräften.</w:t>
      </w:r>
    </w:p>
    <w:p>
      <w:pPr>
        <w:spacing w:after="120" w:line="276"/>
        <w:jc w:val="both"/>
      </w:pPr>
      <w:r>
        <w:t xml:space="preserve">Behördlich refinanzierte Schulen als Ausbaustufe: Eine eigene, staatlich anerkannte Pflegeschule wird nach dem Pflegeberufegesetz vollständig aus dem Ausbildungsfonds des Landes refinanziert (PflAFinV, prospektive Pauschalen je Auszubildendem) – die ideale Ergänzung zu eigenen Pflegeeinrichtungen (Praxisplätze) und zum internationalen Geschäft (Anpassungslehrgänge, Kenntnisprüfungsvorbereitung). Daneben erhalten private berufsbildende Ersatzschulen Landeszuschüsse nach den Privatschulgesetzen; Voraussetzung ist regelmäßig fehlende Gewinnerzielungsabsicht – die gGmbH erfüllt das strukturell – sowie eine Wartefrist von meist rund drei Jahren nach Unterrichtsaufnahme, die in der Finanzplanung zu berücksichtigen ist.</w:t>
      </w:r>
    </w:p>
    <w:p>
      <w:pPr>
        <w:pStyle w:val="Heading1"/>
        <w:spacing w:after="140" w:before="320"/>
      </w:pPr>
      <w:r>
        <w:rPr>
          <w:color w:val="1F4E5F"/>
        </w:rPr>
        <w:t xml:space="preserve">3. Rechtsform, Gründung und Konzernstruktur</w:t>
      </w:r>
    </w:p>
    <w:p>
      <w:pPr>
        <w:pStyle w:val="ListParagraph"/>
        <w:numPr>
          <w:ilvl w:val="0"/>
          <w:numId w:val="2"/>
        </w:numPr>
        <w:spacing w:after="60" w:line="264"/>
        <w:jc w:val="both"/>
      </w:pPr>
      <w:r>
        <w:rPr>
          <w:b/>
          <w:bCs/>
        </w:rPr>
        <w:t xml:space="preserve">Gemeinnütziger Zweck: </w:t>
      </w:r>
      <w:r>
        <w:t xml:space="preserve">Förderung von Bildung (§ 52 Abs. 2 Nr. 7 AO) und des Wohlfahrtswesens; eigene Reha-/Pflegeeinrichtungen können als Zweckbetrieb (§§ 66, 68 AO) geführt werden.</w:t>
      </w:r>
    </w:p>
    <w:p>
      <w:pPr>
        <w:pStyle w:val="ListParagraph"/>
        <w:numPr>
          <w:ilvl w:val="0"/>
          <w:numId w:val="2"/>
        </w:numPr>
        <w:spacing w:after="60" w:line="264"/>
        <w:jc w:val="both"/>
      </w:pPr>
      <w:r>
        <w:rPr>
          <w:b/>
          <w:bCs/>
        </w:rPr>
        <w:t xml:space="preserve">Stammkapital: </w:t>
      </w:r>
      <w:r>
        <w:t xml:space="preserve">25.000 €, mindestens 12.500 € bei Gründung eingezahlt.</w:t>
      </w:r>
    </w:p>
    <w:p>
      <w:pPr>
        <w:pStyle w:val="ListParagraph"/>
        <w:numPr>
          <w:ilvl w:val="0"/>
          <w:numId w:val="2"/>
        </w:numPr>
        <w:spacing w:after="60" w:line="264"/>
        <w:jc w:val="both"/>
      </w:pPr>
      <w:r>
        <w:rPr>
          <w:b/>
          <w:bCs/>
        </w:rPr>
        <w:t xml:space="preserve">Ablauf: </w:t>
      </w:r>
      <w:r>
        <w:t xml:space="preserve">Satzungsentwurf, Vorabprüfung durch das Finanzamt nach § 60a AO (kostenlos, dringend empfohlen), notarielle Beurkundung, Handelsregistereintrag, Feststellungsbescheid.</w:t>
      </w:r>
    </w:p>
    <w:p>
      <w:pPr>
        <w:pStyle w:val="ListParagraph"/>
        <w:numPr>
          <w:ilvl w:val="0"/>
          <w:numId w:val="2"/>
        </w:numPr>
        <w:spacing w:after="60" w:line="264"/>
        <w:jc w:val="both"/>
      </w:pPr>
      <w:r>
        <w:rPr>
          <w:b/>
          <w:bCs/>
        </w:rPr>
        <w:t xml:space="preserve">Vorteile: </w:t>
      </w:r>
      <w:r>
        <w:t xml:space="preserve">Befreiung von Körperschaft- und Gewerbesteuer im Zweckbetrieb, Umsatzsteuerbefreiung für Bildungsleistungen (§ 4 Nr. 21/22 UStG mit Bescheinigung), höhere Glaubwürdigkeit bei öffentlichen Auftraggebern.</w:t>
      </w:r>
    </w:p>
    <w:p>
      <w:pPr>
        <w:pStyle w:val="ListParagraph"/>
        <w:numPr>
          <w:ilvl w:val="0"/>
          <w:numId w:val="2"/>
        </w:numPr>
        <w:spacing w:after="60" w:line="264"/>
        <w:jc w:val="both"/>
      </w:pPr>
      <w:r>
        <w:rPr>
          <w:b/>
          <w:bCs/>
        </w:rPr>
        <w:t xml:space="preserve">Struktur-Empfehlung: </w:t>
      </w:r>
      <w:r>
        <w:t xml:space="preserve">Entgeltliche Personalvermittlung an Dritte ist wirtschaftlicher Geschäftsbetrieb und gefährdet in großem Umfang die Gemeinnützigkeit. Daher Holding-Struktur: gGmbH (Bildung, eigene Einrichtungen) + 100%-Tochter-GmbH (internationale Rekrutierung/Vermittlung, gewerblich) + lokale Gesellschaften bzw. lizenzierte Partner im Ausland. Gewinne der Tochter können an die gGmbH ausgeschüttet und gemeinnützig verwendet werden.</w:t>
      </w:r>
    </w:p>
    <w:p>
      <w:pPr>
        <w:pStyle w:val="ListParagraph"/>
        <w:numPr>
          <w:ilvl w:val="0"/>
          <w:numId w:val="2"/>
        </w:numPr>
        <w:spacing w:after="60" w:line="264"/>
        <w:jc w:val="both"/>
      </w:pPr>
      <w:r>
        <w:rPr>
          <w:b/>
          <w:bCs/>
        </w:rPr>
        <w:t xml:space="preserve">Achtung: </w:t>
      </w:r>
      <w:r>
        <w:t xml:space="preserve">Saubere Sphärentrennung (Zweckbetrieb vs. wirtschaftlicher Geschäftsbetrieb), zeitnahe Mittelverwendung, laufende steuerliche Begleitung.</w:t>
      </w:r>
    </w:p>
    <w:p>
      <w:pPr>
        <w:pStyle w:val="Heading1"/>
        <w:spacing w:after="140" w:before="320"/>
      </w:pPr>
      <w:r>
        <w:rPr>
          <w:color w:val="1F4E5F"/>
        </w:rPr>
        <w:t xml:space="preserve">4. Zulassungen, Akkreditierung und Gütesiegel (Inland)</w:t>
      </w:r>
    </w:p>
    <w:p>
      <w:pPr>
        <w:pStyle w:val="Heading2"/>
        <w:spacing w:after="100" w:before="240"/>
      </w:pPr>
      <w:r>
        <w:rPr>
          <w:color w:val="1F4E5F"/>
        </w:rPr>
        <w:t xml:space="preserve">4.1 AZAV – die zentrale Marktzutrittsvoraussetzung</w:t>
      </w:r>
    </w:p>
    <w:p>
      <w:pPr>
        <w:spacing w:after="120" w:line="276"/>
        <w:jc w:val="both"/>
      </w:pPr>
      <w:r>
        <w:t xml:space="preserve">Ohne AZAV-Zulassung keine geförderten Maßnahmen. Die Zulassung erfolgt nicht durch die BA selbst, sondern durch eine von der DAkkS akkreditierte fachkundige Stelle (z. B. CERTQUA, DEKRA, TÜV, GUTcert, Certuria). Zwei Stufen:</w:t>
      </w:r>
    </w:p>
    <w:p>
      <w:pPr>
        <w:pStyle w:val="ListParagraph"/>
        <w:numPr>
          <w:ilvl w:val="0"/>
          <w:numId w:val="2"/>
        </w:numPr>
        <w:spacing w:after="60" w:line="264"/>
        <w:jc w:val="both"/>
      </w:pPr>
      <w:r>
        <w:rPr>
          <w:b/>
          <w:bCs/>
        </w:rPr>
        <w:t xml:space="preserve">Trägerzulassung (§ 2 AZAV): </w:t>
      </w:r>
      <w:r>
        <w:t xml:space="preserve">gilt max. 5 Jahre, jährliche Überwachungsaudits. Geprüft werden: finanzielle und fachliche Leistungsfähigkeit sowie Zuverlässigkeit, eigenes Qualitätsmanagementsystem, kundenorientiertes Leitbild, fachliche/pädagogische Eignung von Leitung und Lehrkräften, Ausrichtung an Arbeitsmarktlage und Eingliederungserfolg.</w:t>
      </w:r>
    </w:p>
    <w:p>
      <w:pPr>
        <w:pStyle w:val="ListParagraph"/>
        <w:numPr>
          <w:ilvl w:val="0"/>
          <w:numId w:val="2"/>
        </w:numPr>
        <w:spacing w:after="60" w:line="264"/>
        <w:jc w:val="both"/>
      </w:pPr>
      <w:r>
        <w:rPr>
          <w:b/>
          <w:bCs/>
        </w:rPr>
        <w:t xml:space="preserve">Maßnahmenzulassung (§§ 179/180 SGB III): </w:t>
      </w:r>
      <w:r>
        <w:t xml:space="preserve">jede einzelne Maßnahme (FbW bzw. § 45) wird separat zertifiziert: Konzept, Dauer, Zugangsvoraussetzungen, Kostensatz. Bei FbW dürfen die Kosten die Bundes-Durchschnittskostensätze (B-DKS) grundsätzlich nicht überschreiten.</w:t>
      </w:r>
    </w:p>
    <w:p>
      <w:pPr>
        <w:spacing w:after="120" w:line="276"/>
        <w:jc w:val="both"/>
      </w:pPr>
      <w:r>
        <w:t xml:space="preserve">Praxis: Aufwand für Erst-Trägerzulassung ca. 3–6 Monate und – je nach Größe – ca. 5.000–15.000 € inkl. QM-Aufbau; Maßnahmenzulassungen je ca. 500–2.000 €.</w:t>
      </w:r>
    </w:p>
    <w:p>
      <w:pPr>
        <w:pStyle w:val="Heading2"/>
        <w:spacing w:after="100" w:before="240"/>
      </w:pPr>
      <w:r>
        <w:rPr>
          <w:color w:val="1F4E5F"/>
        </w:rPr>
        <w:t xml:space="preserve">4.2 Qualitätsmanagement und Gütesiegel</w:t>
      </w:r>
    </w:p>
    <w:p>
      <w:pPr>
        <w:pStyle w:val="ListParagraph"/>
        <w:numPr>
          <w:ilvl w:val="0"/>
          <w:numId w:val="2"/>
        </w:numPr>
        <w:spacing w:after="60" w:line="264"/>
        <w:jc w:val="both"/>
      </w:pPr>
      <w:r>
        <w:rPr>
          <w:b/>
          <w:bCs/>
        </w:rPr>
        <w:t xml:space="preserve">DIN EN ISO 9001: </w:t>
      </w:r>
      <w:r>
        <w:t xml:space="preserve">verbreitetstes QM-System bei Bildungsträgern; sinnvolle Basis, da das AZAV-Audit damit kombiniert werden kann (Kombi-Audit spart Kosten).</w:t>
      </w:r>
    </w:p>
    <w:p>
      <w:pPr>
        <w:pStyle w:val="ListParagraph"/>
        <w:numPr>
          <w:ilvl w:val="0"/>
          <w:numId w:val="2"/>
        </w:numPr>
        <w:spacing w:after="60" w:line="264"/>
        <w:jc w:val="both"/>
      </w:pPr>
      <w:r>
        <w:rPr>
          <w:b/>
          <w:bCs/>
        </w:rPr>
        <w:t xml:space="preserve">LQW / EFQM / ISO 21001: </w:t>
      </w:r>
      <w:r>
        <w:t xml:space="preserve">alternative, lernerorientierte Systeme; vom BAMF ebenfalls anerkannt.</w:t>
      </w:r>
    </w:p>
    <w:p>
      <w:pPr>
        <w:pStyle w:val="ListParagraph"/>
        <w:numPr>
          <w:ilvl w:val="0"/>
          <w:numId w:val="2"/>
        </w:numPr>
        <w:spacing w:after="60" w:line="264"/>
        <w:jc w:val="both"/>
      </w:pPr>
      <w:r>
        <w:rPr>
          <w:b/>
          <w:bCs/>
        </w:rPr>
        <w:t xml:space="preserve">BAMF-Zulassung: </w:t>
      </w:r>
      <w:r>
        <w:t xml:space="preserve">für Integrations- und Berufssprachkurse (Ausbaustufe) eigenes Zulassungsverfahren; anerkanntes QM-Zertifikat wird vorausgesetzt bzw. angerechnet.</w:t>
      </w:r>
    </w:p>
    <w:p>
      <w:pPr>
        <w:pStyle w:val="ListParagraph"/>
        <w:numPr>
          <w:ilvl w:val="0"/>
          <w:numId w:val="2"/>
        </w:numPr>
        <w:spacing w:after="60" w:line="264"/>
        <w:jc w:val="both"/>
      </w:pPr>
      <w:r>
        <w:rPr>
          <w:b/>
          <w:bCs/>
        </w:rPr>
        <w:t xml:space="preserve">Handwerkskammer: </w:t>
      </w:r>
      <w:r>
        <w:t xml:space="preserve">Umschulungen in Handwerksberufen erfordern die Eignung der Ausbildungsstätte und der Ausbilder (AEVO) sowie die Anerkennung/Prüfungszulassung durch die zuständige HWK.</w:t>
      </w:r>
    </w:p>
    <w:p>
      <w:pPr>
        <w:pStyle w:val="ListParagraph"/>
        <w:numPr>
          <w:ilvl w:val="0"/>
          <w:numId w:val="2"/>
        </w:numPr>
        <w:spacing w:after="60" w:line="264"/>
        <w:jc w:val="both"/>
      </w:pPr>
      <w:r>
        <w:rPr>
          <w:b/>
          <w:bCs/>
        </w:rPr>
        <w:t xml:space="preserve">Weitere: </w:t>
      </w:r>
      <w:r>
        <w:t xml:space="preserve">trägerspezifische Anerkennungen der Länder (z. B. Bildungsurlaub/Bildungszeit), anerkannte Gütesiegel-Listen der Länder je nach Bundesland.</w:t>
      </w:r>
    </w:p>
    <w:p>
      <w:pPr>
        <w:pStyle w:val="Heading2"/>
        <w:spacing w:after="100" w:before="240"/>
      </w:pPr>
      <w:r>
        <w:rPr>
          <w:color w:val="1F4E5F"/>
        </w:rPr>
        <w:t xml:space="preserve">4.3 Teilnahme an Ausschreibungen der BA und der Jobcenter</w:t>
      </w:r>
    </w:p>
    <w:p>
      <w:pPr>
        <w:pStyle w:val="ListParagraph"/>
        <w:numPr>
          <w:ilvl w:val="0"/>
          <w:numId w:val="2"/>
        </w:numPr>
        <w:spacing w:after="60" w:line="264"/>
        <w:jc w:val="both"/>
      </w:pPr>
      <w:r>
        <w:rPr>
          <w:b/>
          <w:bCs/>
        </w:rPr>
        <w:t xml:space="preserve">Vergabestelle: </w:t>
      </w:r>
      <w:r>
        <w:t xml:space="preserve">Regionale Einkaufszentren (REZ) der BA schreiben Arbeitsmarktdienstleistungen nach UVgO/GWB aus – ausschließlich elektronisch über www.evergabe-online.de (Registrierung erforderlich).</w:t>
      </w:r>
    </w:p>
    <w:p>
      <w:pPr>
        <w:pStyle w:val="ListParagraph"/>
        <w:numPr>
          <w:ilvl w:val="0"/>
          <w:numId w:val="2"/>
        </w:numPr>
        <w:spacing w:after="60" w:line="264"/>
        <w:jc w:val="both"/>
      </w:pPr>
      <w:r>
        <w:rPr>
          <w:b/>
          <w:bCs/>
        </w:rPr>
        <w:t xml:space="preserve">Eignungsprüfung: </w:t>
      </w:r>
      <w:r>
        <w:t xml:space="preserve">Fachkunde, Leistungsfähigkeit, Zuverlässigkeit; nachzuweisen u. a. durch AZAV-Zertifikat, Referenzen, Personalkonzepte, Umsatzangaben, Unbedenklichkeitsbescheinigungen (Finanzamt, Krankenkassen, Berufsgenossenschaft), Eigenerklärungen zu Ausschlussgründen (§§ 123/124 GWB).</w:t>
      </w:r>
    </w:p>
    <w:p>
      <w:pPr>
        <w:pStyle w:val="ListParagraph"/>
        <w:numPr>
          <w:ilvl w:val="0"/>
          <w:numId w:val="2"/>
        </w:numPr>
        <w:spacing w:after="60" w:line="264"/>
        <w:jc w:val="both"/>
      </w:pPr>
      <w:r>
        <w:rPr>
          <w:b/>
          <w:bCs/>
        </w:rPr>
        <w:t xml:space="preserve">Zuschlag: </w:t>
      </w:r>
      <w:r>
        <w:t xml:space="preserve">nach Preis-Leistungs-Verhältnis; Konzeptqualität (Personaleinsatz, Methodik, Eingliederungsstrategie, Räume) wird bewertet – nicht nur der Preis.</w:t>
      </w:r>
    </w:p>
    <w:p>
      <w:pPr>
        <w:pStyle w:val="ListParagraph"/>
        <w:numPr>
          <w:ilvl w:val="0"/>
          <w:numId w:val="2"/>
        </w:numPr>
        <w:spacing w:after="60" w:line="264"/>
        <w:jc w:val="both"/>
      </w:pPr>
      <w:r>
        <w:rPr>
          <w:b/>
          <w:bCs/>
        </w:rPr>
        <w:t xml:space="preserve">Ohne Ausschreibung: </w:t>
      </w:r>
      <w:r>
        <w:t xml:space="preserve">Gutscheingeschäft (Bildungsgutschein/AVGS) läuft direkt über zugelassene Maßnahmen – wichtigstes Standbein für den Start.</w:t>
      </w:r>
    </w:p>
    <w:p>
      <w:pPr>
        <w:pStyle w:val="Heading2"/>
        <w:spacing w:after="100" w:before="240"/>
      </w:pPr>
      <w:r>
        <w:rPr>
          <w:color w:val="1F4E5F"/>
        </w:rPr>
        <w:t xml:space="preserve">4.4 Gültigkeitsdauer aller Zulassungen, Zertifikate und Siegel im Überblick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shd w:fill="1F4E5F" w:val="clear"/>
            <w:tcMar>
              <w:top w:type="dxa" w:w="60"/>
              <w:left w:type="dxa" w:w="100"/>
              <w:bottom w:type="dxa" w:w="60"/>
              <w:right w:type="dxa" w:w="100"/>
            </w:tcMar>
          </w:tcPr>
          <w:p>
            <w:r>
              <w:rPr>
                <w:b/>
                <w:bCs/>
                <w:color w:val="FFFFFF"/>
                <w:sz w:val="20"/>
                <w:szCs w:val="20"/>
              </w:rPr>
              <w:t xml:space="preserve">Zulassung / Siegel</w:t>
            </w:r>
          </w:p>
        </w:tc>
        <w:tc>
          <w:tcPr>
            <w:tcW w:type="dxa" w:w="3280"/>
            <w:shd w:fill="1F4E5F" w:val="clear"/>
            <w:tcMar>
              <w:top w:type="dxa" w:w="60"/>
              <w:left w:type="dxa" w:w="100"/>
              <w:bottom w:type="dxa" w:w="60"/>
              <w:right w:type="dxa" w:w="100"/>
            </w:tcMar>
          </w:tcPr>
          <w:p>
            <w:r>
              <w:rPr>
                <w:b/>
                <w:bCs/>
                <w:color w:val="FFFFFF"/>
                <w:sz w:val="20"/>
                <w:szCs w:val="20"/>
              </w:rPr>
              <w:t xml:space="preserve">Gültigkeit</w:t>
            </w:r>
          </w:p>
        </w:tc>
        <w:tc>
          <w:tcPr>
            <w:tcW w:type="dxa" w:w="3280"/>
            <w:shd w:fill="1F4E5F" w:val="clear"/>
            <w:tcMar>
              <w:top w:type="dxa" w:w="60"/>
              <w:left w:type="dxa" w:w="100"/>
              <w:bottom w:type="dxa" w:w="60"/>
              <w:right w:type="dxa" w:w="100"/>
            </w:tcMar>
          </w:tcPr>
          <w:p>
            <w:r>
              <w:rPr>
                <w:b/>
                <w:bCs/>
                <w:color w:val="FFFFFF"/>
                <w:sz w:val="20"/>
                <w:szCs w:val="20"/>
              </w:rPr>
              <w:t xml:space="preserve">Laufende Pflichten</w:t>
            </w:r>
          </w:p>
        </w:tc>
      </w:tr>
      <w:tr>
        <w:tc>
          <w:tcPr>
            <w:tcW w:type="dxa" w:w="2800"/>
            <w:shd w:fill="FFFFFF" w:val="clear"/>
            <w:tcMar>
              <w:top w:type="dxa" w:w="60"/>
              <w:left w:type="dxa" w:w="100"/>
              <w:bottom w:type="dxa" w:w="60"/>
              <w:right w:type="dxa" w:w="100"/>
            </w:tcMar>
          </w:tcPr>
          <w:p>
            <w:r>
              <w:rPr>
                <w:b w:val="false"/>
                <w:bCs w:val="false"/>
                <w:color w:val="000000"/>
                <w:sz w:val="20"/>
                <w:szCs w:val="20"/>
              </w:rPr>
              <w:t xml:space="preserve">Gemeinnützigkeit (Finanzamt)</w:t>
            </w:r>
          </w:p>
        </w:tc>
        <w:tc>
          <w:tcPr>
            <w:tcW w:type="dxa" w:w="3280"/>
            <w:shd w:fill="FFFFFF" w:val="clear"/>
            <w:tcMar>
              <w:top w:type="dxa" w:w="60"/>
              <w:left w:type="dxa" w:w="100"/>
              <w:bottom w:type="dxa" w:w="60"/>
              <w:right w:type="dxa" w:w="100"/>
            </w:tcMar>
          </w:tcPr>
          <w:p>
            <w:r>
              <w:rPr>
                <w:b w:val="false"/>
                <w:bCs w:val="false"/>
                <w:color w:val="000000"/>
                <w:sz w:val="20"/>
                <w:szCs w:val="20"/>
              </w:rPr>
              <w:t xml:space="preserve">§ 60a-Feststellung; danach Überprüfung i. d. R. alle 3 Jahre (Freistellungsbescheid)</w:t>
            </w:r>
          </w:p>
        </w:tc>
        <w:tc>
          <w:tcPr>
            <w:tcW w:type="dxa" w:w="3280"/>
            <w:shd w:fill="FFFFFF" w:val="clear"/>
            <w:tcMar>
              <w:top w:type="dxa" w:w="60"/>
              <w:left w:type="dxa" w:w="100"/>
              <w:bottom w:type="dxa" w:w="60"/>
              <w:right w:type="dxa" w:w="100"/>
            </w:tcMar>
          </w:tcPr>
          <w:p>
            <w:r>
              <w:rPr>
                <w:b w:val="false"/>
                <w:bCs w:val="false"/>
                <w:color w:val="000000"/>
                <w:sz w:val="20"/>
                <w:szCs w:val="20"/>
              </w:rPr>
              <w:t xml:space="preserve">Satzungskonforme Mittelverwendung, Tätigkeitsberichte, Rücklagennachweis</w:t>
            </w:r>
          </w:p>
        </w:tc>
      </w:tr>
      <w:tr>
        <w:tc>
          <w:tcPr>
            <w:tcW w:type="dxa" w:w="2800"/>
            <w:shd w:fill="F2F2F2" w:val="clear"/>
            <w:tcMar>
              <w:top w:type="dxa" w:w="60"/>
              <w:left w:type="dxa" w:w="100"/>
              <w:bottom w:type="dxa" w:w="60"/>
              <w:right w:type="dxa" w:w="100"/>
            </w:tcMar>
          </w:tcPr>
          <w:p>
            <w:r>
              <w:rPr>
                <w:b w:val="false"/>
                <w:bCs w:val="false"/>
                <w:color w:val="000000"/>
                <w:sz w:val="20"/>
                <w:szCs w:val="20"/>
              </w:rPr>
              <w:t xml:space="preserve">AZAV-Trägerzulassung</w:t>
            </w:r>
          </w:p>
        </w:tc>
        <w:tc>
          <w:tcPr>
            <w:tcW w:type="dxa" w:w="3280"/>
            <w:shd w:fill="F2F2F2" w:val="clear"/>
            <w:tcMar>
              <w:top w:type="dxa" w:w="60"/>
              <w:left w:type="dxa" w:w="100"/>
              <w:bottom w:type="dxa" w:w="60"/>
              <w:right w:type="dxa" w:w="100"/>
            </w:tcMar>
          </w:tcPr>
          <w:p>
            <w:r>
              <w:rPr>
                <w:b w:val="false"/>
                <w:bCs w:val="false"/>
                <w:color w:val="000000"/>
                <w:sz w:val="20"/>
                <w:szCs w:val="20"/>
              </w:rPr>
              <w:t xml:space="preserve">max. 5 Jahre</w:t>
            </w:r>
          </w:p>
        </w:tc>
        <w:tc>
          <w:tcPr>
            <w:tcW w:type="dxa" w:w="3280"/>
            <w:shd w:fill="F2F2F2" w:val="clear"/>
            <w:tcMar>
              <w:top w:type="dxa" w:w="60"/>
              <w:left w:type="dxa" w:w="100"/>
              <w:bottom w:type="dxa" w:w="60"/>
              <w:right w:type="dxa" w:w="100"/>
            </w:tcMar>
          </w:tcPr>
          <w:p>
            <w:r>
              <w:rPr>
                <w:b w:val="false"/>
                <w:bCs w:val="false"/>
                <w:color w:val="000000"/>
                <w:sz w:val="20"/>
                <w:szCs w:val="20"/>
              </w:rPr>
              <w:t xml:space="preserve">Jährliche Überwachungsaudits der fachkundigen Stelle; danach Re-Zertifizierung</w:t>
            </w:r>
          </w:p>
        </w:tc>
      </w:tr>
      <w:tr>
        <w:tc>
          <w:tcPr>
            <w:tcW w:type="dxa" w:w="2800"/>
            <w:shd w:fill="FFFFFF" w:val="clear"/>
            <w:tcMar>
              <w:top w:type="dxa" w:w="60"/>
              <w:left w:type="dxa" w:w="100"/>
              <w:bottom w:type="dxa" w:w="60"/>
              <w:right w:type="dxa" w:w="100"/>
            </w:tcMar>
          </w:tcPr>
          <w:p>
            <w:r>
              <w:rPr>
                <w:b w:val="false"/>
                <w:bCs w:val="false"/>
                <w:color w:val="000000"/>
                <w:sz w:val="20"/>
                <w:szCs w:val="20"/>
              </w:rPr>
              <w:t xml:space="preserve">AZAV-Maßnahmenzulassung</w:t>
            </w:r>
          </w:p>
        </w:tc>
        <w:tc>
          <w:tcPr>
            <w:tcW w:type="dxa" w:w="3280"/>
            <w:shd w:fill="FFFFFF" w:val="clear"/>
            <w:tcMar>
              <w:top w:type="dxa" w:w="60"/>
              <w:left w:type="dxa" w:w="100"/>
              <w:bottom w:type="dxa" w:w="60"/>
              <w:right w:type="dxa" w:w="100"/>
            </w:tcMar>
          </w:tcPr>
          <w:p>
            <w:r>
              <w:rPr>
                <w:b w:val="false"/>
                <w:bCs w:val="false"/>
                <w:color w:val="000000"/>
                <w:sz w:val="20"/>
                <w:szCs w:val="20"/>
              </w:rPr>
              <w:t xml:space="preserve">befristet je Maßnahme, in der Praxis meist bis 3 Jahre</w:t>
            </w:r>
          </w:p>
        </w:tc>
        <w:tc>
          <w:tcPr>
            <w:tcW w:type="dxa" w:w="3280"/>
            <w:shd w:fill="FFFFFF" w:val="clear"/>
            <w:tcMar>
              <w:top w:type="dxa" w:w="60"/>
              <w:left w:type="dxa" w:w="100"/>
              <w:bottom w:type="dxa" w:w="60"/>
              <w:right w:type="dxa" w:w="100"/>
            </w:tcMar>
          </w:tcPr>
          <w:p>
            <w:r>
              <w:rPr>
                <w:b w:val="false"/>
                <w:bCs w:val="false"/>
                <w:color w:val="000000"/>
                <w:sz w:val="20"/>
                <w:szCs w:val="20"/>
              </w:rPr>
              <w:t xml:space="preserve">Anpassung an B-DKS/Leistungsdaten, Änderungsmeldungen, Re-Zulassung</w:t>
            </w:r>
          </w:p>
        </w:tc>
      </w:tr>
      <w:tr>
        <w:tc>
          <w:tcPr>
            <w:tcW w:type="dxa" w:w="2800"/>
            <w:shd w:fill="F2F2F2" w:val="clear"/>
            <w:tcMar>
              <w:top w:type="dxa" w:w="60"/>
              <w:left w:type="dxa" w:w="100"/>
              <w:bottom w:type="dxa" w:w="60"/>
              <w:right w:type="dxa" w:w="100"/>
            </w:tcMar>
          </w:tcPr>
          <w:p>
            <w:r>
              <w:rPr>
                <w:b w:val="false"/>
                <w:bCs w:val="false"/>
                <w:color w:val="000000"/>
                <w:sz w:val="20"/>
                <w:szCs w:val="20"/>
              </w:rPr>
              <w:t xml:space="preserve">DIN EN ISO 9001</w:t>
            </w:r>
          </w:p>
        </w:tc>
        <w:tc>
          <w:tcPr>
            <w:tcW w:type="dxa" w:w="3280"/>
            <w:shd w:fill="F2F2F2" w:val="clear"/>
            <w:tcMar>
              <w:top w:type="dxa" w:w="60"/>
              <w:left w:type="dxa" w:w="100"/>
              <w:bottom w:type="dxa" w:w="60"/>
              <w:right w:type="dxa" w:w="100"/>
            </w:tcMar>
          </w:tcPr>
          <w:p>
            <w:r>
              <w:rPr>
                <w:b w:val="false"/>
                <w:bCs w:val="false"/>
                <w:color w:val="000000"/>
                <w:sz w:val="20"/>
                <w:szCs w:val="20"/>
              </w:rPr>
              <w:t xml:space="preserve">3 Jahre</w:t>
            </w:r>
          </w:p>
        </w:tc>
        <w:tc>
          <w:tcPr>
            <w:tcW w:type="dxa" w:w="3280"/>
            <w:shd w:fill="F2F2F2" w:val="clear"/>
            <w:tcMar>
              <w:top w:type="dxa" w:w="60"/>
              <w:left w:type="dxa" w:w="100"/>
              <w:bottom w:type="dxa" w:w="60"/>
              <w:right w:type="dxa" w:w="100"/>
            </w:tcMar>
          </w:tcPr>
          <w:p>
            <w:r>
              <w:rPr>
                <w:b w:val="false"/>
                <w:bCs w:val="false"/>
                <w:color w:val="000000"/>
                <w:sz w:val="20"/>
                <w:szCs w:val="20"/>
              </w:rPr>
              <w:t xml:space="preserve">Jährliche Überwachungsaudits; Re-Zertifizierungsaudit im 3. Jahr</w:t>
            </w:r>
          </w:p>
        </w:tc>
      </w:tr>
      <w:tr>
        <w:tc>
          <w:tcPr>
            <w:tcW w:type="dxa" w:w="2800"/>
            <w:shd w:fill="FFFFFF" w:val="clear"/>
            <w:tcMar>
              <w:top w:type="dxa" w:w="60"/>
              <w:left w:type="dxa" w:w="100"/>
              <w:bottom w:type="dxa" w:w="60"/>
              <w:right w:type="dxa" w:w="100"/>
            </w:tcMar>
          </w:tcPr>
          <w:p>
            <w:r>
              <w:rPr>
                <w:b w:val="false"/>
                <w:bCs w:val="false"/>
                <w:color w:val="000000"/>
                <w:sz w:val="20"/>
                <w:szCs w:val="20"/>
              </w:rPr>
              <w:t xml:space="preserve">LQW-Testat</w:t>
            </w:r>
          </w:p>
        </w:tc>
        <w:tc>
          <w:tcPr>
            <w:tcW w:type="dxa" w:w="3280"/>
            <w:shd w:fill="FFFFFF" w:val="clear"/>
            <w:tcMar>
              <w:top w:type="dxa" w:w="60"/>
              <w:left w:type="dxa" w:w="100"/>
              <w:bottom w:type="dxa" w:w="60"/>
              <w:right w:type="dxa" w:w="100"/>
            </w:tcMar>
          </w:tcPr>
          <w:p>
            <w:r>
              <w:rPr>
                <w:b w:val="false"/>
                <w:bCs w:val="false"/>
                <w:color w:val="000000"/>
                <w:sz w:val="20"/>
                <w:szCs w:val="20"/>
              </w:rPr>
              <w:t xml:space="preserve">4 Jahre</w:t>
            </w:r>
          </w:p>
        </w:tc>
        <w:tc>
          <w:tcPr>
            <w:tcW w:type="dxa" w:w="3280"/>
            <w:shd w:fill="FFFFFF" w:val="clear"/>
            <w:tcMar>
              <w:top w:type="dxa" w:w="60"/>
              <w:left w:type="dxa" w:w="100"/>
              <w:bottom w:type="dxa" w:w="60"/>
              <w:right w:type="dxa" w:w="100"/>
            </w:tcMar>
          </w:tcPr>
          <w:p>
            <w:r>
              <w:rPr>
                <w:b w:val="false"/>
                <w:bCs w:val="false"/>
                <w:color w:val="000000"/>
                <w:sz w:val="20"/>
                <w:szCs w:val="20"/>
              </w:rPr>
              <w:t xml:space="preserve">Retestierung mit Selbstreport und Visitation</w:t>
            </w:r>
          </w:p>
        </w:tc>
      </w:tr>
      <w:tr>
        <w:tc>
          <w:tcPr>
            <w:tcW w:type="dxa" w:w="2800"/>
            <w:shd w:fill="F2F2F2" w:val="clear"/>
            <w:tcMar>
              <w:top w:type="dxa" w:w="60"/>
              <w:left w:type="dxa" w:w="100"/>
              <w:bottom w:type="dxa" w:w="60"/>
              <w:right w:type="dxa" w:w="100"/>
            </w:tcMar>
          </w:tcPr>
          <w:p>
            <w:r>
              <w:rPr>
                <w:b w:val="false"/>
                <w:bCs w:val="false"/>
                <w:color w:val="000000"/>
                <w:sz w:val="20"/>
                <w:szCs w:val="20"/>
              </w:rPr>
              <w:t xml:space="preserve">BAMF-Trägerzulassung (Integrationskurse)</w:t>
            </w:r>
          </w:p>
        </w:tc>
        <w:tc>
          <w:tcPr>
            <w:tcW w:type="dxa" w:w="3280"/>
            <w:shd w:fill="F2F2F2" w:val="clear"/>
            <w:tcMar>
              <w:top w:type="dxa" w:w="60"/>
              <w:left w:type="dxa" w:w="100"/>
              <w:bottom w:type="dxa" w:w="60"/>
              <w:right w:type="dxa" w:w="100"/>
            </w:tcMar>
          </w:tcPr>
          <w:p>
            <w:r>
              <w:rPr>
                <w:b w:val="false"/>
                <w:bCs w:val="false"/>
                <w:color w:val="000000"/>
                <w:sz w:val="20"/>
                <w:szCs w:val="20"/>
              </w:rPr>
              <w:t xml:space="preserve">i. d. R. bis 5 Jahre (Erstzulassung oft kürzer)</w:t>
            </w:r>
          </w:p>
        </w:tc>
        <w:tc>
          <w:tcPr>
            <w:tcW w:type="dxa" w:w="3280"/>
            <w:shd w:fill="F2F2F2" w:val="clear"/>
            <w:tcMar>
              <w:top w:type="dxa" w:w="60"/>
              <w:left w:type="dxa" w:w="100"/>
              <w:bottom w:type="dxa" w:w="60"/>
              <w:right w:type="dxa" w:w="100"/>
            </w:tcMar>
          </w:tcPr>
          <w:p>
            <w:r>
              <w:rPr>
                <w:b w:val="false"/>
                <w:bCs w:val="false"/>
                <w:color w:val="000000"/>
                <w:sz w:val="20"/>
                <w:szCs w:val="20"/>
              </w:rPr>
              <w:t xml:space="preserve">Anerkanntes QM-Zertifikat aktuell halten, Lehrkräftezulassungen, Folgeantrag</w:t>
            </w:r>
          </w:p>
        </w:tc>
      </w:tr>
      <w:tr>
        <w:tc>
          <w:tcPr>
            <w:tcW w:type="dxa" w:w="2800"/>
            <w:shd w:fill="FFFFFF" w:val="clear"/>
            <w:tcMar>
              <w:top w:type="dxa" w:w="60"/>
              <w:left w:type="dxa" w:w="100"/>
              <w:bottom w:type="dxa" w:w="60"/>
              <w:right w:type="dxa" w:w="100"/>
            </w:tcMar>
          </w:tcPr>
          <w:p>
            <w:r>
              <w:rPr>
                <w:b w:val="false"/>
                <w:bCs w:val="false"/>
                <w:color w:val="000000"/>
                <w:sz w:val="20"/>
                <w:szCs w:val="20"/>
              </w:rPr>
              <w:t xml:space="preserve">Gütezeichen Faire Anwerbung Pflege</w:t>
            </w:r>
          </w:p>
        </w:tc>
        <w:tc>
          <w:tcPr>
            <w:tcW w:type="dxa" w:w="3280"/>
            <w:shd w:fill="FFFFFF" w:val="clear"/>
            <w:tcMar>
              <w:top w:type="dxa" w:w="60"/>
              <w:left w:type="dxa" w:w="100"/>
              <w:bottom w:type="dxa" w:w="60"/>
              <w:right w:type="dxa" w:w="100"/>
            </w:tcMar>
          </w:tcPr>
          <w:p>
            <w:r>
              <w:rPr>
                <w:b w:val="false"/>
                <w:bCs w:val="false"/>
                <w:color w:val="000000"/>
                <w:sz w:val="20"/>
                <w:szCs w:val="20"/>
              </w:rPr>
              <w:t xml:space="preserve">3 Jahre</w:t>
            </w:r>
          </w:p>
        </w:tc>
        <w:tc>
          <w:tcPr>
            <w:tcW w:type="dxa" w:w="3280"/>
            <w:shd w:fill="FFFFFF" w:val="clear"/>
            <w:tcMar>
              <w:top w:type="dxa" w:w="60"/>
              <w:left w:type="dxa" w:w="100"/>
              <w:bottom w:type="dxa" w:w="60"/>
              <w:right w:type="dxa" w:w="100"/>
            </w:tcMar>
          </w:tcPr>
          <w:p>
            <w:r>
              <w:rPr>
                <w:b w:val="false"/>
                <w:bCs w:val="false"/>
                <w:color w:val="000000"/>
                <w:sz w:val="20"/>
                <w:szCs w:val="20"/>
              </w:rPr>
              <w:t xml:space="preserve">Jährliche Überwachung durch die Zeichennehmer-Gemeinschaft (GAPA/KDA)</w:t>
            </w:r>
          </w:p>
        </w:tc>
      </w:tr>
      <w:tr>
        <w:tc>
          <w:tcPr>
            <w:tcW w:type="dxa" w:w="2800"/>
            <w:shd w:fill="F2F2F2" w:val="clear"/>
            <w:tcMar>
              <w:top w:type="dxa" w:w="60"/>
              <w:left w:type="dxa" w:w="100"/>
              <w:bottom w:type="dxa" w:w="60"/>
              <w:right w:type="dxa" w:w="100"/>
            </w:tcMar>
          </w:tcPr>
          <w:p>
            <w:r>
              <w:rPr>
                <w:b w:val="false"/>
                <w:bCs w:val="false"/>
                <w:color w:val="000000"/>
                <w:sz w:val="20"/>
                <w:szCs w:val="20"/>
              </w:rPr>
              <w:t xml:space="preserve">HWK-/IHK-Anerkennung Ausbildungsstätte &amp; AEVO</w:t>
            </w:r>
          </w:p>
        </w:tc>
        <w:tc>
          <w:tcPr>
            <w:tcW w:type="dxa" w:w="3280"/>
            <w:shd w:fill="F2F2F2" w:val="clear"/>
            <w:tcMar>
              <w:top w:type="dxa" w:w="60"/>
              <w:left w:type="dxa" w:w="100"/>
              <w:bottom w:type="dxa" w:w="60"/>
              <w:right w:type="dxa" w:w="100"/>
            </w:tcMar>
          </w:tcPr>
          <w:p>
            <w:r>
              <w:rPr>
                <w:b w:val="false"/>
                <w:bCs w:val="false"/>
                <w:color w:val="000000"/>
                <w:sz w:val="20"/>
                <w:szCs w:val="20"/>
              </w:rPr>
              <w:t xml:space="preserve">unbefristet</w:t>
            </w:r>
          </w:p>
        </w:tc>
        <w:tc>
          <w:tcPr>
            <w:tcW w:type="dxa" w:w="3280"/>
            <w:shd w:fill="F2F2F2" w:val="clear"/>
            <w:tcMar>
              <w:top w:type="dxa" w:w="60"/>
              <w:left w:type="dxa" w:w="100"/>
              <w:bottom w:type="dxa" w:w="60"/>
              <w:right w:type="dxa" w:w="100"/>
            </w:tcMar>
          </w:tcPr>
          <w:p>
            <w:r>
              <w:rPr>
                <w:b w:val="false"/>
                <w:bCs w:val="false"/>
                <w:color w:val="000000"/>
                <w:sz w:val="20"/>
                <w:szCs w:val="20"/>
              </w:rPr>
              <w:t xml:space="preserve">Anlassbezogene Überprüfung; Eignung von Räumen/Ausbildern erhalten</w:t>
            </w:r>
          </w:p>
        </w:tc>
      </w:tr>
      <w:tr>
        <w:tc>
          <w:tcPr>
            <w:tcW w:type="dxa" w:w="2800"/>
            <w:shd w:fill="FFFFFF" w:val="clear"/>
            <w:tcMar>
              <w:top w:type="dxa" w:w="60"/>
              <w:left w:type="dxa" w:w="100"/>
              <w:bottom w:type="dxa" w:w="60"/>
              <w:right w:type="dxa" w:w="100"/>
            </w:tcMar>
          </w:tcPr>
          <w:p>
            <w:r>
              <w:rPr>
                <w:b w:val="false"/>
                <w:bCs w:val="false"/>
                <w:color w:val="000000"/>
                <w:sz w:val="20"/>
                <w:szCs w:val="20"/>
              </w:rPr>
              <w:t xml:space="preserve">Versorgungsverträge (§ 111 SGB V, § 72 SGB XI)</w:t>
            </w:r>
          </w:p>
        </w:tc>
        <w:tc>
          <w:tcPr>
            <w:tcW w:type="dxa" w:w="3280"/>
            <w:shd w:fill="FFFFFF" w:val="clear"/>
            <w:tcMar>
              <w:top w:type="dxa" w:w="60"/>
              <w:left w:type="dxa" w:w="100"/>
              <w:bottom w:type="dxa" w:w="60"/>
              <w:right w:type="dxa" w:w="100"/>
            </w:tcMar>
          </w:tcPr>
          <w:p>
            <w:r>
              <w:rPr>
                <w:b w:val="false"/>
                <w:bCs w:val="false"/>
                <w:color w:val="000000"/>
                <w:sz w:val="20"/>
                <w:szCs w:val="20"/>
              </w:rPr>
              <w:t xml:space="preserve">unbefristet</w:t>
            </w:r>
          </w:p>
        </w:tc>
        <w:tc>
          <w:tcPr>
            <w:tcW w:type="dxa" w:w="3280"/>
            <w:shd w:fill="FFFFFF" w:val="clear"/>
            <w:tcMar>
              <w:top w:type="dxa" w:w="60"/>
              <w:left w:type="dxa" w:w="100"/>
              <w:bottom w:type="dxa" w:w="60"/>
              <w:right w:type="dxa" w:w="100"/>
            </w:tcMar>
          </w:tcPr>
          <w:p>
            <w:r>
              <w:rPr>
                <w:b w:val="false"/>
                <w:bCs w:val="false"/>
                <w:color w:val="000000"/>
                <w:sz w:val="20"/>
                <w:szCs w:val="20"/>
              </w:rPr>
              <w:t xml:space="preserve">Qualitätsprüfungen (Medizinischer Dienst), Strukturnachweise, Vergütungsverhandlungen</w:t>
            </w:r>
          </w:p>
        </w:tc>
      </w:tr>
      <w:tr>
        <w:tc>
          <w:tcPr>
            <w:tcW w:type="dxa" w:w="2800"/>
            <w:shd w:fill="F2F2F2" w:val="clear"/>
            <w:tcMar>
              <w:top w:type="dxa" w:w="60"/>
              <w:left w:type="dxa" w:w="100"/>
              <w:bottom w:type="dxa" w:w="60"/>
              <w:right w:type="dxa" w:w="100"/>
            </w:tcMar>
          </w:tcPr>
          <w:p>
            <w:r>
              <w:rPr>
                <w:b w:val="false"/>
                <w:bCs w:val="false"/>
                <w:color w:val="000000"/>
                <w:sz w:val="20"/>
                <w:szCs w:val="20"/>
              </w:rPr>
              <w:t xml:space="preserve">Staatl. Anerkennung Pflegeschule / Ersatzschule</w:t>
            </w:r>
          </w:p>
        </w:tc>
        <w:tc>
          <w:tcPr>
            <w:tcW w:type="dxa" w:w="3280"/>
            <w:shd w:fill="F2F2F2" w:val="clear"/>
            <w:tcMar>
              <w:top w:type="dxa" w:w="60"/>
              <w:left w:type="dxa" w:w="100"/>
              <w:bottom w:type="dxa" w:w="60"/>
              <w:right w:type="dxa" w:w="100"/>
            </w:tcMar>
          </w:tcPr>
          <w:p>
            <w:r>
              <w:rPr>
                <w:b w:val="false"/>
                <w:bCs w:val="false"/>
                <w:color w:val="000000"/>
                <w:sz w:val="20"/>
                <w:szCs w:val="20"/>
              </w:rPr>
              <w:t xml:space="preserve">unbefristet (Ersatzschul-Zuschüsse erst nach Wartefrist ca. 3 Jahre)</w:t>
            </w:r>
          </w:p>
        </w:tc>
        <w:tc>
          <w:tcPr>
            <w:tcW w:type="dxa" w:w="3280"/>
            <w:shd w:fill="F2F2F2" w:val="clear"/>
            <w:tcMar>
              <w:top w:type="dxa" w:w="60"/>
              <w:left w:type="dxa" w:w="100"/>
              <w:bottom w:type="dxa" w:w="60"/>
              <w:right w:type="dxa" w:w="100"/>
            </w:tcMar>
          </w:tcPr>
          <w:p>
            <w:r>
              <w:rPr>
                <w:b w:val="false"/>
                <w:bCs w:val="false"/>
                <w:color w:val="000000"/>
                <w:sz w:val="20"/>
                <w:szCs w:val="20"/>
              </w:rPr>
              <w:t xml:space="preserve">Schulaufsicht, Lehrkräfte-Qualifikationsnachweise, Budgetverhandlung Ausbildungsfonds</w:t>
            </w:r>
          </w:p>
        </w:tc>
      </w:tr>
      <w:tr>
        <w:tc>
          <w:tcPr>
            <w:tcW w:type="dxa" w:w="2800"/>
            <w:shd w:fill="FFFFFF" w:val="clear"/>
            <w:tcMar>
              <w:top w:type="dxa" w:w="60"/>
              <w:left w:type="dxa" w:w="100"/>
              <w:bottom w:type="dxa" w:w="60"/>
              <w:right w:type="dxa" w:w="100"/>
            </w:tcMar>
          </w:tcPr>
          <w:p>
            <w:r>
              <w:rPr>
                <w:b w:val="false"/>
                <w:bCs w:val="false"/>
                <w:color w:val="000000"/>
                <w:sz w:val="20"/>
                <w:szCs w:val="20"/>
              </w:rPr>
              <w:t xml:space="preserve">DMW-Lizenz Philippinen (bzw. Partneragentur)</w:t>
            </w:r>
          </w:p>
        </w:tc>
        <w:tc>
          <w:tcPr>
            <w:tcW w:type="dxa" w:w="3280"/>
            <w:shd w:fill="FFFFFF" w:val="clear"/>
            <w:tcMar>
              <w:top w:type="dxa" w:w="60"/>
              <w:left w:type="dxa" w:w="100"/>
              <w:bottom w:type="dxa" w:w="60"/>
              <w:right w:type="dxa" w:w="100"/>
            </w:tcMar>
          </w:tcPr>
          <w:p>
            <w:r>
              <w:rPr>
                <w:b w:val="false"/>
                <w:bCs w:val="false"/>
                <w:color w:val="000000"/>
                <w:sz w:val="20"/>
                <w:szCs w:val="20"/>
              </w:rPr>
              <w:t xml:space="preserve">befristet; zunächst provisorisch, Verlängerung mehrjährig</w:t>
            </w:r>
          </w:p>
        </w:tc>
        <w:tc>
          <w:tcPr>
            <w:tcW w:type="dxa" w:w="3280"/>
            <w:shd w:fill="FFFFFF" w:val="clear"/>
            <w:tcMar>
              <w:top w:type="dxa" w:w="60"/>
              <w:left w:type="dxa" w:w="100"/>
              <w:bottom w:type="dxa" w:w="60"/>
              <w:right w:type="dxa" w:w="100"/>
            </w:tcMar>
          </w:tcPr>
          <w:p>
            <w:r>
              <w:rPr>
                <w:b w:val="false"/>
                <w:bCs w:val="false"/>
                <w:color w:val="000000"/>
                <w:sz w:val="20"/>
                <w:szCs w:val="20"/>
              </w:rPr>
              <w:t xml:space="preserve">Lokale Compliance-Auflagen, Berichtspflichten, Ethikregeln</w:t>
            </w:r>
          </w:p>
        </w:tc>
      </w:tr>
      <w:tr>
        <w:tc>
          <w:tcPr>
            <w:tcW w:type="dxa" w:w="2800"/>
            <w:shd w:fill="F2F2F2" w:val="clear"/>
            <w:tcMar>
              <w:top w:type="dxa" w:w="60"/>
              <w:left w:type="dxa" w:w="100"/>
              <w:bottom w:type="dxa" w:w="60"/>
              <w:right w:type="dxa" w:w="100"/>
            </w:tcMar>
          </w:tcPr>
          <w:p>
            <w:r>
              <w:rPr>
                <w:b w:val="false"/>
                <w:bCs w:val="false"/>
                <w:color w:val="000000"/>
                <w:sz w:val="20"/>
                <w:szCs w:val="20"/>
              </w:rPr>
              <w:t xml:space="preserve">Registrierung Bildungsanbieter Singapur (CPE/SSG)</w:t>
            </w:r>
          </w:p>
        </w:tc>
        <w:tc>
          <w:tcPr>
            <w:tcW w:type="dxa" w:w="3280"/>
            <w:shd w:fill="F2F2F2" w:val="clear"/>
            <w:tcMar>
              <w:top w:type="dxa" w:w="60"/>
              <w:left w:type="dxa" w:w="100"/>
              <w:bottom w:type="dxa" w:w="60"/>
              <w:right w:type="dxa" w:w="100"/>
            </w:tcMar>
          </w:tcPr>
          <w:p>
            <w:r>
              <w:rPr>
                <w:b w:val="false"/>
                <w:bCs w:val="false"/>
                <w:color w:val="000000"/>
                <w:sz w:val="20"/>
                <w:szCs w:val="20"/>
              </w:rPr>
              <w:t xml:space="preserve">befristet, verlängerbar</w:t>
            </w:r>
          </w:p>
        </w:tc>
        <w:tc>
          <w:tcPr>
            <w:tcW w:type="dxa" w:w="3280"/>
            <w:shd w:fill="F2F2F2" w:val="clear"/>
            <w:tcMar>
              <w:top w:type="dxa" w:w="60"/>
              <w:left w:type="dxa" w:w="100"/>
              <w:bottom w:type="dxa" w:w="60"/>
              <w:right w:type="dxa" w:w="100"/>
            </w:tcMar>
          </w:tcPr>
          <w:p>
            <w:r>
              <w:rPr>
                <w:b w:val="false"/>
                <w:bCs w:val="false"/>
                <w:color w:val="000000"/>
                <w:sz w:val="20"/>
                <w:szCs w:val="20"/>
              </w:rPr>
              <w:t xml:space="preserve">Registrierungsauflagen, ggf. EduTrust-Re-Zertifizierung</w:t>
            </w:r>
          </w:p>
        </w:tc>
      </w:tr>
      <w:tr>
        <w:tc>
          <w:tcPr>
            <w:tcW w:type="dxa" w:w="2800"/>
            <w:shd w:fill="FFFFFF" w:val="clear"/>
            <w:tcMar>
              <w:top w:type="dxa" w:w="60"/>
              <w:left w:type="dxa" w:w="100"/>
              <w:bottom w:type="dxa" w:w="60"/>
              <w:right w:type="dxa" w:w="100"/>
            </w:tcMar>
          </w:tcPr>
          <w:p>
            <w:r>
              <w:rPr>
                <w:b w:val="false"/>
                <w:bCs w:val="false"/>
                <w:color w:val="000000"/>
                <w:sz w:val="20"/>
                <w:szCs w:val="20"/>
              </w:rPr>
              <w:t xml:space="preserve">USt-Bescheinigung § 4 Nr. 21 UStG (Landesbehörde)</w:t>
            </w:r>
          </w:p>
        </w:tc>
        <w:tc>
          <w:tcPr>
            <w:tcW w:type="dxa" w:w="3280"/>
            <w:shd w:fill="FFFFFF" w:val="clear"/>
            <w:tcMar>
              <w:top w:type="dxa" w:w="60"/>
              <w:left w:type="dxa" w:w="100"/>
              <w:bottom w:type="dxa" w:w="60"/>
              <w:right w:type="dxa" w:w="100"/>
            </w:tcMar>
          </w:tcPr>
          <w:p>
            <w:r>
              <w:rPr>
                <w:b w:val="false"/>
                <w:bCs w:val="false"/>
                <w:color w:val="000000"/>
                <w:sz w:val="20"/>
                <w:szCs w:val="20"/>
              </w:rPr>
              <w:t xml:space="preserve">i. d. R. befristet erteilt</w:t>
            </w:r>
          </w:p>
        </w:tc>
        <w:tc>
          <w:tcPr>
            <w:tcW w:type="dxa" w:w="3280"/>
            <w:shd w:fill="FFFFFF" w:val="clear"/>
            <w:tcMar>
              <w:top w:type="dxa" w:w="60"/>
              <w:left w:type="dxa" w:w="100"/>
              <w:bottom w:type="dxa" w:w="60"/>
              <w:right w:type="dxa" w:w="100"/>
            </w:tcMar>
          </w:tcPr>
          <w:p>
            <w:r>
              <w:rPr>
                <w:b w:val="false"/>
                <w:bCs w:val="false"/>
                <w:color w:val="000000"/>
                <w:sz w:val="20"/>
                <w:szCs w:val="20"/>
              </w:rPr>
              <w:t xml:space="preserve">Auf ordnungsgemäße Berufs-/Prüfungsvorbereitung gerichtetes Angebot nachweisen</w:t>
            </w:r>
          </w:p>
        </w:tc>
      </w:tr>
    </w:tbl>
    <w:p>
      <w:pPr>
        <w:spacing w:after="120"/>
      </w:pPr>
    </w:p>
    <w:p>
      <w:pPr>
        <w:spacing w:after="120" w:line="276"/>
        <w:jc w:val="both"/>
      </w:pPr>
      <w:r>
        <w:t xml:space="preserve">Konsequenz für die Organisation: Alle Zulassungen laufen in einem digitalen Compliance-Kalender mit automatischer Fristenüberwachung – Re-Zertifizierungen werden wie Projekte geplant und budgetiert (jährlich wiederkehrende Audit- und Gebührenkosten von insgesamt ca. 15.000–30.000 € ab Vollausbau).</w:t>
      </w:r>
    </w:p>
    <w:p>
      <w:pPr>
        <w:pStyle w:val="Heading1"/>
        <w:spacing w:after="140" w:before="320"/>
      </w:pPr>
      <w:r>
        <w:rPr>
          <w:color w:val="1F4E5F"/>
        </w:rPr>
        <w:t xml:space="preserve">5. Zwingendes Fachpersonal und weitere Betriebsvoraussetzungen</w:t>
      </w:r>
    </w:p>
    <w:p>
      <w:pPr>
        <w:spacing w:after="120" w:line="276"/>
        <w:jc w:val="both"/>
      </w:pPr>
      <w:r>
        <w:t xml:space="preserve">Personal ist die härteste Zulassungs- und Vergabevoraussetzung: Ohne das vorgeschriebene Fachpersonal gibt es keine Zulassung, keinen Zuschlag und keine Abrechnung. Die Anforderungen ergeben sich aus AZAV und fachkundiger Stelle, vor allem aber aus den verbindlichen Leistungsbeschreibungen der BA/REZ (inkl. Betreuungsschlüsseln), den Landesgesetzen (Pflege, Schule, Heimrecht) und den Strukturanforderungen von DRV und Krankenkassen.</w:t>
      </w:r>
    </w:p>
    <w:p>
      <w:pPr>
        <w:pStyle w:val="Heading2"/>
        <w:spacing w:after="100" w:before="240"/>
      </w:pPr>
      <w:r>
        <w:rPr>
          <w:color w:val="1F4E5F"/>
        </w:rPr>
        <w:t xml:space="preserve">5.1 Zwingendes Fachpersonal je Geschäftsfeld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4360"/>
        <w:gridCol w:w="2550"/>
      </w:tblGrid>
      <w:tr>
        <w:tc>
          <w:tcPr>
            <w:tcW w:type="dxa" w:w="2450"/>
            <w:shd w:fill="1F4E5F" w:val="clear"/>
            <w:tcMar>
              <w:top w:type="dxa" w:w="60"/>
              <w:left w:type="dxa" w:w="100"/>
              <w:bottom w:type="dxa" w:w="60"/>
              <w:right w:type="dxa" w:w="100"/>
            </w:tcMar>
          </w:tcPr>
          <w:p>
            <w:r>
              <w:rPr>
                <w:b/>
                <w:bCs/>
                <w:color w:val="FFFFFF"/>
                <w:sz w:val="20"/>
                <w:szCs w:val="20"/>
              </w:rPr>
              <w:t xml:space="preserve">Bereich / Maßnahme</w:t>
            </w:r>
          </w:p>
        </w:tc>
        <w:tc>
          <w:tcPr>
            <w:tcW w:type="dxa" w:w="4360"/>
            <w:shd w:fill="1F4E5F" w:val="clear"/>
            <w:tcMar>
              <w:top w:type="dxa" w:w="60"/>
              <w:left w:type="dxa" w:w="100"/>
              <w:bottom w:type="dxa" w:w="60"/>
              <w:right w:type="dxa" w:w="100"/>
            </w:tcMar>
          </w:tcPr>
          <w:p>
            <w:r>
              <w:rPr>
                <w:b/>
                <w:bCs/>
                <w:color w:val="FFFFFF"/>
                <w:sz w:val="20"/>
                <w:szCs w:val="20"/>
              </w:rPr>
              <w:t xml:space="preserve">Zwingend erforderliches Personal</w:t>
            </w:r>
          </w:p>
        </w:tc>
        <w:tc>
          <w:tcPr>
            <w:tcW w:type="dxa" w:w="2550"/>
            <w:shd w:fill="1F4E5F" w:val="clear"/>
            <w:tcMar>
              <w:top w:type="dxa" w:w="60"/>
              <w:left w:type="dxa" w:w="100"/>
              <w:bottom w:type="dxa" w:w="60"/>
              <w:right w:type="dxa" w:w="100"/>
            </w:tcMar>
          </w:tcPr>
          <w:p>
            <w:r>
              <w:rPr>
                <w:b/>
                <w:bCs/>
                <w:color w:val="FFFFFF"/>
                <w:sz w:val="20"/>
                <w:szCs w:val="20"/>
              </w:rPr>
              <w:t xml:space="preserve">Grundlage</w:t>
            </w:r>
          </w:p>
        </w:tc>
      </w:tr>
      <w:tr>
        <w:tc>
          <w:tcPr>
            <w:tcW w:type="dxa" w:w="2450"/>
            <w:shd w:fill="FFFFFF" w:val="clear"/>
            <w:tcMar>
              <w:top w:type="dxa" w:w="60"/>
              <w:left w:type="dxa" w:w="100"/>
              <w:bottom w:type="dxa" w:w="60"/>
              <w:right w:type="dxa" w:w="100"/>
            </w:tcMar>
          </w:tcPr>
          <w:p>
            <w:r>
              <w:rPr>
                <w:b w:val="false"/>
                <w:bCs w:val="false"/>
                <w:color w:val="000000"/>
                <w:sz w:val="20"/>
                <w:szCs w:val="20"/>
              </w:rPr>
              <w:t xml:space="preserve">Träger insgesamt</w:t>
            </w:r>
          </w:p>
        </w:tc>
        <w:tc>
          <w:tcPr>
            <w:tcW w:type="dxa" w:w="4360"/>
            <w:shd w:fill="FFFFFF" w:val="clear"/>
            <w:tcMar>
              <w:top w:type="dxa" w:w="60"/>
              <w:left w:type="dxa" w:w="100"/>
              <w:bottom w:type="dxa" w:w="60"/>
              <w:right w:type="dxa" w:w="100"/>
            </w:tcMar>
          </w:tcPr>
          <w:p>
            <w:r>
              <w:rPr>
                <w:b w:val="false"/>
                <w:bCs w:val="false"/>
                <w:color w:val="000000"/>
                <w:sz w:val="20"/>
                <w:szCs w:val="20"/>
              </w:rPr>
              <w:t xml:space="preserve">Leitung mit pädagogischer UND kaufmännischer Eignung; QM-Beauftragter; Datenschutzbeauftragter (ab 20 Beschäftigten); Betriebsarzt &amp; Fachkraft für Arbeitssicherheit (bestellt); Ersthelfer und Brandschutzhelfer</w:t>
            </w:r>
          </w:p>
        </w:tc>
        <w:tc>
          <w:tcPr>
            <w:tcW w:type="dxa" w:w="2550"/>
            <w:shd w:fill="FFFFFF" w:val="clear"/>
            <w:tcMar>
              <w:top w:type="dxa" w:w="60"/>
              <w:left w:type="dxa" w:w="100"/>
              <w:bottom w:type="dxa" w:w="60"/>
              <w:right w:type="dxa" w:w="100"/>
            </w:tcMar>
          </w:tcPr>
          <w:p>
            <w:r>
              <w:rPr>
                <w:b w:val="false"/>
                <w:bCs w:val="false"/>
                <w:color w:val="000000"/>
                <w:sz w:val="20"/>
                <w:szCs w:val="20"/>
              </w:rPr>
              <w:t xml:space="preserve">AZAV § 2, BDSG § 38, ASiG/DGUV V2</w:t>
            </w:r>
          </w:p>
        </w:tc>
      </w:tr>
      <w:tr>
        <w:tc>
          <w:tcPr>
            <w:tcW w:type="dxa" w:w="2450"/>
            <w:shd w:fill="F2F2F2" w:val="clear"/>
            <w:tcMar>
              <w:top w:type="dxa" w:w="60"/>
              <w:left w:type="dxa" w:w="100"/>
              <w:bottom w:type="dxa" w:w="60"/>
              <w:right w:type="dxa" w:w="100"/>
            </w:tcMar>
          </w:tcPr>
          <w:p>
            <w:r>
              <w:rPr>
                <w:b w:val="false"/>
                <w:bCs w:val="false"/>
                <w:color w:val="000000"/>
                <w:sz w:val="20"/>
                <w:szCs w:val="20"/>
              </w:rPr>
              <w:t xml:space="preserve">FbW / Umschulung (§ 81)</w:t>
            </w:r>
          </w:p>
        </w:tc>
        <w:tc>
          <w:tcPr>
            <w:tcW w:type="dxa" w:w="4360"/>
            <w:shd w:fill="F2F2F2" w:val="clear"/>
            <w:tcMar>
              <w:top w:type="dxa" w:w="60"/>
              <w:left w:type="dxa" w:w="100"/>
              <w:bottom w:type="dxa" w:w="60"/>
              <w:right w:type="dxa" w:w="100"/>
            </w:tcMar>
          </w:tcPr>
          <w:p>
            <w:r>
              <w:rPr>
                <w:b w:val="false"/>
                <w:bCs w:val="false"/>
                <w:color w:val="000000"/>
                <w:sz w:val="20"/>
                <w:szCs w:val="20"/>
              </w:rPr>
              <w:t xml:space="preserve">Lehrkräfte mit einschlägigem Berufsabschluss, Berufspraxis und pädagogischer Eignung (i. d. R. AEVO); im Handwerk Meister als Ausbilder</w:t>
            </w:r>
          </w:p>
        </w:tc>
        <w:tc>
          <w:tcPr>
            <w:tcW w:type="dxa" w:w="2550"/>
            <w:shd w:fill="F2F2F2" w:val="clear"/>
            <w:tcMar>
              <w:top w:type="dxa" w:w="60"/>
              <w:left w:type="dxa" w:w="100"/>
              <w:bottom w:type="dxa" w:w="60"/>
              <w:right w:type="dxa" w:w="100"/>
            </w:tcMar>
          </w:tcPr>
          <w:p>
            <w:r>
              <w:rPr>
                <w:b w:val="false"/>
                <w:bCs w:val="false"/>
                <w:color w:val="000000"/>
                <w:sz w:val="20"/>
                <w:szCs w:val="20"/>
              </w:rPr>
              <w:t xml:space="preserve">AZAV, BBiG/HwO, Kammer</w:t>
            </w:r>
          </w:p>
        </w:tc>
      </w:tr>
      <w:tr>
        <w:tc>
          <w:tcPr>
            <w:tcW w:type="dxa" w:w="2450"/>
            <w:shd w:fill="FFFFFF" w:val="clear"/>
            <w:tcMar>
              <w:top w:type="dxa" w:w="60"/>
              <w:left w:type="dxa" w:w="100"/>
              <w:bottom w:type="dxa" w:w="60"/>
              <w:right w:type="dxa" w:w="100"/>
            </w:tcMar>
          </w:tcPr>
          <w:p>
            <w:r>
              <w:rPr>
                <w:b w:val="false"/>
                <w:bCs w:val="false"/>
                <w:color w:val="000000"/>
                <w:sz w:val="20"/>
                <w:szCs w:val="20"/>
              </w:rPr>
              <w:t xml:space="preserve">Aktivierung § 45 / Coaching</w:t>
            </w:r>
          </w:p>
        </w:tc>
        <w:tc>
          <w:tcPr>
            <w:tcW w:type="dxa" w:w="4360"/>
            <w:shd w:fill="FFFFFF" w:val="clear"/>
            <w:tcMar>
              <w:top w:type="dxa" w:w="60"/>
              <w:left w:type="dxa" w:w="100"/>
              <w:bottom w:type="dxa" w:w="60"/>
              <w:right w:type="dxa" w:w="100"/>
            </w:tcMar>
          </w:tcPr>
          <w:p>
            <w:r>
              <w:rPr>
                <w:b w:val="false"/>
                <w:bCs w:val="false"/>
                <w:color w:val="000000"/>
                <w:sz w:val="20"/>
                <w:szCs w:val="20"/>
              </w:rPr>
              <w:t xml:space="preserve">Sozialpädagogen bzw. Hochschulabschluss Soziale Arbeit, Coaches mit nachgewiesener Berufserfahrung – Qualifikation und Betreuungsschlüssel sind in der REZ-Leistungsbeschreibung je Los verbindlich vorgegeben</w:t>
            </w:r>
          </w:p>
        </w:tc>
        <w:tc>
          <w:tcPr>
            <w:tcW w:type="dxa" w:w="2550"/>
            <w:shd w:fill="FFFFFF" w:val="clear"/>
            <w:tcMar>
              <w:top w:type="dxa" w:w="60"/>
              <w:left w:type="dxa" w:w="100"/>
              <w:bottom w:type="dxa" w:w="60"/>
              <w:right w:type="dxa" w:w="100"/>
            </w:tcMar>
          </w:tcPr>
          <w:p>
            <w:r>
              <w:rPr>
                <w:b w:val="false"/>
                <w:bCs w:val="false"/>
                <w:color w:val="000000"/>
                <w:sz w:val="20"/>
                <w:szCs w:val="20"/>
              </w:rPr>
              <w:t xml:space="preserve">Vergabeunterlagen BA/REZ</w:t>
            </w:r>
          </w:p>
        </w:tc>
      </w:tr>
      <w:tr>
        <w:tc>
          <w:tcPr>
            <w:tcW w:type="dxa" w:w="2450"/>
            <w:shd w:fill="F2F2F2" w:val="clear"/>
            <w:tcMar>
              <w:top w:type="dxa" w:w="60"/>
              <w:left w:type="dxa" w:w="100"/>
              <w:bottom w:type="dxa" w:w="60"/>
              <w:right w:type="dxa" w:w="100"/>
            </w:tcMar>
          </w:tcPr>
          <w:p>
            <w:r>
              <w:rPr>
                <w:b w:val="false"/>
                <w:bCs w:val="false"/>
                <w:color w:val="000000"/>
                <w:sz w:val="20"/>
                <w:szCs w:val="20"/>
              </w:rPr>
              <w:t xml:space="preserve">BvB / BaE / AsA</w:t>
            </w:r>
          </w:p>
        </w:tc>
        <w:tc>
          <w:tcPr>
            <w:tcW w:type="dxa" w:w="4360"/>
            <w:shd w:fill="F2F2F2" w:val="clear"/>
            <w:tcMar>
              <w:top w:type="dxa" w:w="60"/>
              <w:left w:type="dxa" w:w="100"/>
              <w:bottom w:type="dxa" w:w="60"/>
              <w:right w:type="dxa" w:w="100"/>
            </w:tcMar>
          </w:tcPr>
          <w:p>
            <w:r>
              <w:rPr>
                <w:b w:val="false"/>
                <w:bCs w:val="false"/>
                <w:color w:val="000000"/>
                <w:sz w:val="20"/>
                <w:szCs w:val="20"/>
              </w:rPr>
              <w:t xml:space="preserve">Bildungsbegleiter, Sozialpädagogen, Ausbilder (AEVO/Meister), Lehrkräfte für Stütz- und Förderunterricht – feste Personalschlüssel je Teilnehmerzahl laut Leistungsbeschreibung; erweiterte Führungszeugnisse (Minderjährige!)</w:t>
            </w:r>
          </w:p>
        </w:tc>
        <w:tc>
          <w:tcPr>
            <w:tcW w:type="dxa" w:w="2550"/>
            <w:shd w:fill="F2F2F2" w:val="clear"/>
            <w:tcMar>
              <w:top w:type="dxa" w:w="60"/>
              <w:left w:type="dxa" w:w="100"/>
              <w:bottom w:type="dxa" w:w="60"/>
              <w:right w:type="dxa" w:w="100"/>
            </w:tcMar>
          </w:tcPr>
          <w:p>
            <w:r>
              <w:rPr>
                <w:b w:val="false"/>
                <w:bCs w:val="false"/>
                <w:color w:val="000000"/>
                <w:sz w:val="20"/>
                <w:szCs w:val="20"/>
              </w:rPr>
              <w:t xml:space="preserve">BA-Fachkonzepte, § 72a SGB VIII, § 30a BZRG</w:t>
            </w:r>
          </w:p>
        </w:tc>
      </w:tr>
      <w:tr>
        <w:tc>
          <w:tcPr>
            <w:tcW w:type="dxa" w:w="2450"/>
            <w:shd w:fill="FFFFFF" w:val="clear"/>
            <w:tcMar>
              <w:top w:type="dxa" w:w="60"/>
              <w:left w:type="dxa" w:w="100"/>
              <w:bottom w:type="dxa" w:w="60"/>
              <w:right w:type="dxa" w:w="100"/>
            </w:tcMar>
          </w:tcPr>
          <w:p>
            <w:r>
              <w:rPr>
                <w:b w:val="false"/>
                <w:bCs w:val="false"/>
                <w:color w:val="000000"/>
                <w:sz w:val="20"/>
                <w:szCs w:val="20"/>
              </w:rPr>
              <w:t xml:space="preserve">Integrations-/Berufssprachkurse</w:t>
            </w:r>
          </w:p>
        </w:tc>
        <w:tc>
          <w:tcPr>
            <w:tcW w:type="dxa" w:w="4360"/>
            <w:shd w:fill="FFFFFF" w:val="clear"/>
            <w:tcMar>
              <w:top w:type="dxa" w:w="60"/>
              <w:left w:type="dxa" w:w="100"/>
              <w:bottom w:type="dxa" w:w="60"/>
              <w:right w:type="dxa" w:w="100"/>
            </w:tcMar>
          </w:tcPr>
          <w:p>
            <w:r>
              <w:rPr>
                <w:b w:val="false"/>
                <w:bCs w:val="false"/>
                <w:color w:val="000000"/>
                <w:sz w:val="20"/>
                <w:szCs w:val="20"/>
              </w:rPr>
              <w:t xml:space="preserve">Lehrkräfte mit BAMF-Zulassung (DaF/DaZ-Studium oder Zusatzqualifizierung)</w:t>
            </w:r>
          </w:p>
        </w:tc>
        <w:tc>
          <w:tcPr>
            <w:tcW w:type="dxa" w:w="2550"/>
            <w:shd w:fill="FFFFFF" w:val="clear"/>
            <w:tcMar>
              <w:top w:type="dxa" w:w="60"/>
              <w:left w:type="dxa" w:w="100"/>
              <w:bottom w:type="dxa" w:w="60"/>
              <w:right w:type="dxa" w:w="100"/>
            </w:tcMar>
          </w:tcPr>
          <w:p>
            <w:r>
              <w:rPr>
                <w:b w:val="false"/>
                <w:bCs w:val="false"/>
                <w:color w:val="000000"/>
                <w:sz w:val="20"/>
                <w:szCs w:val="20"/>
              </w:rPr>
              <w:t xml:space="preserve">IntV/DeuFöV, BAMF</w:t>
            </w:r>
          </w:p>
        </w:tc>
      </w:tr>
      <w:tr>
        <w:tc>
          <w:tcPr>
            <w:tcW w:type="dxa" w:w="2450"/>
            <w:shd w:fill="F2F2F2" w:val="clear"/>
            <w:tcMar>
              <w:top w:type="dxa" w:w="60"/>
              <w:left w:type="dxa" w:w="100"/>
              <w:bottom w:type="dxa" w:w="60"/>
              <w:right w:type="dxa" w:w="100"/>
            </w:tcMar>
          </w:tcPr>
          <w:p>
            <w:r>
              <w:rPr>
                <w:b w:val="false"/>
                <w:bCs w:val="false"/>
                <w:color w:val="000000"/>
                <w:sz w:val="20"/>
                <w:szCs w:val="20"/>
              </w:rPr>
              <w:t xml:space="preserve">Eigene Pflegeschule</w:t>
            </w:r>
          </w:p>
        </w:tc>
        <w:tc>
          <w:tcPr>
            <w:tcW w:type="dxa" w:w="4360"/>
            <w:shd w:fill="F2F2F2" w:val="clear"/>
            <w:tcMar>
              <w:top w:type="dxa" w:w="60"/>
              <w:left w:type="dxa" w:w="100"/>
              <w:bottom w:type="dxa" w:w="60"/>
              <w:right w:type="dxa" w:w="100"/>
            </w:tcMar>
          </w:tcPr>
          <w:p>
            <w:r>
              <w:rPr>
                <w:b w:val="false"/>
                <w:bCs w:val="false"/>
                <w:color w:val="000000"/>
                <w:sz w:val="20"/>
                <w:szCs w:val="20"/>
              </w:rPr>
              <w:t xml:space="preserve">Hauptamtliche Schulleitung und Lehrkräfte mit pflegepädagogischem Hochschulabschluss (Master-Niveau); Schlüssel Lehrkraft:Schüler gem. Landesrecht (Richtwert 1:20)</w:t>
            </w:r>
          </w:p>
        </w:tc>
        <w:tc>
          <w:tcPr>
            <w:tcW w:type="dxa" w:w="2550"/>
            <w:shd w:fill="F2F2F2" w:val="clear"/>
            <w:tcMar>
              <w:top w:type="dxa" w:w="60"/>
              <w:left w:type="dxa" w:w="100"/>
              <w:bottom w:type="dxa" w:w="60"/>
              <w:right w:type="dxa" w:w="100"/>
            </w:tcMar>
          </w:tcPr>
          <w:p>
            <w:r>
              <w:rPr>
                <w:b w:val="false"/>
                <w:bCs w:val="false"/>
                <w:color w:val="000000"/>
                <w:sz w:val="20"/>
                <w:szCs w:val="20"/>
              </w:rPr>
              <w:t xml:space="preserve">§ 9 PflBG, Landesrecht</w:t>
            </w:r>
          </w:p>
        </w:tc>
      </w:tr>
      <w:tr>
        <w:tc>
          <w:tcPr>
            <w:tcW w:type="dxa" w:w="2450"/>
            <w:shd w:fill="FFFFFF" w:val="clear"/>
            <w:tcMar>
              <w:top w:type="dxa" w:w="60"/>
              <w:left w:type="dxa" w:w="100"/>
              <w:bottom w:type="dxa" w:w="60"/>
              <w:right w:type="dxa" w:w="100"/>
            </w:tcMar>
          </w:tcPr>
          <w:p>
            <w:r>
              <w:rPr>
                <w:b w:val="false"/>
                <w:bCs w:val="false"/>
                <w:color w:val="000000"/>
                <w:sz w:val="20"/>
                <w:szCs w:val="20"/>
              </w:rPr>
              <w:t xml:space="preserve">Pflegeeinrichtung (eigen)</w:t>
            </w:r>
          </w:p>
        </w:tc>
        <w:tc>
          <w:tcPr>
            <w:tcW w:type="dxa" w:w="4360"/>
            <w:shd w:fill="FFFFFF" w:val="clear"/>
            <w:tcMar>
              <w:top w:type="dxa" w:w="60"/>
              <w:left w:type="dxa" w:w="100"/>
              <w:bottom w:type="dxa" w:w="60"/>
              <w:right w:type="dxa" w:w="100"/>
            </w:tcMar>
          </w:tcPr>
          <w:p>
            <w:r>
              <w:rPr>
                <w:b w:val="false"/>
                <w:bCs w:val="false"/>
                <w:color w:val="000000"/>
                <w:sz w:val="20"/>
                <w:szCs w:val="20"/>
              </w:rPr>
              <w:t xml:space="preserve">Verantwortliche Pflegefachkraft/PDL (Fachkraft + 2 Jahre Praxis + Leitungsweiterbildung), Einrichtungsleitung, Fachkraftquote i. d. R. 50 %, Hygienebeauftragter, Praxisanleiter (300-Std.-Qualifikation, 24 Std. Fortbildung/Jahr)</w:t>
            </w:r>
          </w:p>
        </w:tc>
        <w:tc>
          <w:tcPr>
            <w:tcW w:type="dxa" w:w="2550"/>
            <w:shd w:fill="FFFFFF" w:val="clear"/>
            <w:tcMar>
              <w:top w:type="dxa" w:w="60"/>
              <w:left w:type="dxa" w:w="100"/>
              <w:bottom w:type="dxa" w:w="60"/>
              <w:right w:type="dxa" w:w="100"/>
            </w:tcMar>
          </w:tcPr>
          <w:p>
            <w:r>
              <w:rPr>
                <w:b w:val="false"/>
                <w:bCs w:val="false"/>
                <w:color w:val="000000"/>
                <w:sz w:val="20"/>
                <w:szCs w:val="20"/>
              </w:rPr>
              <w:t xml:space="preserve">§ 71 SGB XI, Landesheimrecht, PflBG/PflAPrV</w:t>
            </w:r>
          </w:p>
        </w:tc>
      </w:tr>
      <w:tr>
        <w:tc>
          <w:tcPr>
            <w:tcW w:type="dxa" w:w="2450"/>
            <w:shd w:fill="F2F2F2" w:val="clear"/>
            <w:tcMar>
              <w:top w:type="dxa" w:w="60"/>
              <w:left w:type="dxa" w:w="100"/>
              <w:bottom w:type="dxa" w:w="60"/>
              <w:right w:type="dxa" w:w="100"/>
            </w:tcMar>
          </w:tcPr>
          <w:p>
            <w:r>
              <w:rPr>
                <w:b w:val="false"/>
                <w:bCs w:val="false"/>
                <w:color w:val="000000"/>
                <w:sz w:val="20"/>
                <w:szCs w:val="20"/>
              </w:rPr>
              <w:t xml:space="preserve">Reha-Einrichtung</w:t>
            </w:r>
          </w:p>
        </w:tc>
        <w:tc>
          <w:tcPr>
            <w:tcW w:type="dxa" w:w="4360"/>
            <w:shd w:fill="F2F2F2" w:val="clear"/>
            <w:tcMar>
              <w:top w:type="dxa" w:w="60"/>
              <w:left w:type="dxa" w:w="100"/>
              <w:bottom w:type="dxa" w:w="60"/>
              <w:right w:type="dxa" w:w="100"/>
            </w:tcMar>
          </w:tcPr>
          <w:p>
            <w:r>
              <w:rPr>
                <w:b w:val="false"/>
                <w:bCs w:val="false"/>
                <w:color w:val="000000"/>
                <w:sz w:val="20"/>
                <w:szCs w:val="20"/>
              </w:rPr>
              <w:t xml:space="preserve">Ärztliche Leitung (Facharzt, z. B. PRM/Orthopädie/Psychiatrie je Indikation), Ärzte, Physio-/Ergotherapeuten, Psychologen, Sozialdienst – Strukturanforderungen der DRV/GKV (BAR-Rahmen)</w:t>
            </w:r>
          </w:p>
        </w:tc>
        <w:tc>
          <w:tcPr>
            <w:tcW w:type="dxa" w:w="2550"/>
            <w:shd w:fill="F2F2F2" w:val="clear"/>
            <w:tcMar>
              <w:top w:type="dxa" w:w="60"/>
              <w:left w:type="dxa" w:w="100"/>
              <w:bottom w:type="dxa" w:w="60"/>
              <w:right w:type="dxa" w:w="100"/>
            </w:tcMar>
          </w:tcPr>
          <w:p>
            <w:r>
              <w:rPr>
                <w:b w:val="false"/>
                <w:bCs w:val="false"/>
                <w:color w:val="000000"/>
                <w:sz w:val="20"/>
                <w:szCs w:val="20"/>
              </w:rPr>
              <w:t xml:space="preserve">§ 111 SGB V, § 15 SGB VI, DRV-Strukturanforderungen</w:t>
            </w:r>
          </w:p>
        </w:tc>
      </w:tr>
      <w:tr>
        <w:tc>
          <w:tcPr>
            <w:tcW w:type="dxa" w:w="2450"/>
            <w:shd w:fill="FFFFFF" w:val="clear"/>
            <w:tcMar>
              <w:top w:type="dxa" w:w="60"/>
              <w:left w:type="dxa" w:w="100"/>
              <w:bottom w:type="dxa" w:w="60"/>
              <w:right w:type="dxa" w:w="100"/>
            </w:tcMar>
          </w:tcPr>
          <w:p>
            <w:r>
              <w:rPr>
                <w:b w:val="false"/>
                <w:bCs w:val="false"/>
                <w:color w:val="000000"/>
                <w:sz w:val="20"/>
                <w:szCs w:val="20"/>
              </w:rPr>
              <w:t xml:space="preserve">Suchtprojekt (Inland + Campus)</w:t>
            </w:r>
          </w:p>
        </w:tc>
        <w:tc>
          <w:tcPr>
            <w:tcW w:type="dxa" w:w="4360"/>
            <w:shd w:fill="FFFFFF" w:val="clear"/>
            <w:tcMar>
              <w:top w:type="dxa" w:w="60"/>
              <w:left w:type="dxa" w:w="100"/>
              <w:bottom w:type="dxa" w:w="60"/>
              <w:right w:type="dxa" w:w="100"/>
            </w:tcMar>
          </w:tcPr>
          <w:p>
            <w:r>
              <w:rPr>
                <w:b w:val="false"/>
                <w:bCs w:val="false"/>
                <w:color w:val="000000"/>
                <w:sz w:val="20"/>
                <w:szCs w:val="20"/>
              </w:rPr>
              <w:t xml:space="preserve">Medizinisch verantwortlicher Facharzt (Psychiatrie &amp; Psychotherapie bzw. Suchtmedizin), von DRV anerkannte Suchttherapeuten (VDR-/DRV-anerkannte Weiterbildung), Psychologen, Sozialarbeiter; am Ausbildungscampus im Ausland zusätzlich deutschsprachige Suchttherapeuten und gesicherte ärztliche (Notfall-)Versorgung vor Ort</w:t>
            </w:r>
          </w:p>
        </w:tc>
        <w:tc>
          <w:tcPr>
            <w:tcW w:type="dxa" w:w="2550"/>
            <w:shd w:fill="FFFFFF" w:val="clear"/>
            <w:tcMar>
              <w:top w:type="dxa" w:w="60"/>
              <w:left w:type="dxa" w:w="100"/>
              <w:bottom w:type="dxa" w:w="60"/>
              <w:right w:type="dxa" w:w="100"/>
            </w:tcMar>
          </w:tcPr>
          <w:p>
            <w:r>
              <w:rPr>
                <w:b w:val="false"/>
                <w:bCs w:val="false"/>
                <w:color w:val="000000"/>
                <w:sz w:val="20"/>
                <w:szCs w:val="20"/>
              </w:rPr>
              <w:t xml:space="preserve">DRV-Anforderungen Entwöhnung/Adaption, § 31 SGB IX</w:t>
            </w:r>
          </w:p>
        </w:tc>
      </w:tr>
      <w:tr>
        <w:tc>
          <w:tcPr>
            <w:tcW w:type="dxa" w:w="2450"/>
            <w:shd w:fill="F2F2F2" w:val="clear"/>
            <w:tcMar>
              <w:top w:type="dxa" w:w="60"/>
              <w:left w:type="dxa" w:w="100"/>
              <w:bottom w:type="dxa" w:w="60"/>
              <w:right w:type="dxa" w:w="100"/>
            </w:tcMar>
          </w:tcPr>
          <w:p>
            <w:r>
              <w:rPr>
                <w:b w:val="false"/>
                <w:bCs w:val="false"/>
                <w:color w:val="000000"/>
                <w:sz w:val="20"/>
                <w:szCs w:val="20"/>
              </w:rPr>
              <w:t xml:space="preserve">Anpassungslehrgang/Kenntnisprüfung Pflege</w:t>
            </w:r>
          </w:p>
        </w:tc>
        <w:tc>
          <w:tcPr>
            <w:tcW w:type="dxa" w:w="4360"/>
            <w:shd w:fill="F2F2F2" w:val="clear"/>
            <w:tcMar>
              <w:top w:type="dxa" w:w="60"/>
              <w:left w:type="dxa" w:w="100"/>
              <w:bottom w:type="dxa" w:w="60"/>
              <w:right w:type="dxa" w:w="100"/>
            </w:tcMar>
          </w:tcPr>
          <w:p>
            <w:r>
              <w:rPr>
                <w:b w:val="false"/>
                <w:bCs w:val="false"/>
                <w:color w:val="000000"/>
                <w:sz w:val="20"/>
                <w:szCs w:val="20"/>
              </w:rPr>
              <w:t xml:space="preserve">Freigestellte Praxisanleiter mit berufspädagogischer Zusatzqualifikation; Kooperation mit anerkannten Prüfungseinrichtungen</w:t>
            </w:r>
          </w:p>
        </w:tc>
        <w:tc>
          <w:tcPr>
            <w:tcW w:type="dxa" w:w="2550"/>
            <w:shd w:fill="F2F2F2" w:val="clear"/>
            <w:tcMar>
              <w:top w:type="dxa" w:w="60"/>
              <w:left w:type="dxa" w:w="100"/>
              <w:bottom w:type="dxa" w:w="60"/>
              <w:right w:type="dxa" w:w="100"/>
            </w:tcMar>
          </w:tcPr>
          <w:p>
            <w:r>
              <w:rPr>
                <w:b w:val="false"/>
                <w:bCs w:val="false"/>
                <w:color w:val="000000"/>
                <w:sz w:val="20"/>
                <w:szCs w:val="20"/>
              </w:rPr>
              <w:t xml:space="preserve">PflBG/PflAPrV, Landesbehörde</w:t>
            </w:r>
          </w:p>
        </w:tc>
      </w:tr>
      <w:tr>
        <w:tc>
          <w:tcPr>
            <w:tcW w:type="dxa" w:w="2450"/>
            <w:shd w:fill="FFFFFF" w:val="clear"/>
            <w:tcMar>
              <w:top w:type="dxa" w:w="60"/>
              <w:left w:type="dxa" w:w="100"/>
              <w:bottom w:type="dxa" w:w="60"/>
              <w:right w:type="dxa" w:w="100"/>
            </w:tcMar>
          </w:tcPr>
          <w:p>
            <w:r>
              <w:rPr>
                <w:b w:val="false"/>
                <w:bCs w:val="false"/>
                <w:color w:val="000000"/>
                <w:sz w:val="20"/>
                <w:szCs w:val="20"/>
              </w:rPr>
              <w:t xml:space="preserve">Schulbegleitung</w:t>
            </w:r>
          </w:p>
        </w:tc>
        <w:tc>
          <w:tcPr>
            <w:tcW w:type="dxa" w:w="4360"/>
            <w:shd w:fill="FFFFFF" w:val="clear"/>
            <w:tcMar>
              <w:top w:type="dxa" w:w="60"/>
              <w:left w:type="dxa" w:w="100"/>
              <w:bottom w:type="dxa" w:w="60"/>
              <w:right w:type="dxa" w:w="100"/>
            </w:tcMar>
          </w:tcPr>
          <w:p>
            <w:r>
              <w:rPr>
                <w:b w:val="false"/>
                <w:bCs w:val="false"/>
                <w:color w:val="000000"/>
                <w:sz w:val="20"/>
                <w:szCs w:val="20"/>
              </w:rPr>
              <w:t xml:space="preserve">Je Bewilligung pädagogische Fachkräfte oder fachlich angeleitete Assistenzkräfte (Vorgabe des Kostenträgers im Einzelfall/der Leistungsvereinbarung); erweiterte Führungszeugnisse, Koordination durch Fachkraft</w:t>
            </w:r>
          </w:p>
        </w:tc>
        <w:tc>
          <w:tcPr>
            <w:tcW w:type="dxa" w:w="2550"/>
            <w:shd w:fill="FFFFFF" w:val="clear"/>
            <w:tcMar>
              <w:top w:type="dxa" w:w="60"/>
              <w:left w:type="dxa" w:w="100"/>
              <w:bottom w:type="dxa" w:w="60"/>
              <w:right w:type="dxa" w:w="100"/>
            </w:tcMar>
          </w:tcPr>
          <w:p>
            <w:r>
              <w:rPr>
                <w:b w:val="false"/>
                <w:bCs w:val="false"/>
                <w:color w:val="000000"/>
                <w:sz w:val="20"/>
                <w:szCs w:val="20"/>
              </w:rPr>
              <w:t xml:space="preserve">§§ 123 ff. SGB IX, § 72a SGB VIII</w:t>
            </w:r>
          </w:p>
        </w:tc>
      </w:tr>
      <w:tr>
        <w:tc>
          <w:tcPr>
            <w:tcW w:type="dxa" w:w="2450"/>
            <w:shd w:fill="F2F2F2" w:val="clear"/>
            <w:tcMar>
              <w:top w:type="dxa" w:w="60"/>
              <w:left w:type="dxa" w:w="100"/>
              <w:bottom w:type="dxa" w:w="60"/>
              <w:right w:type="dxa" w:w="100"/>
            </w:tcMar>
          </w:tcPr>
          <w:p>
            <w:r>
              <w:rPr>
                <w:b w:val="false"/>
                <w:bCs w:val="false"/>
                <w:color w:val="000000"/>
                <w:sz w:val="20"/>
                <w:szCs w:val="20"/>
              </w:rPr>
              <w:t xml:space="preserve">Kurzqualifikationen Verkehr</w:t>
            </w:r>
          </w:p>
        </w:tc>
        <w:tc>
          <w:tcPr>
            <w:tcW w:type="dxa" w:w="4360"/>
            <w:shd w:fill="F2F2F2" w:val="clear"/>
            <w:tcMar>
              <w:top w:type="dxa" w:w="60"/>
              <w:left w:type="dxa" w:w="100"/>
              <w:bottom w:type="dxa" w:w="60"/>
              <w:right w:type="dxa" w:w="100"/>
            </w:tcMar>
          </w:tcPr>
          <w:p>
            <w:r>
              <w:rPr>
                <w:b w:val="false"/>
                <w:bCs w:val="false"/>
                <w:color w:val="000000"/>
                <w:sz w:val="20"/>
                <w:szCs w:val="20"/>
              </w:rPr>
              <w:t xml:space="preserve">Fahrlehrer (Fahrlehrerlaubnis) bzw. Kooperation mit Fahrschule; anerkannte Ausbildungsstätte nach BKrFQG; ADR-Lehrgangsleiter (IHK-anerkannt)</w:t>
            </w:r>
          </w:p>
        </w:tc>
        <w:tc>
          <w:tcPr>
            <w:tcW w:type="dxa" w:w="2550"/>
            <w:shd w:fill="F2F2F2" w:val="clear"/>
            <w:tcMar>
              <w:top w:type="dxa" w:w="60"/>
              <w:left w:type="dxa" w:w="100"/>
              <w:bottom w:type="dxa" w:w="60"/>
              <w:right w:type="dxa" w:w="100"/>
            </w:tcMar>
          </w:tcPr>
          <w:p>
            <w:r>
              <w:rPr>
                <w:b w:val="false"/>
                <w:bCs w:val="false"/>
                <w:color w:val="000000"/>
                <w:sz w:val="20"/>
                <w:szCs w:val="20"/>
              </w:rPr>
              <w:t xml:space="preserve">FahrlG, BKrFQG, GGVSEB</w:t>
            </w:r>
          </w:p>
        </w:tc>
      </w:tr>
      <w:tr>
        <w:tc>
          <w:tcPr>
            <w:tcW w:type="dxa" w:w="2450"/>
            <w:shd w:fill="FFFFFF" w:val="clear"/>
            <w:tcMar>
              <w:top w:type="dxa" w:w="60"/>
              <w:left w:type="dxa" w:w="100"/>
              <w:bottom w:type="dxa" w:w="60"/>
              <w:right w:type="dxa" w:w="100"/>
            </w:tcMar>
          </w:tcPr>
          <w:p>
            <w:r>
              <w:rPr>
                <w:b w:val="false"/>
                <w:bCs w:val="false"/>
                <w:color w:val="000000"/>
                <w:sz w:val="20"/>
                <w:szCs w:val="20"/>
              </w:rPr>
              <w:t xml:space="preserve">Schweißkurse</w:t>
            </w:r>
          </w:p>
        </w:tc>
        <w:tc>
          <w:tcPr>
            <w:tcW w:type="dxa" w:w="4360"/>
            <w:shd w:fill="FFFFFF" w:val="clear"/>
            <w:tcMar>
              <w:top w:type="dxa" w:w="60"/>
              <w:left w:type="dxa" w:w="100"/>
              <w:bottom w:type="dxa" w:w="60"/>
              <w:right w:type="dxa" w:w="100"/>
            </w:tcMar>
          </w:tcPr>
          <w:p>
            <w:r>
              <w:rPr>
                <w:b w:val="false"/>
                <w:bCs w:val="false"/>
                <w:color w:val="000000"/>
                <w:sz w:val="20"/>
                <w:szCs w:val="20"/>
              </w:rPr>
              <w:t xml:space="preserve">Schweißlehrer/Schweißaufsicht (z. B. Schweißfachingenieur/-techniker), zugelassene Prüfstelle für ISO 9606-Prüfungen</w:t>
            </w:r>
          </w:p>
        </w:tc>
        <w:tc>
          <w:tcPr>
            <w:tcW w:type="dxa" w:w="2550"/>
            <w:shd w:fill="FFFFFF" w:val="clear"/>
            <w:tcMar>
              <w:top w:type="dxa" w:w="60"/>
              <w:left w:type="dxa" w:w="100"/>
              <w:bottom w:type="dxa" w:w="60"/>
              <w:right w:type="dxa" w:w="100"/>
            </w:tcMar>
          </w:tcPr>
          <w:p>
            <w:r>
              <w:rPr>
                <w:b w:val="false"/>
                <w:bCs w:val="false"/>
                <w:color w:val="000000"/>
                <w:sz w:val="20"/>
                <w:szCs w:val="20"/>
              </w:rPr>
              <w:t xml:space="preserve">DVS-Richtlinien, ISO 9606</w:t>
            </w:r>
          </w:p>
        </w:tc>
      </w:tr>
      <w:tr>
        <w:tc>
          <w:tcPr>
            <w:tcW w:type="dxa" w:w="2450"/>
            <w:shd w:fill="F2F2F2" w:val="clear"/>
            <w:tcMar>
              <w:top w:type="dxa" w:w="60"/>
              <w:left w:type="dxa" w:w="100"/>
              <w:bottom w:type="dxa" w:w="60"/>
              <w:right w:type="dxa" w:w="100"/>
            </w:tcMar>
          </w:tcPr>
          <w:p>
            <w:r>
              <w:rPr>
                <w:b w:val="false"/>
                <w:bCs w:val="false"/>
                <w:color w:val="000000"/>
                <w:sz w:val="20"/>
                <w:szCs w:val="20"/>
              </w:rPr>
              <w:t xml:space="preserve">Internationale Rekrutierung (Tochter)</w:t>
            </w:r>
          </w:p>
        </w:tc>
        <w:tc>
          <w:tcPr>
            <w:tcW w:type="dxa" w:w="4360"/>
            <w:shd w:fill="F2F2F2" w:val="clear"/>
            <w:tcMar>
              <w:top w:type="dxa" w:w="60"/>
              <w:left w:type="dxa" w:w="100"/>
              <w:bottom w:type="dxa" w:w="60"/>
              <w:right w:type="dxa" w:w="100"/>
            </w:tcMar>
          </w:tcPr>
          <w:p>
            <w:r>
              <w:rPr>
                <w:b w:val="false"/>
                <w:bCs w:val="false"/>
                <w:color w:val="000000"/>
                <w:sz w:val="20"/>
                <w:szCs w:val="20"/>
              </w:rPr>
              <w:t xml:space="preserve">Qualifizierte Prozessverantwortliche für ethische Anwerbung (Gütezeichen-Anforderung), Relocation-/Integrationsbegleiter; im Ausland DMW-lizenzierte Agenturpartner</w:t>
            </w:r>
          </w:p>
        </w:tc>
        <w:tc>
          <w:tcPr>
            <w:tcW w:type="dxa" w:w="2550"/>
            <w:shd w:fill="F2F2F2" w:val="clear"/>
            <w:tcMar>
              <w:top w:type="dxa" w:w="60"/>
              <w:left w:type="dxa" w:w="100"/>
              <w:bottom w:type="dxa" w:w="60"/>
              <w:right w:type="dxa" w:w="100"/>
            </w:tcMar>
          </w:tcPr>
          <w:p>
            <w:r>
              <w:rPr>
                <w:b w:val="false"/>
                <w:bCs w:val="false"/>
                <w:color w:val="000000"/>
                <w:sz w:val="20"/>
                <w:szCs w:val="20"/>
              </w:rPr>
              <w:t xml:space="preserve">RAL-Gütezeichen, DMW-Regeln</w:t>
            </w:r>
          </w:p>
        </w:tc>
      </w:tr>
    </w:tbl>
    <w:p>
      <w:pPr>
        <w:spacing w:after="120"/>
      </w:pPr>
    </w:p>
    <w:p>
      <w:pPr>
        <w:spacing w:after="120" w:line="276"/>
        <w:jc w:val="both"/>
      </w:pPr>
      <w:r>
        <w:t xml:space="preserve">Planungsregel: Schlüsselpersonal (PDL, ärztliche Leitung, Schulleitung, BAMF-Lehrkräfte, Suchttherapeuten) ist knapp und hat Kündigungsfristen – Rekrutierung startet 6–12 Monate vor dem jeweiligen Geschäftsfeld-Start; Zulassungen sind personengebunden nachzuweisen (Lebensläufe, Urkunden gehören zu jedem Zulassungs- und Vergabeantrag).</w:t>
      </w:r>
    </w:p>
    <w:p>
      <w:pPr>
        <w:pStyle w:val="Heading2"/>
        <w:spacing w:after="100" w:before="240"/>
      </w:pPr>
      <w:r>
        <w:rPr>
          <w:color w:val="1F4E5F"/>
        </w:rPr>
        <w:t xml:space="preserve">5.2 Bauliche, technische und organisatorische Betriebsvoraussetzungen</w:t>
      </w:r>
    </w:p>
    <w:p>
      <w:pPr>
        <w:pStyle w:val="ListParagraph"/>
        <w:numPr>
          <w:ilvl w:val="0"/>
          <w:numId w:val="2"/>
        </w:numPr>
        <w:spacing w:after="60" w:line="264"/>
        <w:jc w:val="both"/>
      </w:pPr>
      <w:r>
        <w:rPr>
          <w:b/>
          <w:bCs/>
        </w:rPr>
        <w:t xml:space="preserve">Bauliche Anforderungen Bildungsbetrieb: </w:t>
      </w:r>
      <w:r>
        <w:t xml:space="preserve">baurechtliche Nutzungsgenehmigung als Bildungsstätte (Nutzungsänderung!), Brandschutzkonzept mit Flucht-/Rettungswegen, Arbeitsstättenverordnung (Raumgrößen, Lüftung, Beleuchtung, Pausenräume), Barrierefreiheit nach DIN 18040 – in BA-Vergaben regelmäßig Ausschlusskriterium, ebenso ÖPNV-Erreichbarkeit.</w:t>
      </w:r>
    </w:p>
    <w:p>
      <w:pPr>
        <w:pStyle w:val="ListParagraph"/>
        <w:numPr>
          <w:ilvl w:val="0"/>
          <w:numId w:val="2"/>
        </w:numPr>
        <w:spacing w:after="60" w:line="264"/>
        <w:jc w:val="both"/>
      </w:pPr>
      <w:r>
        <w:rPr>
          <w:b/>
          <w:bCs/>
        </w:rPr>
        <w:t xml:space="preserve">Werkstätten (Handwerk/Schweißen): </w:t>
      </w:r>
      <w:r>
        <w:t xml:space="preserve">DGUV-konforme Maschinenausstattung und Unterweisungen, Absauganlagen an Schweißplätzen, Gefahrstofflagerung, Prüfmittel; regelmäßige Prüfungen (elektrische Betriebsmittel, Anlagen) dokumentiert.</w:t>
      </w:r>
    </w:p>
    <w:p>
      <w:pPr>
        <w:pStyle w:val="ListParagraph"/>
        <w:numPr>
          <w:ilvl w:val="0"/>
          <w:numId w:val="2"/>
        </w:numPr>
        <w:spacing w:after="60" w:line="264"/>
        <w:jc w:val="both"/>
      </w:pPr>
      <w:r>
        <w:rPr>
          <w:b/>
          <w:bCs/>
        </w:rPr>
        <w:t xml:space="preserve">Pflege-/Reha-Einrichtungen: </w:t>
      </w:r>
      <w:r>
        <w:t xml:space="preserve">Landesheimbau-Vorgaben (Einzelzimmerquoten, Bäder, Gemeinschaftsflächen), Hygieneplan nach Infektionsschutzgesetz, Medizinprodukte-Betreiberverordnung, Notruf-/Brandschutztechnik.</w:t>
      </w:r>
    </w:p>
    <w:p>
      <w:pPr>
        <w:pStyle w:val="ListParagraph"/>
        <w:numPr>
          <w:ilvl w:val="0"/>
          <w:numId w:val="2"/>
        </w:numPr>
        <w:spacing w:after="60" w:line="264"/>
        <w:jc w:val="both"/>
      </w:pPr>
      <w:r>
        <w:rPr>
          <w:b/>
          <w:bCs/>
        </w:rPr>
        <w:t xml:space="preserve">Pflicht-Technik gegenüber der BA: </w:t>
      </w:r>
      <w:r>
        <w:t xml:space="preserve">eM@w (elektronische Maßnahmeabwicklung) ist für die Abwicklung von BA-Maßnahmen verpflichtend – Schnittstelle von Beginn an einplanen; dazu e-Vergabe-Konto, KURSNET-Datenpflege, revisionssichere Archivierung (GoBD) und DSGVO-konforme Auftragsverarbeitungsverträge für alle Systeme.</w:t>
      </w:r>
    </w:p>
    <w:p>
      <w:pPr>
        <w:pStyle w:val="ListParagraph"/>
        <w:numPr>
          <w:ilvl w:val="0"/>
          <w:numId w:val="2"/>
        </w:numPr>
        <w:spacing w:after="60" w:line="264"/>
        <w:jc w:val="both"/>
      </w:pPr>
      <w:r>
        <w:rPr>
          <w:b/>
          <w:bCs/>
        </w:rPr>
        <w:t xml:space="preserve">Versicherungen &amp; Mitgliedschaften: </w:t>
      </w:r>
      <w:r>
        <w:t xml:space="preserve">Berufsgenossenschaft (VBG bzw. BGW für Pflege/Reha) ab dem ersten Beschäftigten, Betriebshaftpflicht (inkl. Tätigkeiten an Minderjährigen und Auslandsdeckung für den Ausbildungscampus), Gebäude-/Inventar-/Elektronikversicherung, D&amp;O für die Geschäftsführung, IHK-Mitgliedschaft.</w:t>
      </w:r>
    </w:p>
    <w:p>
      <w:pPr>
        <w:pStyle w:val="ListParagraph"/>
        <w:numPr>
          <w:ilvl w:val="0"/>
          <w:numId w:val="2"/>
        </w:numPr>
        <w:spacing w:after="60" w:line="264"/>
        <w:jc w:val="both"/>
      </w:pPr>
      <w:r>
        <w:rPr>
          <w:b/>
          <w:bCs/>
        </w:rPr>
        <w:t xml:space="preserve">Falls Personalüberlassung statt Vermittlung: </w:t>
      </w:r>
      <w:r>
        <w:t xml:space="preserve">Arbeitnehmerüberlassung erfordert eine AÜG-Erlaubnis der BA (zunächst 1 Jahr, nach 3 Jahren unbefristet) – strategisch entscheiden, ob die Tochter vermittelt (Provision) oder überlässt (AÜG-Pflichten, Equal Pay).</w:t>
      </w:r>
    </w:p>
    <w:p>
      <w:pPr>
        <w:pStyle w:val="ListParagraph"/>
        <w:numPr>
          <w:ilvl w:val="0"/>
          <w:numId w:val="2"/>
        </w:numPr>
        <w:spacing w:after="60" w:line="264"/>
        <w:jc w:val="both"/>
      </w:pPr>
      <w:r>
        <w:rPr>
          <w:b/>
          <w:bCs/>
        </w:rPr>
        <w:t xml:space="preserve">Auslandsstandorte: </w:t>
      </w:r>
      <w:r>
        <w:t xml:space="preserve">lokale Gesellschafts- und Bildungsregistrierungen (TESDA/CHED bzw. CPE/SSG), Arbeits- und Aufenthaltserlaubnisse für entsandte deutsche Dozenten, Sozialversicherung bei Entsendung (Ausstrahlung § 4 SGB IV), Auslandskranken-/Unfallversicherung, lokale Arbeitsschutz- und Brandschutzauflagen.</w:t>
      </w:r>
    </w:p>
    <w:p>
      <w:pPr>
        <w:pStyle w:val="ListParagraph"/>
        <w:numPr>
          <w:ilvl w:val="0"/>
          <w:numId w:val="2"/>
        </w:numPr>
        <w:spacing w:after="60" w:line="264"/>
        <w:jc w:val="both"/>
      </w:pPr>
      <w:r>
        <w:rPr>
          <w:b/>
          <w:bCs/>
        </w:rPr>
        <w:t xml:space="preserve">Personal-Compliance quer durch alle Bereiche: </w:t>
      </w:r>
      <w:r>
        <w:t xml:space="preserve">erweiterte Führungszeugnisse bei Kontakt mit Minderjährigen und Schutzbefohlenen (§ 30a BZRG, § 72a SGB VIII), Masern-Impfnachweis in Gesundheits-/Bildungseinrichtungen (§ 20 IfSG), Belehrungen nach IfSG (Gemeinschaftsverpflegung), jährliche Datenschutz- und Arbeitsschutzunterweisungen.</w:t>
      </w:r>
    </w:p>
    <w:p>
      <w:pPr>
        <w:pStyle w:val="Heading1"/>
        <w:spacing w:after="140" w:before="320"/>
      </w:pPr>
      <w:r>
        <w:rPr>
          <w:color w:val="1F4E5F"/>
        </w:rPr>
        <w:t xml:space="preserve">6. Internationales Geschäftsfeld: Ausbildung im Ausland und Fachkräftegewinnung</w:t>
      </w:r>
    </w:p>
    <w:p>
      <w:pPr>
        <w:pStyle w:val="Heading2"/>
        <w:spacing w:after="100" w:before="240"/>
      </w:pPr>
      <w:r>
        <w:rPr>
          <w:color w:val="1F4E5F"/>
        </w:rPr>
        <w:t xml:space="preserve">6.1 Geschäftsmodell</w:t>
      </w:r>
    </w:p>
    <w:p>
      <w:pPr>
        <w:spacing w:after="120" w:line="276"/>
        <w:jc w:val="both"/>
      </w:pPr>
      <w:r>
        <w:t xml:space="preserve">Deutsche Fachdozenten (Pflegepädagogen, Praxisanleiter, Hotelfachausbilder) schulen Kandidaten vor Ort auf den Philippinen (Ausbildungsstandort, großes Angebot examinierter Pflegekräfte) und in Singapur (Hub/Premium-Standort Hotellerie). Curriculum von Anfang an auf die deutsche Anerkennung zugeschnitten: fachliche Angleichung an die deutsche Pflegeausbildung bzw. Hotelfach-Standards plus Deutschkurs bis B1/B2 im Herkunftsland. Nach bestandener Sprachprüfung und Vorab-Gleichwertigkeitsprüfung erfolgt die Einreise; Beschäftigung in eigenen Einrichtungen oder Vermittlung an Kliniken, Pflegeheime und Hotels.</w:t>
      </w:r>
    </w:p>
    <w:p>
      <w:pPr>
        <w:spacing w:after="120" w:line="276"/>
        <w:jc w:val="both"/>
      </w:pPr>
      <w:r>
        <w:t xml:space="preserve">Kostenvorteil: Ausbildung und Sprachqualifizierung im Ausland kosten einen Bruchteil deutscher Sätze; die Wertschöpfung (Ausbildungspauschale + Vermittlungshonorar von typ. 8.000–15.000 €/Pflegekraft, gezahlt vom Arbeitgeber) bleibt im Unternehmensverbund. Eigene Reha-/Pflegeeinrichtungen sichern Abnahme, Praxiseinsätze und Referenzen. Der Vertrieb läuft über ein eigenes Arbeitgeberportal: Hotels, Restaurants, Kliniken und Pflegeeinrichtungen durchsuchen anonymisierte Kandidatenprofile mit prognostiziertem Starttermin (live berechnet aus Anerkennungs- und Visumsstatus), reservieren verbindlich und verfolgen den Fortschritt ihres Kandidaten in Echtzeit – dieselbe Transparenz, die auch die Kostenträger erhalten.</w:t>
      </w:r>
    </w:p>
    <w:p>
      <w:pPr>
        <w:pStyle w:val="Heading2"/>
        <w:spacing w:after="100" w:before="240"/>
      </w:pPr>
      <w:r>
        <w:rPr>
          <w:color w:val="1F4E5F"/>
        </w:rPr>
        <w:t xml:space="preserve">6.2 Rechtliche Anforderungen Deutschland</w:t>
      </w:r>
    </w:p>
    <w:p>
      <w:pPr>
        <w:pStyle w:val="ListParagraph"/>
        <w:numPr>
          <w:ilvl w:val="0"/>
          <w:numId w:val="2"/>
        </w:numPr>
        <w:spacing w:after="60" w:line="264"/>
        <w:jc w:val="both"/>
      </w:pPr>
      <w:r>
        <w:rPr>
          <w:b/>
          <w:bCs/>
        </w:rPr>
        <w:t xml:space="preserve">Berufsanerkennung Pflege: </w:t>
      </w:r>
      <w:r>
        <w:t xml:space="preserve">reglementierter Beruf – Gleichwertigkeitsprüfung durch die zuständige Landesbehörde; bei Defiziten Anpassungslehrgang oder Kenntnisprüfung. Sprachnachweis i. d. R. B2 (mind. B1 je nach Land). Hotelfach ist nicht reglementiert – hier genügt für das Fachkräfte-Visum die IHK-Gleichwertigkeitsfeststellung der Berufsausbildung (mind. 2-jährig).</w:t>
      </w:r>
    </w:p>
    <w:p>
      <w:pPr>
        <w:pStyle w:val="ListParagraph"/>
        <w:numPr>
          <w:ilvl w:val="0"/>
          <w:numId w:val="2"/>
        </w:numPr>
        <w:spacing w:after="60" w:line="264"/>
        <w:jc w:val="both"/>
      </w:pPr>
      <w:r>
        <w:rPr>
          <w:b/>
          <w:bCs/>
        </w:rPr>
        <w:t xml:space="preserve">Aufenthaltsrecht: </w:t>
      </w:r>
      <w:r>
        <w:t xml:space="preserve">Visum als Fachkraft (§ 18a AufenthG), Anerkennungspartnerschaft (§ 16d AufenthG: Einreise vor abgeschlossener Anerkennung, Arbeiten parallel zum Verfahren) und beschleunigtes Fachkräfteverfahren (§ 81a AufenthG, Ziel max. 4 Monate, vom Arbeitgeber betrieben).</w:t>
      </w:r>
    </w:p>
    <w:p>
      <w:pPr>
        <w:pStyle w:val="ListParagraph"/>
        <w:numPr>
          <w:ilvl w:val="0"/>
          <w:numId w:val="2"/>
        </w:numPr>
        <w:spacing w:after="60" w:line="264"/>
        <w:jc w:val="both"/>
      </w:pPr>
      <w:r>
        <w:rPr>
          <w:b/>
          <w:bCs/>
        </w:rPr>
        <w:t xml:space="preserve">Anwerbe-Restriktionen (§ 38 BeschV): </w:t>
      </w:r>
      <w:r>
        <w:t xml:space="preserve">aus Staaten der WHO-Schutzliste dürfen Gesundheitsfachkräfte nur durch die BA vermittelt werden. Die Philippinen stehen nicht auf dieser Liste – private Anwerbung ist zulässig, aber nur über das philippinische Regulierungssystem: Kooperation mit einer vom Department of Migrant Workers (DMW, vormals POEA) lizenzierten Agentur bzw. eigene DMW-Lizenz, Einhaltung der bilateralen Standards (vgl. Triple-Win-Programm von BA/GIZ als Referenzmodell).</w:t>
      </w:r>
    </w:p>
    <w:p>
      <w:pPr>
        <w:pStyle w:val="ListParagraph"/>
        <w:numPr>
          <w:ilvl w:val="0"/>
          <w:numId w:val="2"/>
        </w:numPr>
        <w:spacing w:after="60" w:line="264"/>
        <w:jc w:val="both"/>
      </w:pPr>
      <w:r>
        <w:rPr>
          <w:b/>
          <w:bCs/>
        </w:rPr>
        <w:t xml:space="preserve">Gütezeichen „Faire Anwerbung Pflege Deutschland“: </w:t>
      </w:r>
      <w:r>
        <w:t xml:space="preserve">staatliches RAL-Gütezeichen (BMG/KDA/DKF) für private Vermittler und selbst anwerbende Einrichtungen. Formal freiwillig, faktisch Marktstandard – Kliniken und Pflegeheime verlangen es zunehmend. Kernpflichten: Employer-Pays-Prinzip (keinerlei Kosten für die Fachkraft, auch nicht für Sprachkurse), Transparenz, Verträge in verständlicher Sprache, keine überhöhten Bindungs-/Rückzahlungsklauseln.</w:t>
      </w:r>
    </w:p>
    <w:p>
      <w:pPr>
        <w:pStyle w:val="ListParagraph"/>
        <w:numPr>
          <w:ilvl w:val="0"/>
          <w:numId w:val="2"/>
        </w:numPr>
        <w:spacing w:after="60" w:line="264"/>
        <w:jc w:val="both"/>
      </w:pPr>
      <w:r>
        <w:rPr>
          <w:b/>
          <w:bCs/>
        </w:rPr>
        <w:t xml:space="preserve">Arbeitsrecht: </w:t>
      </w:r>
      <w:r>
        <w:t xml:space="preserve">Rückzahlungs-/Bindungsklauseln für Aus- und Weiterbildungskosten sind nur in engen Grenzen zulässig (Rechtsprechung: Staffelung, Verhältnismäßigkeit); Bindung besser über attraktive Arbeitsbedingungen und Karrierepfade in eigenen Einrichtungen.</w:t>
      </w:r>
    </w:p>
    <w:p>
      <w:pPr>
        <w:pStyle w:val="Heading2"/>
        <w:spacing w:after="100" w:before="240"/>
      </w:pPr>
      <w:r>
        <w:rPr>
          <w:color w:val="1F4E5F"/>
        </w:rPr>
        <w:t xml:space="preserve">6.3 Rechtliche Anforderungen im Ausland</w:t>
      </w:r>
    </w:p>
    <w:p>
      <w:pPr>
        <w:pStyle w:val="ListParagraph"/>
        <w:numPr>
          <w:ilvl w:val="0"/>
          <w:numId w:val="2"/>
        </w:numPr>
        <w:spacing w:after="60" w:line="264"/>
        <w:jc w:val="both"/>
      </w:pPr>
      <w:r>
        <w:rPr>
          <w:b/>
          <w:bCs/>
        </w:rPr>
        <w:t xml:space="preserve">Philippinen: </w:t>
      </w:r>
      <w:r>
        <w:t xml:space="preserve">Ausbildungsbetrieb erfordert lokale Gesellschaft oder Partnerschule mit TESDA- (berufliche Bildung) bzw. CHED-Akkreditierung (Hochschule/Pflege); Auslandsvermittlung von Filipinos nur über eine DMW-lizenzierte Recruitment Agency; Ethik- und Gebührenregeln (keine Placement Fee zulasten der Fachkraft).</w:t>
      </w:r>
    </w:p>
    <w:p>
      <w:pPr>
        <w:pStyle w:val="ListParagraph"/>
        <w:numPr>
          <w:ilvl w:val="0"/>
          <w:numId w:val="2"/>
        </w:numPr>
        <w:spacing w:after="60" w:line="264"/>
        <w:jc w:val="both"/>
      </w:pPr>
      <w:r>
        <w:rPr>
          <w:b/>
          <w:bCs/>
        </w:rPr>
        <w:t xml:space="preserve">Singapur: </w:t>
      </w:r>
      <w:r>
        <w:t xml:space="preserve">privater Bildungsanbieter benötigt Registrierung beim Committee for Private Education (CPE/SSG); Standort eher als regionales Trainings-Hub und für Hotellerie-Kooperationen (Hotelfachschulen, Praktika in internationalen Häusern) geeignet – Anwerbung ins Ausland spielt dort kaum eine Rolle.</w:t>
      </w:r>
    </w:p>
    <w:p>
      <w:pPr>
        <w:pStyle w:val="ListParagraph"/>
        <w:numPr>
          <w:ilvl w:val="0"/>
          <w:numId w:val="2"/>
        </w:numPr>
        <w:spacing w:after="60" w:line="264"/>
        <w:jc w:val="both"/>
      </w:pPr>
      <w:r>
        <w:rPr>
          <w:b/>
          <w:bCs/>
        </w:rPr>
        <w:t xml:space="preserve">Qualitätssicherung: </w:t>
      </w:r>
      <w:r>
        <w:t xml:space="preserve">einheitliches QM über alle Standorte (ISO 9001-Matrix-Zertifizierung), deutsche Curricula, Prüfungsvorbereitung auf Kenntnisprüfung und telc B1/B2 Pflege.</w:t>
      </w:r>
    </w:p>
    <w:p>
      <w:pPr>
        <w:pStyle w:val="Heading2"/>
        <w:spacing w:after="100" w:before="240"/>
      </w:pPr>
      <w:r>
        <w:rPr>
          <w:color w:val="1F4E5F"/>
        </w:rPr>
        <w:t xml:space="preserve">6.4 Eigene Einrichtungen (Reha, Pflege)</w:t>
      </w:r>
    </w:p>
    <w:p>
      <w:pPr>
        <w:pStyle w:val="ListParagraph"/>
        <w:numPr>
          <w:ilvl w:val="0"/>
          <w:numId w:val="2"/>
        </w:numPr>
        <w:spacing w:after="60" w:line="264"/>
        <w:jc w:val="both"/>
      </w:pPr>
      <w:r>
        <w:rPr>
          <w:b/>
          <w:bCs/>
        </w:rPr>
        <w:t xml:space="preserve">Zulassung: </w:t>
      </w:r>
      <w:r>
        <w:t xml:space="preserve">Reha-Einrichtungen benötigen Versorgungsverträge mit Renten-/Krankenversicherung (§ 111 SGB V, § 15 SGB VI); Pflegeeinrichtungen Versorgungsvertrag nach § 72 SGB XI plus landesrechtliche Anforderungen (Heimrecht, Fachkraftquote, Pflegedienstleitung).</w:t>
      </w:r>
    </w:p>
    <w:p>
      <w:pPr>
        <w:pStyle w:val="ListParagraph"/>
        <w:numPr>
          <w:ilvl w:val="0"/>
          <w:numId w:val="2"/>
        </w:numPr>
        <w:spacing w:after="60" w:line="264"/>
        <w:jc w:val="both"/>
      </w:pPr>
      <w:r>
        <w:rPr>
          <w:b/>
          <w:bCs/>
        </w:rPr>
        <w:t xml:space="preserve">Synergie: </w:t>
      </w:r>
      <w:r>
        <w:t xml:space="preserve">Einrichtungen dienen als anerkannte Praxis-Einsatzorte für Anpassungslehrgänge, garantieren Arbeitsplätze für die eigenen Absolventen und liefern der Bildungssparte Praktikums- und Prüfungsplätze.</w:t>
      </w:r>
    </w:p>
    <w:p>
      <w:pPr>
        <w:pStyle w:val="ListParagraph"/>
        <w:numPr>
          <w:ilvl w:val="0"/>
          <w:numId w:val="2"/>
        </w:numPr>
        <w:spacing w:after="60" w:line="264"/>
        <w:jc w:val="both"/>
      </w:pPr>
      <w:r>
        <w:rPr>
          <w:b/>
          <w:bCs/>
        </w:rPr>
        <w:t xml:space="preserve">Medizinische Philosophie – der Arzt als Ansprechpartner: </w:t>
      </w:r>
      <w:r>
        <w:t xml:space="preserve">In den klassischen Angeboten ist etwas verloren gegangen: das ärztliche Gespräch. Kurz zum Reha-Arzt hinein, nach zwei Minuten wieder hinaus – als ließen sich Körper und Psyche trennen. In den eigenen Einrichtungen gilt das Gegenmodell: feste ärztliche Bezugsperson je Rehabilitand, reservierte Gesprächszeiten für Aufnahme-, Verlaufs- und Abschlussgespräch, sprechende Medizin nach dem biopsychosozialen Verständnis – Physisches und Psychisches werden gemeinsam behandelt, weil sie sich nicht trennen lassen. Bezahlbar wird das durch KAȲȲA OS: Die KI nimmt den Ärzten Dokumentation und Berichtswesen ab, die gewonnene Zeit gehört dem Menschen. Das ist kein Kostenfaktor, sondern Qualitätsmerkmal, Belegungsargument und Voraussetzung des Reha-Erfolgs.</w:t>
      </w:r>
    </w:p>
    <w:p>
      <w:pPr>
        <w:pStyle w:val="ListParagraph"/>
        <w:numPr>
          <w:ilvl w:val="0"/>
          <w:numId w:val="2"/>
        </w:numPr>
        <w:spacing w:after="60" w:line="264"/>
        <w:jc w:val="both"/>
      </w:pPr>
      <w:r>
        <w:rPr>
          <w:b/>
          <w:bCs/>
        </w:rPr>
        <w:t xml:space="preserve">Empfehlung: </w:t>
      </w:r>
      <w:r>
        <w:t xml:space="preserve">Einstieg über Übernahme/Beteiligung an einer bestehenden Einrichtung statt Neubau – schnellerer Marktzugang, vorhandene Versorgungsverträge.</w:t>
      </w:r>
    </w:p>
    <w:p>
      <w:pPr>
        <w:pStyle w:val="Heading2"/>
        <w:spacing w:after="100" w:before="240"/>
      </w:pPr>
      <w:r>
        <w:rPr>
          <w:color w:val="1F4E5F"/>
        </w:rPr>
        <w:t xml:space="preserve">6.5 Praxisbeispiel: Integration einer Reha-Einrichtung mit 400 Zimmern</w:t>
      </w:r>
    </w:p>
    <w:p>
      <w:pPr>
        <w:spacing w:after="120" w:line="276"/>
        <w:jc w:val="both"/>
      </w:pPr>
      <w:r>
        <w:t xml:space="preserve">Was bedeutet die Übernahme einer großen Bestandseinrichtung konkret? Beispiel: Reha-Klinik mit 400 Zimmern (≈ 400 Betten, drei bis vier Indikationen wie Orthopädie, Kardiologie, Psychosomatik, Neurologie). Umsatzpotenzial bei ~150 € Tagessatz und 90 % Auslastung: rund 19–20 Mio. € pro Jahr.</w:t>
      </w:r>
    </w:p>
    <w:p>
      <w:pPr>
        <w:pStyle w:val="ListParagraph"/>
        <w:numPr>
          <w:ilvl w:val="0"/>
          <w:numId w:val="2"/>
        </w:numPr>
        <w:spacing w:after="60" w:line="264"/>
        <w:jc w:val="both"/>
      </w:pPr>
      <w:r>
        <w:rPr>
          <w:b/>
          <w:bCs/>
        </w:rPr>
        <w:t xml:space="preserve">Zulassungen und Verträge: </w:t>
      </w:r>
      <w:r>
        <w:t xml:space="preserve">Konzession als Privatkrankenanstalt (§ 30 GewO), Versorgungsvertrag § 111 SGB V (Krankenkassen), Belegungs-/Vergütungsvereinbarungen mit der DRV (§ 15 SGB VI), ggf. BG-Zulassung (BGSW) und Beihilfefähigkeit. Bei Übernahme: Verträge gehen nicht automatisch über – Zustimmung der Kostenträger frühzeitig sichern; Personal geht per Betriebsübergang (§ 613a BGB) mit allen Besitzständen über; baurechtliche Nutzung, Brandschutzkonzept und Konzessionsvoraussetzungen neu prüfen.</w:t>
      </w:r>
    </w:p>
    <w:p>
      <w:pPr>
        <w:pStyle w:val="ListParagraph"/>
        <w:numPr>
          <w:ilvl w:val="0"/>
          <w:numId w:val="2"/>
        </w:numPr>
        <w:spacing w:after="60" w:line="264"/>
        <w:jc w:val="both"/>
      </w:pPr>
      <w:r>
        <w:rPr>
          <w:b/>
          <w:bCs/>
        </w:rPr>
        <w:t xml:space="preserve">Zertifizierungen (Pflicht und Standard): </w:t>
      </w:r>
      <w:r>
        <w:t xml:space="preserve">verpflichtende Zertifizierung nach § 37 Abs. 3 SGB IX über ein BAR-anerkanntes Verfahren (z. B. DEGEMED, IQMP-Reha) – ohne sie keine DRV-Belegung; externe Qualitätssicherung der GKV (QS-Reha) und der DRV (Peer-Review, KTL-Leistungsdokumentation, Reha-Therapiestandards); dazu ISO-9001-Basis im Verbund mit dem Träger-QM sowie betriebliche Pflichten: Hygieneplan nach IfSG, HACCP in der Großküche, Medizinprodukte-Betreiberverordnung, Trinkwasser-/Legionellenprüfung, Aufzugs- und Anlagenprüfungen, Arbeitsschutz.</w:t>
      </w:r>
    </w:p>
    <w:p>
      <w:pPr>
        <w:pStyle w:val="ListParagraph"/>
        <w:numPr>
          <w:ilvl w:val="0"/>
          <w:numId w:val="2"/>
        </w:numPr>
        <w:spacing w:after="60" w:line="264"/>
        <w:jc w:val="both"/>
      </w:pPr>
      <w:r>
        <w:rPr>
          <w:b/>
          <w:bCs/>
        </w:rPr>
        <w:t xml:space="preserve">Personal (Größenordnung 280–330 VZÄ): </w:t>
      </w:r>
      <w:r>
        <w:t xml:space="preserve">Ärztliche Leitung als Facharzt je Indikation plus Ärzteteam (ca. 10–14), Pflege mit Pflegedienstleitung und Fachkraftquote (60–90), Therapeuten – Physio, Ergo, Sport, Psychologie, Logopädie – (60–80), Sozialdienst und Ernährungsberatung, Küche/Hauswirtschaft/Technik (60–80); Personalschlüssel je Indikation nach den Strukturanforderungen der DRV. Pflichtfunktionen: Hygienefachkraft und hygienebeauftragter Arzt, QM-, Medizinprodukte-, Datenschutz- und Brandschutzbeauftragte, Betriebsarzt und Fachkraft für Arbeitssicherheit, Praxisanleiter für die Ausbildung. Klassisch kommen 30–50 VZÄ Verwaltung hinzu – genau hier setzt KAȲȲA OS an.</w:t>
      </w:r>
    </w:p>
    <w:p>
      <w:pPr>
        <w:spacing w:after="120" w:line="276"/>
        <w:jc w:val="both"/>
      </w:pPr>
      <w:r>
        <w:t xml:space="preserve">Rentabilitätshebel – wie eine 400-Zimmer-Einrichtung profitabler wird, ohne am Rehabilitanden zu sparen (Branchenschnitt: nur ~3,3 % EBITDA-Marge): Erstens Auslastung als größter Hebel – jeder Prozentpunkt Belegung entspricht rund 200 T€ Jahresumsatz; digitales Zuweisermanagement mit Aufnahmezusage binnen 24 Stunden (AHB-Verfahren), direkte Drähte zu Klinik-Sozialdiensten und aktives Wunsch- und Wahlrecht-Marketing füllen Betten, die heute an träge Aufnahmeprozesse verloren gehen. Zweitens Verwaltung: KAȲȲA OS ersetzt den Großteil der 30–50 Verwaltungs-VZÄ (Aufnahme, Abrechnung per Datenaustausch mit den Kassen, KTL-Dokumentation, Berichtswesen) – allein das sind 1,5–2,5 Mio. € p. a. Drittens Personalkosten intelligent statt brutal: teure Zeitarbeit (Faktor 1,5–2) durch die eigene internationale Fachkräfte-Pipeline ersetzen, Fluktuation über Wohncampus und Bindungsmodell senken, KI-gestützte Dienst- und Ausfallplanung. Viertens Therapieauslastung: KI-optimierte Therapieplanung im Rahmen der Reha-Therapiestandards hebt die Produktivstunden der Therapeuten und senkt Leerzeiten. Fünftens Zusatzerlöse aus vorhandener Infrastruktur: Nachsorgeprogramme (IRENA/T-RENA), Präventionsangebote (z. B. RV Fit), Selbstzahler-Gesundheitswochen in belegungsschwachen Zeiten, Praxisplätze für Kenntnisprüfungen und die eigene Pflegeschule, Personalwohnen. Sechstens Indikations- und Belegungsmix aktiv steuern – inklusive Adaptionsplätzen aus dem eigenen Suchtprogramm. Siebtens Bewirtschaftung: Energiecontracting/PV auf großer Dachfläche, digitale Speiseplanung gegen Food-Waste, Einkaufsbündelung. Achtens: Mit revisionssicheren Ist-Kosten verhandelt es sich besser – belegbare Kostendaten sind das stärkste Argument in Vergütungsverhandlungen mit DRV und Kassen. Und ein bewusster Nicht-Hebel: Die ärztliche Gesprächszeit wird nicht gekürzt, sondern ausgeweitet – der Arzt als echter Ansprechpartner statt Zwei-Minuten-Visite ist Qualitätsmerkmal und Belegungsargument zugleich, finanziert aus der eingesparten Verwaltung. Realistisches Ziel: EBITDA-Marge von 3–4 % auf 8–12 % in drei Jahren – transparent belegt statt herausgepresst.</w:t>
      </w:r>
    </w:p>
    <w:p>
      <w:pPr>
        <w:pStyle w:val="Heading2"/>
        <w:spacing w:after="100" w:before="240"/>
      </w:pPr>
      <w:r>
        <w:rPr>
          <w:color w:val="1F4E5F"/>
        </w:rPr>
        <w:t xml:space="preserve">6.6 Berufliche Wiedereingliederung suchtkranker Menschen (Auslandsmodell)</w:t>
      </w:r>
    </w:p>
    <w:p>
      <w:pPr>
        <w:spacing w:after="120" w:line="276"/>
        <w:jc w:val="both"/>
      </w:pPr>
      <w:r>
        <w:t xml:space="preserve">Konzept: Teilnehmer, die Entzug und Entwöhnung abgeschlossen haben, absolvieren die anschließende berufliche Qualifizierung/Ausbildung nicht im alten Umfeld, sondern an den Auslandsstandorten des Unternehmens. Der vollständige Wechsel von Umgebung und sozialem Umfeld trennt vom bisherigen, sucht­geprägten Alltag; ein restriktives Umfeld mit geringer Verfügbarkeit von Rauschmitteln unterstützt die Abstinenz. Der Neuanfang ist für den Teilnehmer real erlebbar – das erhöht Motivation und Durchhaltequote.</w:t>
      </w:r>
    </w:p>
    <w:p>
      <w:pPr>
        <w:spacing w:after="120" w:line="276"/>
        <w:jc w:val="both"/>
      </w:pPr>
      <w:r>
        <w:t xml:space="preserve">Problem der Inlandsmaßnahmen: Nach dem Entzug kehren Teilnehmer in Wohnung, Freundeskreis und Alltagsroutinen zurück; Ausbildungsmaßnahmen werden zwar formal besucht, scheitern aber regelmäßig am Rückfall ins alte Milieu. Die Suchtreha kennt dieses Problem (Adaptionsphase als ortsferner Übergang) – das Auslandsmodell führt diesen Gedanken konsequent weiter und verbindet ihn mit einer vollwertigen Berufsausbildung nach deutschen Standards inklusive Anerkennung.</w:t>
      </w:r>
    </w:p>
    <w:p>
      <w:pPr>
        <w:spacing w:after="120" w:line="276"/>
        <w:jc w:val="both"/>
      </w:pPr>
      <w:r>
        <w:t xml:space="preserve">Rechtlicher Hebel: Nach § 31 SGB IX können Sach- und Dienstleistungen der Rehabilitation auch im Ausland erbracht werden, wenn sie dort bei zumindest gleicher Qualität und Wirksamkeit wirtschaftlicher ausgeführt werden können – exakt das Kostenargument dieses Geschäftsmodells. In der Praxis entscheiden die Kostenträger (v. a. DRV) im Einzelfall restriktiv; der realistische Einstieg ist daher ein Modellprojekt im Bundesprogramm rehapro (rund 1 Mrd. € für innovative Teilhabe-Projekte von DRV und Jobcentern, darunter bereits ein Dutzend Suchtreha-Projekte) mit wissenschaftlicher Begleitung, um Wirksamkeit und Kostenvorteil zu belegen.</w:t>
      </w:r>
    </w:p>
    <w:p>
      <w:pPr>
        <w:spacing w:after="120" w:line="276"/>
        <w:jc w:val="both"/>
      </w:pPr>
      <w:r>
        <w:t xml:space="preserve">Fachliche Leitplanken: Aufnahme erst nach abgeschlossener Entwöhnung und ärztlicher Eignungsfeststellung; suchttherapeutische Begleitung vor Ort (deutschsprachige Sucht-/Sozialtherapeuten, Rückfallprophylaxe-Programm, Selbsthilfegruppen); Kooperation mit deutschen Fachkliniken für Zuweisung und Nachsorge; Krisen- und Rückholkonzept – ein Rückfall im Gastland kann dort erhebliche strafrechtliche Folgen haben und erfordert sofortiges professionelles Handeln. Nach Rückkehr: Übergang in Beschäftigung in eigenen Einrichtungen oder Vermittlung, plus ambulante Nachsorge.</w:t>
      </w:r>
    </w:p>
    <w:p>
      <w:pPr>
        <w:pStyle w:val="Heading2"/>
        <w:spacing w:after="100" w:before="240"/>
      </w:pPr>
      <w:r>
        <w:rPr>
          <w:color w:val="1F4E5F"/>
        </w:rPr>
        <w:t xml:space="preserve">6.7 Prüfungs- und Anerkennungsstrategie: Ausbildung im Ausland, Prüfung in Deutschland</w:t>
      </w:r>
    </w:p>
    <w:p>
      <w:pPr>
        <w:spacing w:after="120" w:line="276"/>
        <w:jc w:val="both"/>
      </w:pPr>
      <w:r>
        <w:t xml:space="preserve">Ein deutscher Berufsabschluss entsteht ausschließlich durch die Prüfung vor der zuständigen deutschen Stelle (IHK/HWK bzw. Landesbehörde) – im Ausland ist er nicht erwerbbar. Das Geschäftsmodell nutzt dies als Synergie: Die Wissens- und Praxisvermittlung erfolgt kostengünstig im Ausland nach deutschem Curriculum, die Prüfungs- und Abschlussphase (ca. 3–6 Monate) in den eigenen deutschen Einrichtungen. Vier Wege zum anerkannten Abschluss:</w:t>
      </w:r>
    </w:p>
    <w:p>
      <w:pPr>
        <w:pStyle w:val="ListParagraph"/>
        <w:numPr>
          <w:ilvl w:val="0"/>
          <w:numId w:val="2"/>
        </w:numPr>
        <w:spacing w:after="60" w:line="264"/>
        <w:jc w:val="both"/>
      </w:pPr>
      <w:r>
        <w:rPr>
          <w:b/>
          <w:bCs/>
        </w:rPr>
        <w:t xml:space="preserve">Externenprüfung (§ 45 Abs. 2 BBiG / § 37 Abs. 2 HwO): </w:t>
      </w:r>
      <w:r>
        <w:t xml:space="preserve">Zulassung zur regulären Abschlussprüfung ohne deutsches Ausbildungsverhältnis – bei Nachweis des 1,5-Fachen der Ausbildungszeit an Berufspraxis oder wenn die berufliche Handlungsfähigkeit anderweitig glaubhaft gemacht wird (z. B. strukturierte Auslandsausbildung mit dokumentierten Lernstandsnachweisen, Berichtsheften, Zwischentests). Zulassung ist Ermessensentscheidung der Kammer – vorab schriftlich mit IHK/HWK abstimmen und das Curriculum gemeinsam festlegen.</w:t>
      </w:r>
    </w:p>
    <w:p>
      <w:pPr>
        <w:pStyle w:val="ListParagraph"/>
        <w:numPr>
          <w:ilvl w:val="0"/>
          <w:numId w:val="2"/>
        </w:numPr>
        <w:spacing w:after="60" w:line="264"/>
        <w:jc w:val="both"/>
      </w:pPr>
      <w:r>
        <w:rPr>
          <w:b/>
          <w:bCs/>
        </w:rPr>
        <w:t xml:space="preserve">Validierungsverfahren (BVaDiG, seit 1.1.2025, §§ 50a ff. BBiG): </w:t>
      </w:r>
      <w:r>
        <w:t xml:space="preserve">Kammern stellen die Vergleichbarkeit der beruflichen Handlungsfähigkeit mit einem Ausbildungsberuf formell fest (ab 25 Jahren). Bei vollständiger Vergleichbarkeit besteht Anspruch auf Zulassung zur Externenprüfung – ein neuer, planbarer Rechtsweg, wie geschaffen für das Auslandsmodell.</w:t>
      </w:r>
    </w:p>
    <w:p>
      <w:pPr>
        <w:pStyle w:val="ListParagraph"/>
        <w:numPr>
          <w:ilvl w:val="0"/>
          <w:numId w:val="2"/>
        </w:numPr>
        <w:spacing w:after="60" w:line="264"/>
        <w:jc w:val="both"/>
      </w:pPr>
      <w:r>
        <w:rPr>
          <w:b/>
          <w:bCs/>
        </w:rPr>
        <w:t xml:space="preserve">Reglementierte Berufe (Pflege): </w:t>
      </w:r>
      <w:r>
        <w:t xml:space="preserve">Gleichwertigkeitsprüfung der Landesbehörde; Defizite werden über Kenntnisprüfung oder Anpassungslehrgang in Deutschland ausgeglichen – die eigenen Reha-/Pflegeeinrichtungen dienen als anerkannte Praxisorte dafür.</w:t>
      </w:r>
    </w:p>
    <w:p>
      <w:pPr>
        <w:pStyle w:val="ListParagraph"/>
        <w:numPr>
          <w:ilvl w:val="0"/>
          <w:numId w:val="2"/>
        </w:numPr>
        <w:spacing w:after="60" w:line="264"/>
        <w:jc w:val="both"/>
      </w:pPr>
      <w:r>
        <w:rPr>
          <w:b/>
          <w:bCs/>
        </w:rPr>
        <w:t xml:space="preserve">Teilqualifikationen (TQ): </w:t>
      </w:r>
      <w:r>
        <w:t xml:space="preserve">bundeseinheitliche TQ-Module mit IHK-Kompetenzfeststellung als Zwischenschritte – verwertbar auf dem Arbeitsmarkt, stapelbar bis zur Externenprüfung; senkt das Risiko, falls Teilnehmer die Vollprüfung (noch) nicht schaffen.</w:t>
      </w:r>
    </w:p>
    <w:p>
      <w:pPr>
        <w:spacing w:after="120" w:line="276"/>
        <w:jc w:val="both"/>
      </w:pPr>
      <w:r>
        <w:t xml:space="preserve">Voraussetzungen im Ausland dafür: Ausbildung durch AEVO-qualifizierte deutsche Ausbilder, deutsches Curriculum mit prüfungsfester Dokumentation, Praxisphasen in geeigneten Betrieben (Partnerhotels, Kliniken), Deutschförderung parallel. Umgekehrte Synergie: Über Erasmus+ und das BMBF-Programm AusbildungWeltweit können auch deutsche Auszubildende geförderte Praxisphasen am eigenen Ausbildungscampus im Ausland absolvieren – zusätzliche Auslastung der Standorte.</w:t>
      </w:r>
    </w:p>
    <w:p>
      <w:pPr>
        <w:pStyle w:val="Heading2"/>
        <w:spacing w:after="100" w:before="240"/>
      </w:pPr>
      <w:r>
        <w:rPr>
          <w:color w:val="1F4E5F"/>
        </w:rPr>
        <w:t xml:space="preserve">6.8 Digital vernetzter Ausbildungscampus im Ausland – prüfbar wie ein Inlandsstandort</w:t>
      </w:r>
    </w:p>
    <w:p>
      <w:pPr>
        <w:spacing w:after="120" w:line="276"/>
        <w:jc w:val="both"/>
      </w:pPr>
      <w:r>
        <w:t xml:space="preserve">Der Ausbildungscampus im Ausland ist über die digitale Zentrale in Deutschland vollständig in die Systeme des Unternehmens eingebunden: gleiche Teilnehmerakte, gleiche Anwesenheits- und Leistungserfassung, gleiche revisionssichere Dokumentation – in Echtzeit, standortunabhängig. Das gilt für alle Teilnehmergruppen (lokale Fachkräfte-Kandidaten ebenso wie Teilnehmer der Suchteingliederung im Ausland) und ausdrücklich auch für das eingesetzte Personal: Einsatzzeiten, Betreuungsschlüssel und Personalkosten, die gegenüber Kostenträgern geltend gemacht werden, sind transparent und belegbar nachgewiesen.</w:t>
      </w:r>
    </w:p>
    <w:p>
      <w:pPr>
        <w:spacing w:after="120" w:line="276"/>
        <w:jc w:val="both"/>
      </w:pPr>
      <w:r>
        <w:t xml:space="preserve">Das adressiert eine bekannte Schwachstelle: Anbieter mit Auslandsstandorten waren für deutsche Kostenträger bisher nur bedingt prüfbar – man musste sich weitgehend auf die Angaben des Trägers verlassen. Diesem Zustand wird der im Jahr 2026 zu Recht geltende Anspruch an Transparenz und Kostenkontrolle öffentlicher Mittel nicht mehr gerecht. Der digital vernetzte Ausbildungscampus im Ausland löst das strukturell: Kostenträger erhalten über das Dashboard denselben Einblick wie bei einer Inlandsmaßnahme, jede abgerechnete Leistung ist bis zum Einzelbeleg rückverfolgbar. Auslandserbringung nach § 31 SGB IX wird damit erstmals seriös kontrollierbar – ein zentrales Argument gegenüber DRV, BA und Projektgebern.</w:t>
      </w:r>
    </w:p>
    <w:p>
      <w:pPr>
        <w:pStyle w:val="Heading1"/>
        <w:spacing w:after="140" w:before="320"/>
      </w:pPr>
      <w:r>
        <w:rPr>
          <w:color w:val="1F4E5F"/>
        </w:rPr>
        <w:t xml:space="preserve">7. Markt und Wettbewerb</w:t>
      </w:r>
    </w:p>
    <w:p>
      <w:pPr>
        <w:spacing w:after="120" w:line="276"/>
        <w:jc w:val="both"/>
      </w:pPr>
      <w:r>
        <w:t xml:space="preserve">Treiber: Fachkräftemangel (Pflege: sechsstellige Lücke bis 2030; Hotellerie/Gastgewerbe chronisch unterbesetzt), Strukturwandel, Weiterbildungsförderung, Fachkräfteeinwanderungsgesetz. Die BA und die Jobcenter vergeben jährlich Arbeitsmarktdienstleistungen im Milliardenvolumen; parallel wächst der Markt für internationale Rekrutierung stark.</w:t>
      </w:r>
    </w:p>
    <w:p>
      <w:pPr>
        <w:spacing w:after="120" w:line="276"/>
        <w:jc w:val="both"/>
      </w:pPr>
      <w:r>
        <w:t xml:space="preserve">Wettbewerber Inland: erfolgreich agierende Anbieter und große Verbundträger (TÜV/DEKRA-Akademien, IB, DAA, WBS). International: spezialisierte Pflege-Recruiter und das staatliche Triple-Win-Programm. Differenzierung: eigene Ausbildung im Ausland statt bloßer Rekrutierung (Qualität und Anerkennungsquote), Employer-Pays-Fairness als Markenkern, Eigenbedarf über eigene Einrichtungen.</w:t>
      </w:r>
    </w:p>
    <w:p>
      <w:pPr>
        <w:pStyle w:val="Heading2"/>
        <w:spacing w:after="100" w:before="240"/>
      </w:pPr>
      <w:r>
        <w:rPr>
          <w:color w:val="1F4E5F"/>
        </w:rPr>
        <w:t xml:space="preserve">7.1 Chance: Kostenführerschaft durch KI und volle Digitalisierung</w:t>
      </w:r>
    </w:p>
    <w:p>
      <w:pPr>
        <w:spacing w:after="120" w:line="276"/>
        <w:jc w:val="both"/>
      </w:pPr>
      <w:r>
        <w:t xml:space="preserve">Das Vergütungsmodell für geförderte Maßnahmen deckelt die Preise (B-DKS bei FbW, scharfer Preiswettbewerb in REZ-Vergaben). Große, bundesweit agierende Träger tragen jedoch einen historisch gewachsenen, sehr teuren Verwaltungsapparat mit sich – eine Wasserkopfverwaltung, die jede Maßnahme über Umlagen mitbezahlt: mehrstufige Leitungs- und Assistenzebenen, repräsentative Zentralen und Büroflächen, Vorstands- und Direktorengehälter, Fahrzeugflotten, eigene Rechts- und Stabsabteilungen, papiergebundene und manuelle Prozesse in bürokratischen Fachabteilungen. Diese Kostenblöcke haben mit der Arbeit am Teilnehmer nichts zu tun – aber sie stecken in jedem Kostensatz. Unter gedeckelten Preisen geraten diese Träger zunehmend unter Druck und können teils keine marktfähigen Preise mehr anbieten – einzelne ziehen sich bereits aus Losen zurück.</w:t>
      </w:r>
    </w:p>
    <w:p>
      <w:pPr>
        <w:spacing w:after="120" w:line="276"/>
        <w:jc w:val="both"/>
      </w:pPr>
      <w:r>
        <w:t xml:space="preserve">Solche eingefahrenen Strukturen lassen sich aus einer Bestandsorganisation heraus kaum sanieren – zu viele Besitzstände, zu viel Gewohnheit. Sie müssen überwunden und von Grund auf neu gedacht werden. Genau das ist der Vorteil der Neugründung: Was andere mühsam abbauen müssten, entsteht hier gar nicht erst.</w:t>
      </w:r>
    </w:p>
    <w:p>
      <w:pPr>
        <w:spacing w:after="120" w:line="276"/>
        <w:jc w:val="both"/>
      </w:pPr>
      <w:r>
        <w:t xml:space="preserve">Der Neuaufbau ohne Altlasten ist der Wettbewerbsvorteil: KI-gestützte und volldigitale Verwaltung (automatisierte Teilnehmerverwaltung, An-/Abwesenheits- und Maßnahmedokumentation, AZAV-Audit-Reporting, Abrechnung mit BA/Jobcentern, KI-Assistenz bei Konzept- und Angebotserstellung) sowie hybride Lernformate senken die Verwaltungskostenquote auf einen Bruchteil der Großträger. Ergebnis: auskömmliche Margen trotz gedeckelter Kostensätze und systematisch bessere Preis-Leistungs-Bewertung in Ausschreibungen – bei dokumentierter Qualität (Eingliederungsquoten) als zweitem Zuschlagskriterium.</w:t>
      </w:r>
    </w:p>
    <w:p>
      <w:pPr>
        <w:pStyle w:val="Heading2"/>
        <w:spacing w:after="100" w:before="240"/>
      </w:pPr>
      <w:r>
        <w:rPr>
          <w:color w:val="1F4E5F"/>
        </w:rPr>
        <w:t xml:space="preserve">Marktvalidierung: Was es bereits gibt – und was tatsächlich neu ist</w:t>
      </w:r>
    </w:p>
    <w:p>
      <w:pPr>
        <w:spacing w:after="120" w:line="276"/>
        <w:jc w:val="both"/>
      </w:pPr>
      <w:r>
        <w:t xml:space="preserve">Ein ehrlicher Blick auf den Markt schützt die eigene Werbeaussage. Nicht neu ist: Digitale Teilnehmerverwaltung existiert als Branchensoftware (u. a. Stepnova, AZAVO, AZAV-Pilot) inklusive eM@w-Anbindung, digitaler Anwesenheitserfassung und BA-Berichten – auch kleine Träger nutzen sie. Volldigitale Lernformate sind etabliert (alfatraining, IBB, karriere tutor u. a. unterrichten vollständig online). Und seit 2025 halten KI-Lernassistenten Einzug in die geförderte Weiterbildung – die IU Akademie (Syntea) und WBS Training (Kitu) setzen sie produktiv ein. Wer nur mit „digital“ oder „KI“ wirbt, behauptet also nichts, was nicht auch andere behaupten können.</w:t>
      </w:r>
    </w:p>
    <w:p>
      <w:pPr>
        <w:spacing w:after="120" w:line="276"/>
        <w:jc w:val="both"/>
      </w:pPr>
      <w:r>
        <w:t xml:space="preserve">Tatsächlich neu – und im Markt ohne erkennbares Vorbild – ist die Kombination, auf der dieses Konzept steht: Erstens KI als durchgängiges Betriebsmodell statt Insellösung – von der Vergabeangebotserstellung über automatisierte Behördenberichte und Audit-Unterlagen bis zur verursachungsgerechten Kostenzuordnung je Maßnahme; vorhandene Branchensoftware dokumentiert, dieses Modell bewirtschaftet. Zweitens die freiwillige Echtzeit-Offenlegung gegenüber den Kostenträgern bis auf die einzelne Kostenposition – kein Anbieter am Markt bietet Behörden ein offenes Dashboard mit rückverfolgbaren Belegen an; Transparenz ist dort Pflichterfüllung, hier Produktkern. Drittens die strukturelle Weitergabe der Effizienzgewinne: Als gGmbH ohne Ausschüttung fließt der Vorteil nachweisbar in bessere Preise, bessere Gehälter und bessere Betreuung – bei jedem anderen Modell landet er beim Eigentümer. Viertens die revisionssichere Fernprüfbarkeit eines Ausbildungscampus im Ausland und fünftens die datengestützte, vom Lehrpersonal getrennte Motivationsbegleitung. Die präzise Werbeaussage lautet daher nicht „wir sind digital“ – sondern: Wir sind der erste Träger, der seine Effizienz beweist, seine Bücher gegenüber den Kostenträgern in Echtzeit öffnet und den Gewinn daraus strukturell an Teilnehmer, Personal und Kostenträger weitergibt.</w:t>
      </w:r>
    </w:p>
    <w:p>
      <w:pPr>
        <w:spacing w:after="120" w:line="276"/>
        <w:jc w:val="both"/>
      </w:pPr>
      <w:r>
        <w:t xml:space="preserve">Zur Kernfrage – hat je ein Träger seinen Verwaltungsapparat durch Digitalisierung signifikant abgebaut? Dafür findet sich kein dokumentierter Fall. Die Branche hat sich in die Gegenrichtung entwickelt: Konsolidierung lief über Zukäufe – Bildungsträger kauften Bildungsträger –, und mit jeder Übernahme wuchsen Führungsebenen, Doppelstrukturen und Zentralen weiter an. Die Digitalisierung der letzten Jahre fand fast ausschließlich im Angebot statt (der Anteil vollständig online durchgeführter Weiterbildungen verdoppelte sich laut BIBB von 17 % 2020 auf 35 % 2022), nicht in der Verwaltung; das BIBB dokumentiert zugleich, dass vielen Trägern für digitale Transformation Know-how und Investitionsmittel fehlen. Wo etablierte Träger Verwaltung tatsächlich verkleinerten, geschah es als Notprogramm unter Kostendruck (Standortschließungen, Stellenabbau nach der Bildungsgutschein-Delle 2024) – reaktiv und substanzverzehrend, nicht als strategischer digitaler Umbau. Der Grund ist strukturell: Wer über Jahrzehnte Hierarchien, Besitzstände und Betriebsvereinbarungen aufgebaut hat, kann sie kaum gegen die eigene Organisation wegdigitalisieren. Genau deshalb ist dieser Vorteil für Bestandsträger praktisch nicht kopierbar – und für eine Neugründung konstitutiv.</w:t>
      </w:r>
    </w:p>
    <w:p>
      <w:pPr>
        <w:spacing w:after="120" w:line="276"/>
        <w:jc w:val="both"/>
      </w:pPr>
      <w:r>
        <w:t xml:space="preserve">Und die Neugründungen der letzten Monate? Es entsteht derzeit eine Welle kleiner, digital gestarteter AZAV-Anbieter – überwiegend Nischen-Boutiquen für KI- und IT-Kurse im Bildungsgutschein-Geschäft (u. a. AI-Hubs und Online-Akademien mit 100-%-Online-Formaten). Sie belegen zweierlei: Schlanke, digital-native Anbieter sind zulassungsfähig und gewinnen Marktanteile – die Grundidee funktioniert. Aber keiner dieser Anbieter verfolgt erkennbar das hier beschriebene Modell: Sie bleiben Kursvermarkter in einer Nische, ohne breites Maßnahmenportfolio, ohne Vergabegeschäft, ohne eigene Einrichtungen, ohne Auslandscampus – und vor allem ohne Kostenträger-Transparenz und ohne gemeinnützige Struktur. Das Zeitfenster für den ersten Träger, der schlanke Digitalverwaltung mit voller Breite und offenen Büchern kombiniert, ist offen – aber die Boutiquen-Welle zeigt, dass es sich schließen kann; die Wettbewerbsbeobachtung gehört daher in den laufenden Betrieb.</w:t>
      </w:r>
    </w:p>
    <w:p>
      <w:pPr>
        <w:pStyle w:val="Heading2"/>
        <w:spacing w:after="100" w:before="240"/>
      </w:pPr>
      <w:r>
        <w:rPr>
          <w:color w:val="1F4E5F"/>
        </w:rPr>
        <w:t xml:space="preserve">7.2 Das eigentliche Strukturproblem: Einrichtungen als Investmentprodukte</w:t>
      </w:r>
    </w:p>
    <w:p>
      <w:pPr>
        <w:spacing w:after="120" w:line="276"/>
        <w:jc w:val="both"/>
      </w:pPr>
      <w:r>
        <w:t xml:space="preserve">Zur Einordnung: Die gewachsenen Verwaltungen lokaler und regionaler Träger sind nicht das Grundübel. Sie sind in einer Zeit entstanden, in der es digitale Verwaltung schlicht nicht gab – ihre Strukturen waren einmal berechtigt und existieren nun. Diese Träger arbeiten in der Sache oft engagiert und teilnehmerorientiert; ihr Problem ist Effizienz, nicht Absicht. Das eigentliche Strukturproblem liegt tiefer: Reha-Einrichtungen, Pflegeheime und zunehmend auch Bildungsanbieter sind längst zu Investmentprodukten internationaler Finanzinvestoren geworden. Und wo Private Equity einsteigt, steht am Ende weder der Teilnehmer noch die Fachkraft noch die Einrichtung selbst auf der profitierenden Seite – sondern ausschließlich der Fonds.</w:t>
      </w:r>
    </w:p>
    <w:p>
      <w:pPr>
        <w:spacing w:after="120" w:line="276"/>
        <w:jc w:val="both"/>
      </w:pPr>
      <w:r>
        <w:t xml:space="preserve">Die Mechanik ist systembedingt: Private-Equity-Fonds kaufen mit hohem Fremdkapitalanteil, versprechen ihren Anlegern zweistellige Renditen (branchentypisch um 20 % jährlich) und verkaufen nach fünf bis sieben Jahren weiter. Da die Erlöse aus gedeckelten öffentlichen Vergütungssätzen stammen – Pflegesätze, Reha-Vergütungen, Maßnahmenkostensätze –, kann die Rendite nur aus dem Inneren der Einrichtung kommen: Leistungen werden minimiert, Personal ausgedünnt, Instandhaltung aufgeschoben, Baukörper verfallen, Angebote stetig reduziert. Die Hans-Böckler-Stiftung belegt das mit Zahlen: Beim Private-Equity-geführten Pflegebetreiber Alloheim liegt die Personalaufwandsquote bei nur 55 % des Umsatzes – bei gemeinnützigen und kommunalen Trägern sind es teils über 70 %. Die Differenz ist exakt das, was den Bewohnern und Rehabilitanden an Betreuung fehlt und stattdessen als Rendite abfließt. Dieselbe Forschung zeigt: Von Finanzinvestoren übernommene Unternehmen entwickeln sich in den Folgejahren vergleichsweise schlecht – weniger Beschäftigung, mehr Schulden, weniger Eigenkapital, höheres Insolvenzrisiko.</w:t>
      </w:r>
    </w:p>
    <w:p>
      <w:pPr>
        <w:spacing w:after="120" w:line="276"/>
        <w:jc w:val="both"/>
      </w:pPr>
      <w:r>
        <w:t xml:space="preserve">Fallbeispiel Rehaklinik Ahrenshoop: Die 1993 als eigenständige Einrichtung gegründete Klinik am Ostseebad Ahrenshoop wurde 2012 Teil der Helios-Gruppe (Fresenius), wechselte 2018 konzernintern zur Fresenius-Tochter VAMED – und wurde 2024 im Paket weiterveräußert: Fresenius verkaufte das gesamte VAMED-Rehageschäft (67 Einrichtungen, 9.100 Betten, rund 9.500 Beschäftigte) mehrheitlich (67 %) an den französischen Private-Equity-Fonds PAI Partners; der Unternehmenswert des Pakets lag bei 853 Mio. €, der auf die einzelne Klinik entfallende Kaufpreis wird – wie in dieser Branche üblich – nicht offengelegt. Seit 2025 firmiert die Klinik unter dem neuen Namen VITREA. Eine Rehaklinik, in der Rehabilitanden gesund werden sollen, ist damit binnen zwölf Jahren durch vier Eigentümerkonstellationen gereicht worden – zuletzt als Renditebaustein eines Fonds, dessen Geschäftsmodell der Weiterverkauf ist. Schon beim Verkauf warnten Beschäftigtenvertreter und Beobachter vor genau dieser Entwicklung.</w:t>
      </w:r>
    </w:p>
    <w:p>
      <w:pPr>
        <w:spacing w:after="120" w:line="276"/>
        <w:jc w:val="both"/>
      </w:pPr>
      <w:r>
        <w:t xml:space="preserve">Was eine solche Einrichtung wirtschaftlich darstellt, lässt sich am Beispiel Ahrenshoop beziffern – Einzelabschlüsse werden nur eingeschränkt offengelegt, die Herleitung ist gleichwohl belastbar: Die Klinik verfügt über 293 Betten in vier Fachabteilungen (Orthopädie, Neurologie, Onkologie, Innere/Kardiologie). Das gesamte verkaufte VAMED-Rehageschäft erlöste mit 67 Einrichtungen rund 600–700 Mio. € Umsatz pro Jahr – im Schnitt also etwa 10 Mio. € je Einrichtung; ein überdurchschnittlich großes Haus wie Ahrenshoop dürfte bei hoher Auslastung auf geschätzt 15–20 Mio. € Jahresumsatz kommen (293 Betten × ~150 € Tagessatz × ~90 % Auslastung ergeben rechnerisch rund 14–17 Mio. €). Beim Ertrag zeigt sich die Spannweite des Systems: Die durchschnittliche EBITDA-Marge deutscher Rehakliniken liegt bei nur rund 3,3 %, gut geführte Häuser erreichen etwa 9 % – für ein Haus wie Ahrenshoop also grob 0,5–2 Mio. € operatives Ergebnis pro Jahr. Private-Equity-Fonds kalkulieren jedoch mit deutlich höheren Renditen auf ihr eingesetztes Kapital plus Fremdkapitalzinsen. Die Differenz zwischen dem, was eine ordentlich geführte Rehaklinik verdient, und dem, was ein Fonds aus ihr herausholen muss, kann systembedingt nur an einer Stelle entstehen: bei Personal, Leistungen und Instandhaltung – also beim Rehabilitanden.</w:t>
      </w:r>
    </w:p>
    <w:p>
      <w:pPr>
        <w:spacing w:after="120" w:line="276"/>
        <w:jc w:val="both"/>
      </w:pPr>
      <w:r>
        <w:t xml:space="preserve">Weitere Beispiele derselben Entwicklung: Der größte private Reha-Konzern Deutschlands, Median-Kliniken, wurde ab 2011/2014 vom niederländischen Private-Equity-Fonds Waterland aufgebaut – Betriebsräte und ver.di kritisierten früh den aggressiven Wachstums- und Sparkurs. Die Pflegeheimkette Casa Reha wurde ab 1998 von ECM und JP Morgan finanziert und 2005 an den US-Investor Advent weitergereicht. Und wohin die Kette aus Verschuldung und Unterlassung führt, zeigen die Insolvenzen: Die Convivo-Gruppe – über 100 Pflegestandorte, 4.800 Beschäftigte – meldete 2023 Insolvenz an; in der Folge mussten Einrichtungen schließen, Bewohner verlegt, Personal entlassen werden. Die Pflege-Insolvenzwelle 2023/2024 traf eine ganze Reihe investorengetragener Betreiber – bezahlt haben Bewohner, Beschäftigte und am Ende die öffentliche Hand. Auch die Bildung ist erfasst – deutsche Bildungsträger werden seit Jahren wie Handelsware zwischen Investoren weitergereicht: Der Bildungsanbieter Career Partner (heute IU Group, Deutschlands größte private Hochschule) ging vom US-Bildungskonzern Apollo Education an den britischen Fonds Oakley Capital. Die Fernhochschule AKAD wurde 2014 von Cornelsen an die Münchener Beteiligungsgesellschaft Aurelius verkauft – einen auf Restrukturierung spezialisierten Investor –, dort auf Konsolidierungskurs gebracht und 2022 für über 45 Mio. € an den internationalen Bildungskonzern Galileo Global Education weitergereicht. Die Nachhilfeketten Studienkreis (Cornelsen → Aurelius → weitere Finanzinvestoren) und Schülerhilfe (zuletzt Oakley Capital) durchliefen dieselben Ketten. Die Hochschulen BiTS Iserlohn und BTK wurden vom US-Konzern Laureate Education übernommen, 2017 fusioniert und 2018 an das internationale Konglomerat Global University Systems durchgereicht. Und der AZAV-Markt selbst: Der Dortmunder Weiterbildungsanbieter ComCave College wurde 2019 für einen dreistelligen Millionenbetrag von der börsennotierten Amadeus-FiRe-Gruppe übernommen (2020 folgte GFN) – wenige Jahre später standen massive Restrukturierung, deutlicher Stellenabbau, Flächenreduktion und millionenschwere Belastungen aus Abschreibungen auf die teuer erworbenen Träger. Wer Weiterbildung als Renditeobjekt kauft, kalkuliert Kapitaldienst und Kaufpreis-Amortisation in Kostensätze ein, die eigentlich Dozenten, Betreuung und Ausstattung bezahlen sollen – und saniert im Abschwung zuerst am Personal, das am Teilnehmer arbeitet.</w:t>
      </w:r>
    </w:p>
    <w:p>
      <w:pPr>
        <w:spacing w:after="120" w:line="276"/>
        <w:jc w:val="both"/>
      </w:pPr>
      <w:r>
        <w:t xml:space="preserve">Das Fazit dieser seit Jahren andauernden Entwicklung: Milliarden aus Sozialversicherungsbeiträgen und Steuermitteln, bestimmt für Betreuung, Therapie und Bildung, fließen als Rendite an Fonds ab – ein strukturell krankes System, das die öffentliche Hand doppelt bezahlt: erst über zu hohe Vergütungen für zu wenig Leistung, dann über die Folgekosten von Verfall, Schließungen und gescheiterten Maßnahmen. Die hier vorgeschlagene gGmbH ist das strukturelle Gegenmodell: Ausschüttungsverbot statt Renditeversprechen, Gewinne bleiben per Satzung im Zweck gebunden, es gibt keinen Exit und keinen Weiterverkauf – und die revisionssichere Transparenz (Kapitel 8.2) macht Leistungsminimierung zulasten der Teilnehmer schlicht unmöglich, weil sie sofort sichtbar würde. Öffentliches Geld bleibt öffentlichem Zweck verpflichtet.</w:t>
      </w:r>
    </w:p>
    <w:p>
      <w:pPr>
        <w:pStyle w:val="Heading1"/>
        <w:spacing w:after="140" w:before="320"/>
      </w:pPr>
      <w:r>
        <w:rPr>
          <w:color w:val="1F4E5F"/>
        </w:rPr>
        <w:t xml:space="preserve">8. Organisation, Personal und Standorte</w:t>
      </w:r>
    </w:p>
    <w:p>
      <w:pPr>
        <w:pStyle w:val="ListParagraph"/>
        <w:numPr>
          <w:ilvl w:val="0"/>
          <w:numId w:val="2"/>
        </w:numPr>
        <w:spacing w:after="60" w:line="264"/>
        <w:jc w:val="both"/>
      </w:pPr>
      <w:r>
        <w:rPr>
          <w:b/>
          <w:bCs/>
        </w:rPr>
        <w:t xml:space="preserve">Team Start: </w:t>
      </w:r>
      <w:r>
        <w:t xml:space="preserve">Geschäftsführung (pädagogisch/kaufmännisch), QM-/Verwaltungskraft, 3–4 Lehrkräfte/Ausbilder (AEVO), Sozialpädagogen; ab Ausbaustufe: Pflegepädagogen und Entsende-Koordinatoren für die Auslandsstandorte, Relocation-/Integrationsbegleitung in Deutschland; maßnahmenübergreifende Motivations- und Integrationsbegleitung als eigene, vom Lehrpersonal getrennte Rolle.</w:t>
      </w:r>
    </w:p>
    <w:p>
      <w:pPr>
        <w:pStyle w:val="ListParagraph"/>
        <w:numPr>
          <w:ilvl w:val="0"/>
          <w:numId w:val="2"/>
        </w:numPr>
        <w:spacing w:after="60" w:line="264"/>
        <w:jc w:val="both"/>
      </w:pPr>
      <w:r>
        <w:rPr>
          <w:b/>
          <w:bCs/>
        </w:rPr>
        <w:t xml:space="preserve">Standorte: </w:t>
      </w:r>
      <w:r>
        <w:t xml:space="preserve">Deutschland: 400–800 m² Schulungsräume + Werkstatt, barrierefrei, ÖPNV-Anbindung. Ausland: Partnercampus Manila/Cebu (Pflege), Kooperation Hotelfachschule Singapur.</w:t>
      </w:r>
    </w:p>
    <w:p>
      <w:pPr>
        <w:pStyle w:val="ListParagraph"/>
        <w:numPr>
          <w:ilvl w:val="0"/>
          <w:numId w:val="2"/>
        </w:numPr>
        <w:spacing w:after="60" w:line="264"/>
        <w:jc w:val="both"/>
      </w:pPr>
      <w:r>
        <w:rPr>
          <w:b/>
          <w:bCs/>
        </w:rPr>
        <w:t xml:space="preserve">Infrastruktur: </w:t>
      </w:r>
      <w:r>
        <w:t xml:space="preserve">volldigitaler Verwaltungs-Stack mit KI-Unterstützung (Teilnehmerverwaltung, Dokumentation, Abrechnung, QM-/Audit-Reporting), Lernplattform (auch für Remote-Deutschkurse ins Ausland), Datenschutzkonzept (Sozialdaten, KI-Einsatz DSGVO-/AI-Act-konform, internationale Datentransfers).</w:t>
      </w:r>
    </w:p>
    <w:p>
      <w:pPr>
        <w:pStyle w:val="Heading2"/>
        <w:spacing w:after="100" w:before="240"/>
      </w:pPr>
      <w:r>
        <w:rPr>
          <w:color w:val="1F4E5F"/>
        </w:rPr>
        <w:t xml:space="preserve">8.1 KI-Einsatzfelder: konkrete Beispiele für Effizienz in jedem Prozess</w:t>
      </w:r>
    </w:p>
    <w:p>
      <w:pPr>
        <w:pStyle w:val="ListParagraph"/>
        <w:numPr>
          <w:ilvl w:val="0"/>
          <w:numId w:val="2"/>
        </w:numPr>
        <w:spacing w:after="60" w:line="264"/>
        <w:jc w:val="both"/>
      </w:pPr>
      <w:r>
        <w:rPr>
          <w:b/>
          <w:bCs/>
        </w:rPr>
        <w:t xml:space="preserve">Ausschreibungen &amp; Angebote: </w:t>
      </w:r>
      <w:r>
        <w:t xml:space="preserve">KI analysiert REZ-Leistungsbeschreibungen, gleicht sie mit eigenen Konzepten und Zuschlagskriterien ab, erstellt Angebots- und Konzeptentwürfe sowie Kalkulationen – aus Wochen Angebotsarbeit werden Tage; mehr Lose können parallel bearbeitet werden.</w:t>
      </w:r>
    </w:p>
    <w:p>
      <w:pPr>
        <w:pStyle w:val="ListParagraph"/>
        <w:numPr>
          <w:ilvl w:val="0"/>
          <w:numId w:val="2"/>
        </w:numPr>
        <w:spacing w:after="60" w:line="264"/>
        <w:jc w:val="both"/>
      </w:pPr>
      <w:r>
        <w:rPr>
          <w:b/>
          <w:bCs/>
        </w:rPr>
        <w:t xml:space="preserve">Teilnehmerverwaltung &amp; Abrechnung: </w:t>
      </w:r>
      <w:r>
        <w:t xml:space="preserve">automatische Anwesenheits- und Fehlzeitenerfassung mit fristgerechter Meldung an BA/Jobcenter, automatisierte Monatsabrechnung je Maßnahme, Fristen- und Dokumentenmanagement (Bildungsgutscheine, AVGS, Bescheide) – ohne manuelle Übertragungsfehler.</w:t>
      </w:r>
    </w:p>
    <w:p>
      <w:pPr>
        <w:pStyle w:val="ListParagraph"/>
        <w:numPr>
          <w:ilvl w:val="0"/>
          <w:numId w:val="2"/>
        </w:numPr>
        <w:spacing w:after="60" w:line="264"/>
        <w:jc w:val="both"/>
      </w:pPr>
      <w:r>
        <w:rPr>
          <w:b/>
          <w:bCs/>
        </w:rPr>
        <w:t xml:space="preserve">Berichtswesen für Kostenträger: </w:t>
      </w:r>
      <w:r>
        <w:t xml:space="preserve">KI erstellt Leistungs- und Verhaltensbeurteilungen (LuV), Sachberichte, Verwendungsnachweise (ESF, Stiftungen, rehapro) und Abschlussberichte automatisch aus der revisionssicheren Teilnehmerakte – im jeweils geforderten Format der Behörde, von der Fachkraft nur noch geprüft und freigegeben.</w:t>
      </w:r>
    </w:p>
    <w:p>
      <w:pPr>
        <w:pStyle w:val="ListParagraph"/>
        <w:numPr>
          <w:ilvl w:val="0"/>
          <w:numId w:val="2"/>
        </w:numPr>
        <w:spacing w:after="60" w:line="264"/>
        <w:jc w:val="both"/>
      </w:pPr>
      <w:r>
        <w:rPr>
          <w:b/>
          <w:bCs/>
        </w:rPr>
        <w:t xml:space="preserve">QM &amp; AZAV-Audit: </w:t>
      </w:r>
      <w:r>
        <w:t xml:space="preserve">das QM-Handbuch wird KI-gestützt aktuell gehalten, Kennzahlen (Abbruch-, Bestehens-, Eingliederungsquoten) laufen automatisch zusammen, Auditunterlagen für die fachkundige Stelle entstehen auf Knopfdruck – Überwachungsaudits verlieren ihren Vorbereitungsaufwand.</w:t>
      </w:r>
    </w:p>
    <w:p>
      <w:pPr>
        <w:pStyle w:val="ListParagraph"/>
        <w:numPr>
          <w:ilvl w:val="0"/>
          <w:numId w:val="2"/>
        </w:numPr>
        <w:spacing w:after="60" w:line="264"/>
        <w:jc w:val="both"/>
      </w:pPr>
      <w:r>
        <w:rPr>
          <w:b/>
          <w:bCs/>
        </w:rPr>
        <w:t xml:space="preserve">Individuelle Lernbegleitung: </w:t>
      </w:r>
      <w:r>
        <w:t xml:space="preserve">adaptive Lernpfade und automatische Lernstandsdiagnostik je Teilnehmer, KI-Tutoren rund um die Uhr für Prüfungsvorbereitung (IHK-/HWK-Prüfungssimulationen) und Deutsch mit Aussprachetraining – besonders wertvoll für die Auslandsstandorte und Teilnehmer mit Förderbedarf.</w:t>
      </w:r>
    </w:p>
    <w:p>
      <w:pPr>
        <w:pStyle w:val="ListParagraph"/>
        <w:numPr>
          <w:ilvl w:val="0"/>
          <w:numId w:val="2"/>
        </w:numPr>
        <w:spacing w:after="60" w:line="264"/>
        <w:jc w:val="both"/>
      </w:pPr>
      <w:r>
        <w:rPr>
          <w:b/>
          <w:bCs/>
        </w:rPr>
        <w:t xml:space="preserve">Unterrichtsvorbereitung: </w:t>
      </w:r>
      <w:r>
        <w:t xml:space="preserve">Erstellung und Differenzierung von Unterrichtsmaterial, Übungsaufgaben und Tests nach deutschem Curriculum; Lehrkräfte gewinnen Stunden pro Woche für die eigentliche pädagogische Arbeit.</w:t>
      </w:r>
    </w:p>
    <w:p>
      <w:pPr>
        <w:pStyle w:val="ListParagraph"/>
        <w:numPr>
          <w:ilvl w:val="0"/>
          <w:numId w:val="2"/>
        </w:numPr>
        <w:spacing w:after="60" w:line="264"/>
        <w:jc w:val="both"/>
      </w:pPr>
      <w:r>
        <w:rPr>
          <w:b/>
          <w:bCs/>
        </w:rPr>
        <w:t xml:space="preserve">Frühwarnsystem &amp; Motivationsbegleitung: </w:t>
      </w:r>
      <w:r>
        <w:t xml:space="preserve">KI erkennt Abbruchrisiken früh (Fehlzeiten-Muster, stagnierende Lernstände) und informiert die maßnahmenübergreifende Motivations- und Integrationsbegleitung – Intervention erfolgt, bevor die Maßnahme scheitert; im Suchtprojekt zusätzlich definierte Frühwarnindikatoren für das therapeutische Team.</w:t>
      </w:r>
    </w:p>
    <w:p>
      <w:pPr>
        <w:pStyle w:val="ListParagraph"/>
        <w:numPr>
          <w:ilvl w:val="0"/>
          <w:numId w:val="2"/>
        </w:numPr>
        <w:spacing w:after="60" w:line="264"/>
        <w:jc w:val="both"/>
      </w:pPr>
      <w:r>
        <w:rPr>
          <w:b/>
          <w:bCs/>
        </w:rPr>
        <w:t xml:space="preserve">Vermittlung &amp; Matching: </w:t>
      </w:r>
      <w:r>
        <w:t xml:space="preserve">automatisches Matching von Teilnehmerprofilen mit offenen Stellen, KI-Assistenz bei Bewerbungsunterlagen und Interviewtraining; Eingliederungsquoten steigen – das stärkste Argument in jeder Vergabe.</w:t>
      </w:r>
    </w:p>
    <w:p>
      <w:pPr>
        <w:pStyle w:val="ListParagraph"/>
        <w:numPr>
          <w:ilvl w:val="0"/>
          <w:numId w:val="2"/>
        </w:numPr>
        <w:spacing w:after="60" w:line="264"/>
        <w:jc w:val="both"/>
      </w:pPr>
      <w:r>
        <w:rPr>
          <w:b/>
          <w:bCs/>
        </w:rPr>
        <w:t xml:space="preserve">Internationales Verfahrensmanagement: </w:t>
      </w:r>
      <w:r>
        <w:t xml:space="preserve">Dokumenten- und Fristenmanagement für Anerkennungs- und Visumsverfahren je Bundesland, KI-Übersetzung von Zeugnissen und Curricula (mit qualifizierter Endkontrolle), mehrsprachige Kommunikation mit Kandidaten und Behörden.</w:t>
      </w:r>
    </w:p>
    <w:p>
      <w:pPr>
        <w:pStyle w:val="ListParagraph"/>
        <w:numPr>
          <w:ilvl w:val="0"/>
          <w:numId w:val="2"/>
        </w:numPr>
        <w:spacing w:after="60" w:line="264"/>
        <w:jc w:val="both"/>
      </w:pPr>
      <w:r>
        <w:rPr>
          <w:b/>
          <w:bCs/>
        </w:rPr>
        <w:t xml:space="preserve">Digitale Anwesenheitskultur statt persönlicher Ermahnung: </w:t>
      </w:r>
      <w:r>
        <w:t xml:space="preserve">die automatische Zeiterfassung wirkt selbst verhaltenssteuernd – sie ruft zu Pünktlichkeit und Anwesenheit auf, ohne dass der Ausbilder mahnen muss. Das ist überall dort entscheidend, wo die Fachkraft zu Teilnehmern bewusst ein anderes Verhältnis wahren muss als die persönliche Ansprache (etwa im Suchtprogramm), während andere Teilnehmer weiterhin gezielt persönlich angesprochen werden. Jeder Teilnehmer weiß von Beginn an transparent: Die Teilnahme wird systemseitig erfasst, und Abwesenheit hat definierte Konsequenzen – abgestufte, teils automatisch ausgelöste Prozesse von der freundlichen Erinnerung über das Gespräch mit der Motivationsbegleitung bis zur pflichtgemäßen Meldung an den Kostenträger. Die Regel setzt das System, nicht die Person – die pädagogische Beziehung bleibt unbelastet.</w:t>
      </w:r>
    </w:p>
    <w:p>
      <w:pPr>
        <w:pStyle w:val="ListParagraph"/>
        <w:numPr>
          <w:ilvl w:val="0"/>
          <w:numId w:val="2"/>
        </w:numPr>
        <w:spacing w:after="60" w:line="264"/>
        <w:jc w:val="both"/>
      </w:pPr>
      <w:r>
        <w:rPr>
          <w:b/>
          <w:bCs/>
        </w:rPr>
        <w:t xml:space="preserve">Digitales Selbstlernzentrum: </w:t>
      </w:r>
      <w:r>
        <w:t xml:space="preserve">in jedem Ausbildungszentrum (auch am Ausbildungscampus im Ausland) steht den Teilnehmern ein Selbstlernbereich zur Verfügung, in dem alle bisherigen Inhalte eigenverantwortlich und diskret wiederholt werden können – niemand muss Wissenslücken vor der Gruppe offenlegen. Die anonymisierte Nutzungs- und Lernstandsauswertung macht zugleich zwei Gruppen sichtbar, die im Klassenverband leicht übersehen werden: engagierte Teilnehmende mit Lernbeeinträchtigung oder besonderem Unterstützungsbedarf, die still nacharbeiten, sowie überdurchschnittlich interessierte Leistungsstarke. Beide erhalten gezielte persönliche Förderung – zusätzliche Lernbegleitung die einen, vertiefende Inhalte und schnellere Pfade die anderen.</w:t>
      </w:r>
    </w:p>
    <w:p>
      <w:pPr>
        <w:pStyle w:val="ListParagraph"/>
        <w:numPr>
          <w:ilvl w:val="0"/>
          <w:numId w:val="2"/>
        </w:numPr>
        <w:spacing w:after="60" w:line="264"/>
        <w:jc w:val="both"/>
      </w:pPr>
      <w:r>
        <w:rPr>
          <w:b/>
          <w:bCs/>
        </w:rPr>
        <w:t xml:space="preserve">Mehrsprachige Beratung: </w:t>
      </w:r>
      <w:r>
        <w:t xml:space="preserve">KI-gestützte Verdolmetschung in Beratungs- und Aufnahmegesprächen – schneller Zugang auch ohne Dolmetscher, dokumentiert in der Akte.</w:t>
      </w:r>
    </w:p>
    <w:p>
      <w:pPr>
        <w:pStyle w:val="Heading2"/>
        <w:spacing w:after="100" w:before="240"/>
      </w:pPr>
      <w:r>
        <w:rPr>
          <w:color w:val="1F4E5F"/>
        </w:rPr>
        <w:t xml:space="preserve">8.2 Maximale Transparenz gegenüber den Kostenträgern</w:t>
      </w:r>
    </w:p>
    <w:p>
      <w:pPr>
        <w:spacing w:after="120" w:line="276"/>
        <w:jc w:val="both"/>
      </w:pPr>
      <w:r>
        <w:t xml:space="preserve">Kostenträger erhalten, was kein papiergestützter Großanbieter bieten kann: jederzeit abrufbare, revisionssichere Echtzeit-Transparenz. Ein Kostenträger-Dashboard zeigt je Maßnahme Anwesenheiten, Lernfortschritte, Prüfungsergebnisse und Eingliederungsquoten sowie die Kosten je erfolgreicher Eingliederung – tagesaktuell statt im nachgereichten Quartalsbericht. Jede Kennzahl ist bis auf den manipulationssicheren Einzelbeleg in der Teilnehmerakte rückverfolgbar.</w:t>
      </w:r>
    </w:p>
    <w:p>
      <w:pPr>
        <w:spacing w:after="120" w:line="276"/>
        <w:jc w:val="both"/>
      </w:pPr>
      <w:r>
        <w:t xml:space="preserve">Damit wird Wirkung messbar und vergleichbar: Ineffiziente Maßnahmen werden datenbasiert identifiziert und nachgesteuert oder beendet; Fördermittel fließen nachweislich in Ergebnisse statt in Verwaltung. Diese proaktive Rechenschaft gegenüber BA, Jobcentern, DRV und Projektgebern ist als Alleinstellungsmerkmal konzipiert – wer Transparenz von sich aus liefert, gewinnt Vertrauen, Folgeaufträge und Referenzen.</w:t>
      </w:r>
    </w:p>
    <w:p>
      <w:pPr>
        <w:spacing w:after="120" w:line="276"/>
        <w:jc w:val="both"/>
      </w:pPr>
      <w:r>
        <w:t xml:space="preserve">Das gilt bis auf die Ebene der einzelnen Kostenposition: Personal-, Raum- und Sachkosten werden der jeweiligen Maßnahme verursachungsgerecht und revisionssicher zugeordnet und systemseitig plausibilisiert (Stimmen Einsatzzeiten und abgerechnete Stunden überein? Trägt jede Position zur Maßnahme bei?). Abweichungen fallen sofort auf – das schützt die Kostenträger vor ineffizientem Personaleinsatz ebenso wie vor Abrechnungsmissbrauch und macht selbst Korruptionsverdachtsfälle objektiv und schnell prüfbar, ohne aufwendige Sonderprüfungen. Es gibt keine Umlage für Repräsentanz, Vorstandsapparate oder Fahrzeugflotten, die sich in Maßnahmenkostensätzen versteckt: Was der Kostenträger zahlt, kommt nachweisbar in der Maßnahme an.</w:t>
      </w:r>
    </w:p>
    <w:p>
      <w:pPr>
        <w:spacing w:after="120" w:line="276"/>
        <w:jc w:val="both"/>
      </w:pPr>
      <w:r>
        <w:t xml:space="preserve">Diese Transparenz verändert auch die Beziehung zwischen Träger und Behörde: Aus dem klassischen Verhältnis von Prüfer und Geprüftem wird eine Partnerschaft auf gemeinsamer Datengrundlage. Für die Behörden bedeutet das unmittelbare Kosten- und Personalentlastung – aufwendige Vor-Ort-Prüfungen, Nachforderungen von Unterlagen und manuelle Berichtsauswertungen entfallen weitgehend, weil jede Frage bereits beantwortet im System liegt; Prüfdienste können sich auf Stichproben und echte Auffälligkeiten konzentrieren.</w:t>
      </w:r>
    </w:p>
    <w:p>
      <w:pPr>
        <w:spacing w:after="120" w:line="276"/>
        <w:jc w:val="both"/>
      </w:pPr>
      <w:r>
        <w:t xml:space="preserve">Zugleich wird Nachsteuern erstmals faktenbasiert möglich – in beide Richtungen. Zeigt der Maßnahmenverlauf nachweisbare Mehrbedarfe (etwa zusätzlichen Sprachförder- oder sozialpädagogischen Betreuungsbedarf) oder entstehen während der Laufzeit neue Anforderungen, liefert die Datenlage die konkrete, belegte Grundlage, die Maßnahme gemeinsam mit dem Kostenträger zu erweitern – statt pauschaler Nachforderungen ein sachlicher Nachtrag auf Beleg-Basis. Umgekehrt werden Unschärfen in Ausschreibungen zum Vorteil beider Seiten sichtbar: Unangemessen hoch vergütete Maßnahmen lassen sich anhand realer Kostendaten identifizieren, und unauskömmlich kalkulierte Maßnahmen können auf Basis zuvor festgestellter Ist-Kosten kaufmännisch angepasst werden, damit eine wirksame Maßnahme nicht an einer falschen Kalkulation scheitert, sondern zu konkreten, belegten Kosten fortbesteht. Über die Zeit entsteht daraus ein weiterer Wert: Die realen Kostendaten fließen in präzisere Leistungsbeschreibungen und realistischere Preisfindung künftiger Vergaben ein – ein Gewinn für den gesamten Markt.</w:t>
      </w:r>
    </w:p>
    <w:p>
      <w:pPr>
        <w:spacing w:after="120" w:line="276"/>
        <w:jc w:val="both"/>
      </w:pPr>
      <w:r>
        <w:t xml:space="preserve">Die Entlastung der Kostenträger lässt sich weiter steigern: Ein transparent aufbereitetes, maschinenlesbares Maßnahmenangebot kann von der Vergabestelle in einem Bruchteil der Zeit geprüft werden – Plausibilisierung von Kalkulation, Personalschlüsseln und Konzeptbestandteilen erfolgt weitgehend automatisch statt durch tagelange manuelle Aktenprüfung. Das spart auf Behördenseite Personal in Einkauf, Prüfdiensten und Fachaufsicht. Konsequent zu Ende gedacht führt das zu direkten Datenschnittstellen zwischen Träger und Kostenträger: Mit eM@w existiert bereits heute eine verpflichtende elektronische Schnittstelle zur BA – sie deckt jedoch nur die Maßnahmeabwicklung ab (Ein-/Austritte, Anwesenheiten, Berichte), keine Echtzeit-Transparenz über Kosten, Konzeptumsetzung und Wirkung. Genau diese Erweiterung bietet das Unternehmen proaktiv an: eine offene, standardisierte Schnittstelle, über die berechtigte Kostenträger Prüf- und Wirkungsdaten direkt beziehen können – als Pilotprojekt mit einem REZ oder der DRV. Wer als Träger die Schnittstelle definiert, die den Behörden Arbeit abnimmt, sitzt bei der künftigen Standardisierung des Marktes mit am Tisch.</w:t>
      </w:r>
    </w:p>
    <w:p>
      <w:pPr>
        <w:spacing w:after="120" w:line="276"/>
        <w:jc w:val="both"/>
      </w:pPr>
      <w:r>
        <w:t xml:space="preserve">Ein weiterer Baustein der Glaubwürdigkeit: Alle Zeugnisse, Zertifikate und Leistungsnachweise – bis hin zu den Reports an Kostenträger – werden digital gesiegelt (eIDAS) ausgegeben, tragen einen Prüfcode mit QR und sind auf einer öffentlichen Seite jederzeit online validierbar; ein kryptografisches Register macht jede nachträgliche Manipulation sofort erkennbar. Unsere Leistungsnachweise sind damit bei Ausgabe und auch Jahrzehnte später voll überprüfbar – kein Wettbewerber bietet das.</w:t>
      </w:r>
    </w:p>
    <w:p>
      <w:pPr>
        <w:spacing w:after="120" w:line="276"/>
        <w:jc w:val="both"/>
      </w:pPr>
      <w:r>
        <w:t xml:space="preserve">Governance: Der KI-Einsatz erfolgt DSGVO- und AI-Act-konform. Entscheidungen über Personen (Aufnahme, Bewertung, Meldung an Kostenträger) trifft stets ein Mensch; KI bereitet vor, dokumentiert und schlägt vor (Human-in-the-Loop, keine automatisierten Einzelentscheidungen i. S. v. Art. 22 DSGVO). Alle Systeme laufen auf europäischen, auftragsverarbeitungskonformen Infrastrukturen.</w:t>
      </w:r>
    </w:p>
    <w:p>
      <w:pPr>
        <w:pStyle w:val="Heading2"/>
        <w:spacing w:after="100" w:before="240"/>
      </w:pPr>
      <w:r>
        <w:rPr>
          <w:color w:val="1F4E5F"/>
        </w:rPr>
        <w:t xml:space="preserve">8.3 Mitarbeiterbindung und Abwerbeprävention</w:t>
      </w:r>
    </w:p>
    <w:p>
      <w:pPr>
        <w:spacing w:after="120" w:line="276"/>
        <w:jc w:val="both"/>
      </w:pPr>
      <w:r>
        <w:t xml:space="preserve">Die eigenen Fachkräfte sind das wertvollste – und gefährdetste – Kapital: Wer eine international rekrutierte Pflegekraft nach Anerkennung oder einen eingearbeiteten Ausbilder abwirbt, erspart sich sämtliche Gewinnungs- und Qualifizierungskosten. Abwerbeschutz ist deshalb als System aus drei Ebenen konzipiert – wobei gilt: Verträge setzen den Rahmen, aber gehalten werden Menschen durch Zugehörigkeit.</w:t>
      </w:r>
    </w:p>
    <w:p>
      <w:pPr>
        <w:pStyle w:val="ListParagraph"/>
        <w:numPr>
          <w:ilvl w:val="0"/>
          <w:numId w:val="2"/>
        </w:numPr>
        <w:spacing w:after="60" w:line="264"/>
        <w:jc w:val="both"/>
      </w:pPr>
      <w:r>
        <w:rPr>
          <w:b/>
          <w:bCs/>
        </w:rPr>
        <w:t xml:space="preserve">Vertragliche Ebene (rechtssicher, nicht überzogen): </w:t>
      </w:r>
      <w:r>
        <w:t xml:space="preserve">gestaffelte, BAG-konforme Rückzahlungsklauseln für vom Unternehmen getragene Qualifizierungs- und Relocationkosten; klare Vertragslaufzeiten und Kündigungsfristen; nachvertragliche Wettbewerbsverbote nur für echte Schlüsselpositionen (mit Karenzentschädigung nach §§ 74 ff. HGB); bei international Angeworbenen strikt im Rahmen des Gütezeichens Faire Anwerbung – keine Knebelklauseln, die im Streitfall ohnehin unwirksam wären und den Ruf kosten.</w:t>
      </w:r>
    </w:p>
    <w:p>
      <w:pPr>
        <w:pStyle w:val="ListParagraph"/>
        <w:numPr>
          <w:ilvl w:val="0"/>
          <w:numId w:val="2"/>
        </w:numPr>
        <w:spacing w:after="60" w:line="264"/>
        <w:jc w:val="both"/>
      </w:pPr>
      <w:r>
        <w:rPr>
          <w:b/>
          <w:bCs/>
        </w:rPr>
        <w:t xml:space="preserve">Wirtschaftliche Ebene: </w:t>
      </w:r>
      <w:r>
        <w:t xml:space="preserve">Vergütung oberhalb der Konkurrenz – finanzierbar, weil kein kostenfressender Verwaltungsapparat mitverdient: Was Großträger in Overhead stecken, fließt hier in die Gehälter derer, die am Menschen arbeiten. Dazu unbefristete Verträge, transparente Entwicklungspfade (Praxisanleiter, Fachbereichsleitung, Standortleitung), betriebliche Altersvorsorge und Erfolgsbeteiligung am Maßnahmenerfolg.</w:t>
      </w:r>
    </w:p>
    <w:p>
      <w:pPr>
        <w:pStyle w:val="ListParagraph"/>
        <w:numPr>
          <w:ilvl w:val="0"/>
          <w:numId w:val="2"/>
        </w:numPr>
        <w:spacing w:after="60" w:line="264"/>
        <w:jc w:val="both"/>
      </w:pPr>
      <w:r>
        <w:rPr>
          <w:b/>
          <w:bCs/>
        </w:rPr>
        <w:t xml:space="preserve">Gesellschaftliche Einbindung – der eigentliche Schutz: </w:t>
      </w:r>
      <w:r>
        <w:t xml:space="preserve">eigene Mitarbeiterwohnungen, in denen internationale Fachkräfte sicher ankommen und sich zu Hause fühlen; bewusst gemischt belegt bzw. mit Begegnungsflächen, damit Kontakt zu einheimischen Kolleginnen und Kollegen selbstverständlich wird: Gemeinschaftsküche für gemeinsames Kochen, Sportangebote (Betriebsmannschaften, Fitnessraum, Vereinskooperationen), kulturelle Angebote und Feste beider Herkunftskulturen, Tandems/Patenschaften zwischen einheimischen und internationalen Fachkräften, Unterstützung bei Behörden, Familiennachzug und Sprachkursen für Angehörige.</w:t>
      </w:r>
    </w:p>
    <w:p>
      <w:pPr>
        <w:pStyle w:val="ListParagraph"/>
        <w:numPr>
          <w:ilvl w:val="0"/>
          <w:numId w:val="2"/>
        </w:numPr>
        <w:spacing w:after="60" w:line="264"/>
        <w:jc w:val="both"/>
      </w:pPr>
      <w:r>
        <w:rPr>
          <w:b/>
          <w:bCs/>
        </w:rPr>
        <w:t xml:space="preserve">Wirkung: </w:t>
      </w:r>
      <w:r>
        <w:t xml:space="preserve">Wer am Standort Wohnung, Freundeskreis, Verein und Familie hat, wechselt nicht für einen geringen Gehaltsaufschlag zu einem anonymen Wettbewerber. Die Wohnkonzepte tragen sich zudem wirtschaftlich (Belegungssicherheit, faire Mieten statt Vermittlungsprovisionen an Dritte). Die Fluktuationsquote wird als Kennzahl im Dashboard geführt – Bindung ist Chefsache und Qualitätsmerkmal gegenüber Kostenträgern, die Kontinuität im Personal ausdrücklich bewerten.</w:t>
      </w:r>
    </w:p>
    <w:p>
      <w:pPr>
        <w:pStyle w:val="Heading2"/>
        <w:spacing w:after="100" w:before="240"/>
      </w:pPr>
      <w:r>
        <w:rPr>
          <w:color w:val="1F4E5F"/>
        </w:rPr>
        <w:t xml:space="preserve">8.4 Ausblick: Vom Träger zum Standard – drei Innovationsimpulse</w:t>
      </w:r>
    </w:p>
    <w:p>
      <w:pPr>
        <w:pStyle w:val="ListParagraph"/>
        <w:numPr>
          <w:ilvl w:val="0"/>
          <w:numId w:val="2"/>
        </w:numPr>
        <w:spacing w:after="60" w:line="264"/>
        <w:jc w:val="both"/>
      </w:pPr>
      <w:r>
        <w:rPr>
          <w:b/>
          <w:bCs/>
        </w:rPr>
        <w:t xml:space="preserve">KAȲȲA Alliance (Plattform-Lizenz für lokale Träger): </w:t>
      </w:r>
      <w:r>
        <w:t xml:space="preserve">Die berechtigten, gewachsenen regionalen Träger (Kapitel 7.2) sind nicht der Feind – sie sind künftige Partner. KAȲȲA OS wird mandantenfähig so gebaut, dass kleine Träger die Plattform lizenzieren können: Sie erhalten schlanke Verwaltung und Kostenträger-Transparenz, die sie allein nie finanzieren könnten; die Tochter erhält wiederkehrende Lizenzerlöse, und jeder Alliance-Partner verbreitet den Transparenzstandard weiter. Aus Wettbewerb wird ein Netzwerk – und wer den Standard betreibt, führt den Markt.</w:t>
      </w:r>
    </w:p>
    <w:p>
      <w:pPr>
        <w:pStyle w:val="ListParagraph"/>
        <w:numPr>
          <w:ilvl w:val="0"/>
          <w:numId w:val="2"/>
        </w:numPr>
        <w:spacing w:after="60" w:line="264"/>
        <w:jc w:val="both"/>
      </w:pPr>
      <w:r>
        <w:rPr>
          <w:b/>
          <w:bCs/>
        </w:rPr>
        <w:t xml:space="preserve">Erfolgsbasierte Vergütung (Pay for Success): </w:t>
      </w:r>
      <w:r>
        <w:t xml:space="preserve">Weil Wirkung hier erstmals revisionssicher belegbar ist, kann KAȲȲA den Kostenträgern anbieten, was kein Träger anbieten kann: Vergütungsmodelle mit Erfolgskomponente (z. B. Bonus je nachhaltiger Eingliederung, Social-Impact-Bond-Strukturen mit Landes- oder Stiftungsbeteiligung). Das dreht die Beweislast um – und verschafft in Vergaben ein Angebot, das Wettbewerber mangels Datenbasis nicht kontern können.</w:t>
      </w:r>
    </w:p>
    <w:p>
      <w:pPr>
        <w:pStyle w:val="ListParagraph"/>
        <w:numPr>
          <w:ilvl w:val="0"/>
          <w:numId w:val="2"/>
        </w:numPr>
        <w:spacing w:after="60" w:line="264"/>
        <w:jc w:val="both"/>
      </w:pPr>
      <w:r>
        <w:rPr>
          <w:b/>
          <w:bCs/>
        </w:rPr>
        <w:t xml:space="preserve">Jährlicher auditierter Transparenzbericht + Forschungszugang: </w:t>
      </w:r>
      <w:r>
        <w:t xml:space="preserve">Ein öffentlicher Wirkungs- und Mittelverwendungsbericht (extern geprüft) macht die offenen Bücher zur Marke; anonymisierte Wirkungsdaten werden über eine Datentreuhand der Arbeitsmarktforschung zugänglich gemacht. Flankiert von einem wissenschaftlichen Beirat und einem Praxisbeirat der Kostenträger – das stärkt rehapro-Anträge, Vergabekonzepte und die politische Anschlussfähigkeit des Modells.</w:t>
      </w:r>
    </w:p>
    <w:p>
      <w:pPr>
        <w:pStyle w:val="Heading1"/>
        <w:spacing w:after="140" w:before="320"/>
      </w:pPr>
      <w:r>
        <w:rPr>
          <w:color w:val="1F4E5F"/>
        </w:rPr>
        <w:t xml:space="preserve">9. Förder- und Finanzierungsquellen (Gesamtübersicht)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shd w:fill="1F4E5F" w:val="clear"/>
            <w:tcMar>
              <w:top w:type="dxa" w:w="60"/>
              <w:left w:type="dxa" w:w="100"/>
              <w:bottom w:type="dxa" w:w="60"/>
              <w:right w:type="dxa" w:w="100"/>
            </w:tcMar>
          </w:tcPr>
          <w:p>
            <w:r>
              <w:rPr>
                <w:b/>
                <w:bCs/>
                <w:color w:val="FFFFFF"/>
                <w:sz w:val="20"/>
                <w:szCs w:val="20"/>
              </w:rPr>
              <w:t xml:space="preserve">Quelle / Behörde</w:t>
            </w:r>
          </w:p>
        </w:tc>
        <w:tc>
          <w:tcPr>
            <w:tcW w:type="dxa" w:w="4160"/>
            <w:shd w:fill="1F4E5F" w:val="clear"/>
            <w:tcMar>
              <w:top w:type="dxa" w:w="60"/>
              <w:left w:type="dxa" w:w="100"/>
              <w:bottom w:type="dxa" w:w="60"/>
              <w:right w:type="dxa" w:w="100"/>
            </w:tcMar>
          </w:tcPr>
          <w:p>
            <w:r>
              <w:rPr>
                <w:b/>
                <w:bCs/>
                <w:color w:val="FFFFFF"/>
                <w:sz w:val="20"/>
                <w:szCs w:val="20"/>
              </w:rPr>
              <w:t xml:space="preserve">Rechtsgrundlage / Programm</w:t>
            </w:r>
          </w:p>
        </w:tc>
        <w:tc>
          <w:tcPr>
            <w:tcW w:type="dxa" w:w="2600"/>
            <w:shd w:fill="1F4E5F" w:val="clear"/>
            <w:tcMar>
              <w:top w:type="dxa" w:w="60"/>
              <w:left w:type="dxa" w:w="100"/>
              <w:bottom w:type="dxa" w:w="60"/>
              <w:right w:type="dxa" w:w="100"/>
            </w:tcMar>
          </w:tcPr>
          <w:p>
            <w:r>
              <w:rPr>
                <w:b/>
                <w:bCs/>
                <w:color w:val="FFFFFF"/>
                <w:sz w:val="20"/>
                <w:szCs w:val="20"/>
              </w:rPr>
              <w:t xml:space="preserve">Relevant für</w:t>
            </w:r>
          </w:p>
        </w:tc>
      </w:tr>
      <w:tr>
        <w:tc>
          <w:tcPr>
            <w:tcW w:type="dxa" w:w="2600"/>
            <w:shd w:fill="FFFFFF" w:val="clear"/>
            <w:tcMar>
              <w:top w:type="dxa" w:w="60"/>
              <w:left w:type="dxa" w:w="100"/>
              <w:bottom w:type="dxa" w:w="60"/>
              <w:right w:type="dxa" w:w="100"/>
            </w:tcMar>
          </w:tcPr>
          <w:p>
            <w:r>
              <w:rPr>
                <w:b w:val="false"/>
                <w:bCs w:val="false"/>
                <w:color w:val="000000"/>
                <w:sz w:val="20"/>
                <w:szCs w:val="20"/>
              </w:rPr>
              <w:t xml:space="preserve">Bundesagentur für Arbeit / Jobcenter</w:t>
            </w:r>
          </w:p>
        </w:tc>
        <w:tc>
          <w:tcPr>
            <w:tcW w:type="dxa" w:w="4160"/>
            <w:shd w:fill="FFFFFF" w:val="clear"/>
            <w:tcMar>
              <w:top w:type="dxa" w:w="60"/>
              <w:left w:type="dxa" w:w="100"/>
              <w:bottom w:type="dxa" w:w="60"/>
              <w:right w:type="dxa" w:w="100"/>
            </w:tcMar>
          </w:tcPr>
          <w:p>
            <w:r>
              <w:rPr>
                <w:b w:val="false"/>
                <w:bCs w:val="false"/>
                <w:color w:val="000000"/>
                <w:sz w:val="20"/>
                <w:szCs w:val="20"/>
              </w:rPr>
              <w:t xml:space="preserve">Bildungsgutschein (§ 81 SGB III), AVGS (§ 45), Vergabemaßnahmen (REZ), Beschäftigtenqualifizierung (§ 82), berufliche Reha (§§ 112 ff. SGB III), § 16 SGB II</w:t>
            </w:r>
          </w:p>
        </w:tc>
        <w:tc>
          <w:tcPr>
            <w:tcW w:type="dxa" w:w="2600"/>
            <w:shd w:fill="FFFFFF" w:val="clear"/>
            <w:tcMar>
              <w:top w:type="dxa" w:w="60"/>
              <w:left w:type="dxa" w:w="100"/>
              <w:bottom w:type="dxa" w:w="60"/>
              <w:right w:type="dxa" w:w="100"/>
            </w:tcMar>
          </w:tcPr>
          <w:p>
            <w:r>
              <w:rPr>
                <w:b w:val="false"/>
                <w:bCs w:val="false"/>
                <w:color w:val="000000"/>
                <w:sz w:val="20"/>
                <w:szCs w:val="20"/>
              </w:rPr>
              <w:t xml:space="preserve">Weiterbildung, Umschulung, Aktivierung, Reha</w:t>
            </w:r>
          </w:p>
        </w:tc>
      </w:tr>
      <w:tr>
        <w:tc>
          <w:tcPr>
            <w:tcW w:type="dxa" w:w="2600"/>
            <w:shd w:fill="F2F2F2" w:val="clear"/>
            <w:tcMar>
              <w:top w:type="dxa" w:w="60"/>
              <w:left w:type="dxa" w:w="100"/>
              <w:bottom w:type="dxa" w:w="60"/>
              <w:right w:type="dxa" w:w="100"/>
            </w:tcMar>
          </w:tcPr>
          <w:p>
            <w:r>
              <w:rPr>
                <w:b w:val="false"/>
                <w:bCs w:val="false"/>
                <w:color w:val="000000"/>
                <w:sz w:val="20"/>
                <w:szCs w:val="20"/>
              </w:rPr>
              <w:t xml:space="preserve">Deutsche Rentenversicherung</w:t>
            </w:r>
          </w:p>
        </w:tc>
        <w:tc>
          <w:tcPr>
            <w:tcW w:type="dxa" w:w="4160"/>
            <w:shd w:fill="F2F2F2" w:val="clear"/>
            <w:tcMar>
              <w:top w:type="dxa" w:w="60"/>
              <w:left w:type="dxa" w:w="100"/>
              <w:bottom w:type="dxa" w:w="60"/>
              <w:right w:type="dxa" w:w="100"/>
            </w:tcMar>
          </w:tcPr>
          <w:p>
            <w:r>
              <w:rPr>
                <w:b w:val="false"/>
                <w:bCs w:val="false"/>
                <w:color w:val="000000"/>
                <w:sz w:val="20"/>
                <w:szCs w:val="20"/>
              </w:rPr>
              <w:t xml:space="preserve">Med. Reha/Entwöhnung/Adaption (§ 15 SGB VI), Leistungen zur Teilhabe am Arbeitsleben (§ 16 SGB VI, §§ 49 ff. SGB IX), Auslandserbringung § 31 SGB IX</w:t>
            </w:r>
          </w:p>
        </w:tc>
        <w:tc>
          <w:tcPr>
            <w:tcW w:type="dxa" w:w="2600"/>
            <w:shd w:fill="F2F2F2" w:val="clear"/>
            <w:tcMar>
              <w:top w:type="dxa" w:w="60"/>
              <w:left w:type="dxa" w:w="100"/>
              <w:bottom w:type="dxa" w:w="60"/>
              <w:right w:type="dxa" w:w="100"/>
            </w:tcMar>
          </w:tcPr>
          <w:p>
            <w:r>
              <w:rPr>
                <w:b w:val="false"/>
                <w:bCs w:val="false"/>
                <w:color w:val="000000"/>
                <w:sz w:val="20"/>
                <w:szCs w:val="20"/>
              </w:rPr>
              <w:t xml:space="preserve">Suchtreha, berufliche Wiedereingliederung, Reha-Einrichtung</w:t>
            </w:r>
          </w:p>
        </w:tc>
      </w:tr>
      <w:tr>
        <w:tc>
          <w:tcPr>
            <w:tcW w:type="dxa" w:w="2600"/>
            <w:shd w:fill="FFFFFF" w:val="clear"/>
            <w:tcMar>
              <w:top w:type="dxa" w:w="60"/>
              <w:left w:type="dxa" w:w="100"/>
              <w:bottom w:type="dxa" w:w="60"/>
              <w:right w:type="dxa" w:w="100"/>
            </w:tcMar>
          </w:tcPr>
          <w:p>
            <w:r>
              <w:rPr>
                <w:b w:val="false"/>
                <w:bCs w:val="false"/>
                <w:color w:val="000000"/>
                <w:sz w:val="20"/>
                <w:szCs w:val="20"/>
              </w:rPr>
              <w:t xml:space="preserve">Bundesprogramm rehapro (BMAS)</w:t>
            </w:r>
          </w:p>
        </w:tc>
        <w:tc>
          <w:tcPr>
            <w:tcW w:type="dxa" w:w="4160"/>
            <w:shd w:fill="FFFFFF" w:val="clear"/>
            <w:tcMar>
              <w:top w:type="dxa" w:w="60"/>
              <w:left w:type="dxa" w:w="100"/>
              <w:bottom w:type="dxa" w:w="60"/>
              <w:right w:type="dxa" w:w="100"/>
            </w:tcMar>
          </w:tcPr>
          <w:p>
            <w:r>
              <w:rPr>
                <w:b w:val="false"/>
                <w:bCs w:val="false"/>
                <w:color w:val="000000"/>
                <w:sz w:val="20"/>
                <w:szCs w:val="20"/>
              </w:rPr>
              <w:t xml:space="preserve">§ 11 SGB IX, Förderaufrufe über DRV/Jobcenter als Bedarfsträger</w:t>
            </w:r>
          </w:p>
        </w:tc>
        <w:tc>
          <w:tcPr>
            <w:tcW w:type="dxa" w:w="2600"/>
            <w:shd w:fill="FFFFFF" w:val="clear"/>
            <w:tcMar>
              <w:top w:type="dxa" w:w="60"/>
              <w:left w:type="dxa" w:w="100"/>
              <w:bottom w:type="dxa" w:w="60"/>
              <w:right w:type="dxa" w:w="100"/>
            </w:tcMar>
          </w:tcPr>
          <w:p>
            <w:r>
              <w:rPr>
                <w:b w:val="false"/>
                <w:bCs w:val="false"/>
                <w:color w:val="000000"/>
                <w:sz w:val="20"/>
                <w:szCs w:val="20"/>
              </w:rPr>
              <w:t xml:space="preserve">Modellprojekt Auslands-Wiedereingliederung Suchtkranker</w:t>
            </w:r>
          </w:p>
        </w:tc>
      </w:tr>
      <w:tr>
        <w:tc>
          <w:tcPr>
            <w:tcW w:type="dxa" w:w="2600"/>
            <w:shd w:fill="F2F2F2" w:val="clear"/>
            <w:tcMar>
              <w:top w:type="dxa" w:w="60"/>
              <w:left w:type="dxa" w:w="100"/>
              <w:bottom w:type="dxa" w:w="60"/>
              <w:right w:type="dxa" w:w="100"/>
            </w:tcMar>
          </w:tcPr>
          <w:p>
            <w:r>
              <w:rPr>
                <w:b w:val="false"/>
                <w:bCs w:val="false"/>
                <w:color w:val="000000"/>
                <w:sz w:val="20"/>
                <w:szCs w:val="20"/>
              </w:rPr>
              <w:t xml:space="preserve">Krankenkassen</w:t>
            </w:r>
          </w:p>
        </w:tc>
        <w:tc>
          <w:tcPr>
            <w:tcW w:type="dxa" w:w="4160"/>
            <w:shd w:fill="F2F2F2" w:val="clear"/>
            <w:tcMar>
              <w:top w:type="dxa" w:w="60"/>
              <w:left w:type="dxa" w:w="100"/>
              <w:bottom w:type="dxa" w:w="60"/>
              <w:right w:type="dxa" w:w="100"/>
            </w:tcMar>
          </w:tcPr>
          <w:p>
            <w:r>
              <w:rPr>
                <w:b w:val="false"/>
                <w:bCs w:val="false"/>
                <w:color w:val="000000"/>
                <w:sz w:val="20"/>
                <w:szCs w:val="20"/>
              </w:rPr>
              <w:t xml:space="preserve">Entzug/Entgiftung (SGB V), Versorgungsverträge § 111 SGB V</w:t>
            </w:r>
          </w:p>
        </w:tc>
        <w:tc>
          <w:tcPr>
            <w:tcW w:type="dxa" w:w="2600"/>
            <w:shd w:fill="F2F2F2" w:val="clear"/>
            <w:tcMar>
              <w:top w:type="dxa" w:w="60"/>
              <w:left w:type="dxa" w:w="100"/>
              <w:bottom w:type="dxa" w:w="60"/>
              <w:right w:type="dxa" w:w="100"/>
            </w:tcMar>
          </w:tcPr>
          <w:p>
            <w:r>
              <w:rPr>
                <w:b w:val="false"/>
                <w:bCs w:val="false"/>
                <w:color w:val="000000"/>
                <w:sz w:val="20"/>
                <w:szCs w:val="20"/>
              </w:rPr>
              <w:t xml:space="preserve">Suchtkette, Reha-Einrichtung</w:t>
            </w:r>
          </w:p>
        </w:tc>
      </w:tr>
      <w:tr>
        <w:tc>
          <w:tcPr>
            <w:tcW w:type="dxa" w:w="2600"/>
            <w:shd w:fill="FFFFFF" w:val="clear"/>
            <w:tcMar>
              <w:top w:type="dxa" w:w="60"/>
              <w:left w:type="dxa" w:w="100"/>
              <w:bottom w:type="dxa" w:w="60"/>
              <w:right w:type="dxa" w:w="100"/>
            </w:tcMar>
          </w:tcPr>
          <w:p>
            <w:r>
              <w:rPr>
                <w:b w:val="false"/>
                <w:bCs w:val="false"/>
                <w:color w:val="000000"/>
                <w:sz w:val="20"/>
                <w:szCs w:val="20"/>
              </w:rPr>
              <w:t xml:space="preserve">Pflege-/Unfallversicherung</w:t>
            </w:r>
          </w:p>
        </w:tc>
        <w:tc>
          <w:tcPr>
            <w:tcW w:type="dxa" w:w="4160"/>
            <w:shd w:fill="FFFFFF" w:val="clear"/>
            <w:tcMar>
              <w:top w:type="dxa" w:w="60"/>
              <w:left w:type="dxa" w:w="100"/>
              <w:bottom w:type="dxa" w:w="60"/>
              <w:right w:type="dxa" w:w="100"/>
            </w:tcMar>
          </w:tcPr>
          <w:p>
            <w:r>
              <w:rPr>
                <w:b w:val="false"/>
                <w:bCs w:val="false"/>
                <w:color w:val="000000"/>
                <w:sz w:val="20"/>
                <w:szCs w:val="20"/>
              </w:rPr>
              <w:t xml:space="preserve">Versorgungsvertrag § 72 SGB XI; LTA nach SGB VII</w:t>
            </w:r>
          </w:p>
        </w:tc>
        <w:tc>
          <w:tcPr>
            <w:tcW w:type="dxa" w:w="2600"/>
            <w:shd w:fill="FFFFFF" w:val="clear"/>
            <w:tcMar>
              <w:top w:type="dxa" w:w="60"/>
              <w:left w:type="dxa" w:w="100"/>
              <w:bottom w:type="dxa" w:w="60"/>
              <w:right w:type="dxa" w:w="100"/>
            </w:tcMar>
          </w:tcPr>
          <w:p>
            <w:r>
              <w:rPr>
                <w:b w:val="false"/>
                <w:bCs w:val="false"/>
                <w:color w:val="000000"/>
                <w:sz w:val="20"/>
                <w:szCs w:val="20"/>
              </w:rPr>
              <w:t xml:space="preserve">Eigene Einrichtungen, Reha nach Arbeitsunfall</w:t>
            </w:r>
          </w:p>
        </w:tc>
      </w:tr>
      <w:tr>
        <w:tc>
          <w:tcPr>
            <w:tcW w:type="dxa" w:w="2600"/>
            <w:shd w:fill="F2F2F2" w:val="clear"/>
            <w:tcMar>
              <w:top w:type="dxa" w:w="60"/>
              <w:left w:type="dxa" w:w="100"/>
              <w:bottom w:type="dxa" w:w="60"/>
              <w:right w:type="dxa" w:w="100"/>
            </w:tcMar>
          </w:tcPr>
          <w:p>
            <w:r>
              <w:rPr>
                <w:b w:val="false"/>
                <w:bCs w:val="false"/>
                <w:color w:val="000000"/>
                <w:sz w:val="20"/>
                <w:szCs w:val="20"/>
              </w:rPr>
              <w:t xml:space="preserve">BAMF</w:t>
            </w:r>
          </w:p>
        </w:tc>
        <w:tc>
          <w:tcPr>
            <w:tcW w:type="dxa" w:w="4160"/>
            <w:shd w:fill="F2F2F2" w:val="clear"/>
            <w:tcMar>
              <w:top w:type="dxa" w:w="60"/>
              <w:left w:type="dxa" w:w="100"/>
              <w:bottom w:type="dxa" w:w="60"/>
              <w:right w:type="dxa" w:w="100"/>
            </w:tcMar>
          </w:tcPr>
          <w:p>
            <w:r>
              <w:rPr>
                <w:b w:val="false"/>
                <w:bCs w:val="false"/>
                <w:color w:val="000000"/>
                <w:sz w:val="20"/>
                <w:szCs w:val="20"/>
              </w:rPr>
              <w:t xml:space="preserve">Integrationskurse, Berufssprachkurse (DeuFöV)</w:t>
            </w:r>
          </w:p>
        </w:tc>
        <w:tc>
          <w:tcPr>
            <w:tcW w:type="dxa" w:w="2600"/>
            <w:shd w:fill="F2F2F2" w:val="clear"/>
            <w:tcMar>
              <w:top w:type="dxa" w:w="60"/>
              <w:left w:type="dxa" w:w="100"/>
              <w:bottom w:type="dxa" w:w="60"/>
              <w:right w:type="dxa" w:w="100"/>
            </w:tcMar>
          </w:tcPr>
          <w:p>
            <w:r>
              <w:rPr>
                <w:b w:val="false"/>
                <w:bCs w:val="false"/>
                <w:color w:val="000000"/>
                <w:sz w:val="20"/>
                <w:szCs w:val="20"/>
              </w:rPr>
              <w:t xml:space="preserve">Sprachförderung, auch für internationale Fachkräfte nach Einreise</w:t>
            </w:r>
          </w:p>
        </w:tc>
      </w:tr>
      <w:tr>
        <w:tc>
          <w:tcPr>
            <w:tcW w:type="dxa" w:w="2600"/>
            <w:shd w:fill="FFFFFF" w:val="clear"/>
            <w:tcMar>
              <w:top w:type="dxa" w:w="60"/>
              <w:left w:type="dxa" w:w="100"/>
              <w:bottom w:type="dxa" w:w="60"/>
              <w:right w:type="dxa" w:w="100"/>
            </w:tcMar>
          </w:tcPr>
          <w:p>
            <w:r>
              <w:rPr>
                <w:b w:val="false"/>
                <w:bCs w:val="false"/>
                <w:color w:val="000000"/>
                <w:sz w:val="20"/>
                <w:szCs w:val="20"/>
              </w:rPr>
              <w:t xml:space="preserve">ESF+ / Bund / Länder</w:t>
            </w:r>
          </w:p>
        </w:tc>
        <w:tc>
          <w:tcPr>
            <w:tcW w:type="dxa" w:w="4160"/>
            <w:shd w:fill="FFFFFF" w:val="clear"/>
            <w:tcMar>
              <w:top w:type="dxa" w:w="60"/>
              <w:left w:type="dxa" w:w="100"/>
              <w:bottom w:type="dxa" w:w="60"/>
              <w:right w:type="dxa" w:w="100"/>
            </w:tcMar>
          </w:tcPr>
          <w:p>
            <w:r>
              <w:rPr>
                <w:b w:val="false"/>
                <w:bCs w:val="false"/>
                <w:color w:val="000000"/>
                <w:sz w:val="20"/>
                <w:szCs w:val="20"/>
              </w:rPr>
              <w:t xml:space="preserve">ESF-Plus-Programme (z. B. berufliche Integration, WIR), Landesarbeitsmarkt- und Weiterbildungsprogramme, Bildungsurlaubs-Anerkennung</w:t>
            </w:r>
          </w:p>
        </w:tc>
        <w:tc>
          <w:tcPr>
            <w:tcW w:type="dxa" w:w="2600"/>
            <w:shd w:fill="FFFFFF" w:val="clear"/>
            <w:tcMar>
              <w:top w:type="dxa" w:w="60"/>
              <w:left w:type="dxa" w:w="100"/>
              <w:bottom w:type="dxa" w:w="60"/>
              <w:right w:type="dxa" w:w="100"/>
            </w:tcMar>
          </w:tcPr>
          <w:p>
            <w:r>
              <w:rPr>
                <w:b w:val="false"/>
                <w:bCs w:val="false"/>
                <w:color w:val="000000"/>
                <w:sz w:val="20"/>
                <w:szCs w:val="20"/>
              </w:rPr>
              <w:t xml:space="preserve">Alle Bildungsangebote, Projektfinanzierung</w:t>
            </w:r>
          </w:p>
        </w:tc>
      </w:tr>
      <w:tr>
        <w:tc>
          <w:tcPr>
            <w:tcW w:type="dxa" w:w="2600"/>
            <w:shd w:fill="F2F2F2" w:val="clear"/>
            <w:tcMar>
              <w:top w:type="dxa" w:w="60"/>
              <w:left w:type="dxa" w:w="100"/>
              <w:bottom w:type="dxa" w:w="60"/>
              <w:right w:type="dxa" w:w="100"/>
            </w:tcMar>
          </w:tcPr>
          <w:p>
            <w:r>
              <w:rPr>
                <w:b w:val="false"/>
                <w:bCs w:val="false"/>
                <w:color w:val="000000"/>
                <w:sz w:val="20"/>
                <w:szCs w:val="20"/>
              </w:rPr>
              <w:t xml:space="preserve">Programme Fachkräfteeinwanderung</w:t>
            </w:r>
          </w:p>
        </w:tc>
        <w:tc>
          <w:tcPr>
            <w:tcW w:type="dxa" w:w="4160"/>
            <w:shd w:fill="F2F2F2" w:val="clear"/>
            <w:tcMar>
              <w:top w:type="dxa" w:w="60"/>
              <w:left w:type="dxa" w:w="100"/>
              <w:bottom w:type="dxa" w:w="60"/>
              <w:right w:type="dxa" w:w="100"/>
            </w:tcMar>
          </w:tcPr>
          <w:p>
            <w:r>
              <w:rPr>
                <w:b w:val="false"/>
                <w:bCs w:val="false"/>
                <w:color w:val="000000"/>
                <w:sz w:val="20"/>
                <w:szCs w:val="20"/>
              </w:rPr>
              <w:t xml:space="preserve">Beratungs-/Netzwerkprogramme (z. B. Hand in Hand for International Talents, unternehmensWert:Mensch), Anerkennungszuschuss</w:t>
            </w:r>
          </w:p>
        </w:tc>
        <w:tc>
          <w:tcPr>
            <w:tcW w:type="dxa" w:w="2600"/>
            <w:shd w:fill="F2F2F2" w:val="clear"/>
            <w:tcMar>
              <w:top w:type="dxa" w:w="60"/>
              <w:left w:type="dxa" w:w="100"/>
              <w:bottom w:type="dxa" w:w="60"/>
              <w:right w:type="dxa" w:w="100"/>
            </w:tcMar>
          </w:tcPr>
          <w:p>
            <w:r>
              <w:rPr>
                <w:b w:val="false"/>
                <w:bCs w:val="false"/>
                <w:color w:val="000000"/>
                <w:sz w:val="20"/>
                <w:szCs w:val="20"/>
              </w:rPr>
              <w:t xml:space="preserve">Internationales Geschäft</w:t>
            </w:r>
          </w:p>
        </w:tc>
      </w:tr>
      <w:tr>
        <w:tc>
          <w:tcPr>
            <w:tcW w:type="dxa" w:w="2600"/>
            <w:shd w:fill="FFFFFF" w:val="clear"/>
            <w:tcMar>
              <w:top w:type="dxa" w:w="60"/>
              <w:left w:type="dxa" w:w="100"/>
              <w:bottom w:type="dxa" w:w="60"/>
              <w:right w:type="dxa" w:w="100"/>
            </w:tcMar>
          </w:tcPr>
          <w:p>
            <w:r>
              <w:rPr>
                <w:b w:val="false"/>
                <w:bCs w:val="false"/>
                <w:color w:val="000000"/>
                <w:sz w:val="20"/>
                <w:szCs w:val="20"/>
              </w:rPr>
              <w:t xml:space="preserve">Arbeitgeber</w:t>
            </w:r>
          </w:p>
        </w:tc>
        <w:tc>
          <w:tcPr>
            <w:tcW w:type="dxa" w:w="4160"/>
            <w:shd w:fill="FFFFFF" w:val="clear"/>
            <w:tcMar>
              <w:top w:type="dxa" w:w="60"/>
              <w:left w:type="dxa" w:w="100"/>
              <w:bottom w:type="dxa" w:w="60"/>
              <w:right w:type="dxa" w:w="100"/>
            </w:tcMar>
          </w:tcPr>
          <w:p>
            <w:r>
              <w:rPr>
                <w:b w:val="false"/>
                <w:bCs w:val="false"/>
                <w:color w:val="000000"/>
                <w:sz w:val="20"/>
                <w:szCs w:val="20"/>
              </w:rPr>
              <w:t xml:space="preserve">Employer-Pays-Pauschalen (Ausbildung + Vermittlung), Weiterbildungsaufträge, Umlagen (z. B. Ausgleichsabgabe-Projekte)</w:t>
            </w:r>
          </w:p>
        </w:tc>
        <w:tc>
          <w:tcPr>
            <w:tcW w:type="dxa" w:w="2600"/>
            <w:shd w:fill="FFFFFF" w:val="clear"/>
            <w:tcMar>
              <w:top w:type="dxa" w:w="60"/>
              <w:left w:type="dxa" w:w="100"/>
              <w:bottom w:type="dxa" w:w="60"/>
              <w:right w:type="dxa" w:w="100"/>
            </w:tcMar>
          </w:tcPr>
          <w:p>
            <w:r>
              <w:rPr>
                <w:b w:val="false"/>
                <w:bCs w:val="false"/>
                <w:color w:val="000000"/>
                <w:sz w:val="20"/>
                <w:szCs w:val="20"/>
              </w:rPr>
              <w:t xml:space="preserve">Internationale Vermittlung, Firmenseminare (Tochter-GmbH)</w:t>
            </w:r>
          </w:p>
        </w:tc>
      </w:tr>
      <w:tr>
        <w:tc>
          <w:tcPr>
            <w:tcW w:type="dxa" w:w="2600"/>
            <w:shd w:fill="F2F2F2" w:val="clear"/>
            <w:tcMar>
              <w:top w:type="dxa" w:w="60"/>
              <w:left w:type="dxa" w:w="100"/>
              <w:bottom w:type="dxa" w:w="60"/>
              <w:right w:type="dxa" w:w="100"/>
            </w:tcMar>
          </w:tcPr>
          <w:p>
            <w:r>
              <w:rPr>
                <w:b w:val="false"/>
                <w:bCs w:val="false"/>
                <w:color w:val="000000"/>
                <w:sz w:val="20"/>
                <w:szCs w:val="20"/>
              </w:rPr>
              <w:t xml:space="preserve">BA/REZ – weitere Vergabelose</w:t>
            </w:r>
          </w:p>
        </w:tc>
        <w:tc>
          <w:tcPr>
            <w:tcW w:type="dxa" w:w="4160"/>
            <w:shd w:fill="F2F2F2" w:val="clear"/>
            <w:tcMar>
              <w:top w:type="dxa" w:w="60"/>
              <w:left w:type="dxa" w:w="100"/>
              <w:bottom w:type="dxa" w:w="60"/>
              <w:right w:type="dxa" w:w="100"/>
            </w:tcMar>
          </w:tcPr>
          <w:p>
            <w:r>
              <w:rPr>
                <w:b w:val="false"/>
                <w:bCs w:val="false"/>
                <w:color w:val="000000"/>
                <w:sz w:val="20"/>
                <w:szCs w:val="20"/>
              </w:rPr>
              <w:t xml:space="preserve">Berufsvorbereitung BvB (§ 51), außerbetriebliche Ausbildung BaE (§ 76), Assistierte Ausbildung AsA (§§ 74 ff.), Reha-spezifische Lose; daneben LTA-Ausschreibungen der DRV</w:t>
            </w:r>
          </w:p>
        </w:tc>
        <w:tc>
          <w:tcPr>
            <w:tcW w:type="dxa" w:w="2600"/>
            <w:shd w:fill="F2F2F2" w:val="clear"/>
            <w:tcMar>
              <w:top w:type="dxa" w:w="60"/>
              <w:left w:type="dxa" w:w="100"/>
              <w:bottom w:type="dxa" w:w="60"/>
              <w:right w:type="dxa" w:w="100"/>
            </w:tcMar>
          </w:tcPr>
          <w:p>
            <w:r>
              <w:rPr>
                <w:b w:val="false"/>
                <w:bCs w:val="false"/>
                <w:color w:val="000000"/>
                <w:sz w:val="20"/>
                <w:szCs w:val="20"/>
              </w:rPr>
              <w:t xml:space="preserve">Zusätzliches Losgeschäft, Jugendliche/Reha-Zielgruppen</w:t>
            </w:r>
          </w:p>
        </w:tc>
      </w:tr>
      <w:tr>
        <w:tc>
          <w:tcPr>
            <w:tcW w:type="dxa" w:w="2600"/>
            <w:shd w:fill="FFFFFF" w:val="clear"/>
            <w:tcMar>
              <w:top w:type="dxa" w:w="60"/>
              <w:left w:type="dxa" w:w="100"/>
              <w:bottom w:type="dxa" w:w="60"/>
              <w:right w:type="dxa" w:w="100"/>
            </w:tcMar>
          </w:tcPr>
          <w:p>
            <w:r>
              <w:rPr>
                <w:b w:val="false"/>
                <w:bCs w:val="false"/>
                <w:color w:val="000000"/>
                <w:sz w:val="20"/>
                <w:szCs w:val="20"/>
              </w:rPr>
              <w:t xml:space="preserve">Qualifizierungsgeld (§ 82a SGB III, seit 4/2024)</w:t>
            </w:r>
          </w:p>
        </w:tc>
        <w:tc>
          <w:tcPr>
            <w:tcW w:type="dxa" w:w="4160"/>
            <w:shd w:fill="FFFFFF" w:val="clear"/>
            <w:tcMar>
              <w:top w:type="dxa" w:w="60"/>
              <w:left w:type="dxa" w:w="100"/>
              <w:bottom w:type="dxa" w:w="60"/>
              <w:right w:type="dxa" w:w="100"/>
            </w:tcMar>
          </w:tcPr>
          <w:p>
            <w:r>
              <w:rPr>
                <w:b w:val="false"/>
                <w:bCs w:val="false"/>
                <w:color w:val="000000"/>
                <w:sz w:val="20"/>
                <w:szCs w:val="20"/>
              </w:rPr>
              <w:t xml:space="preserve">Lohnersatz (60/67 %) bei strukturwandelbedingter Weiterbildung Beschäftigter; Maßnahme &gt; 120 Std. durch zertifizierten Träger</w:t>
            </w:r>
          </w:p>
        </w:tc>
        <w:tc>
          <w:tcPr>
            <w:tcW w:type="dxa" w:w="2600"/>
            <w:shd w:fill="FFFFFF" w:val="clear"/>
            <w:tcMar>
              <w:top w:type="dxa" w:w="60"/>
              <w:left w:type="dxa" w:w="100"/>
              <w:bottom w:type="dxa" w:w="60"/>
              <w:right w:type="dxa" w:w="100"/>
            </w:tcMar>
          </w:tcPr>
          <w:p>
            <w:r>
              <w:rPr>
                <w:b w:val="false"/>
                <w:bCs w:val="false"/>
                <w:color w:val="000000"/>
                <w:sz w:val="20"/>
                <w:szCs w:val="20"/>
              </w:rPr>
              <w:t xml:space="preserve">B2B-Weiterbildung für Betriebe im Strukturwandel</w:t>
            </w:r>
          </w:p>
        </w:tc>
      </w:tr>
      <w:tr>
        <w:tc>
          <w:tcPr>
            <w:tcW w:type="dxa" w:w="2600"/>
            <w:shd w:fill="F2F2F2" w:val="clear"/>
            <w:tcMar>
              <w:top w:type="dxa" w:w="60"/>
              <w:left w:type="dxa" w:w="100"/>
              <w:bottom w:type="dxa" w:w="60"/>
              <w:right w:type="dxa" w:w="100"/>
            </w:tcMar>
          </w:tcPr>
          <w:p>
            <w:r>
              <w:rPr>
                <w:b w:val="false"/>
                <w:bCs w:val="false"/>
                <w:color w:val="000000"/>
                <w:sz w:val="20"/>
                <w:szCs w:val="20"/>
              </w:rPr>
              <w:t xml:space="preserve">EU-Mobilität: Erasmus+ / AusbildungWeltweit (BMBF)</w:t>
            </w:r>
          </w:p>
        </w:tc>
        <w:tc>
          <w:tcPr>
            <w:tcW w:type="dxa" w:w="4160"/>
            <w:shd w:fill="F2F2F2" w:val="clear"/>
            <w:tcMar>
              <w:top w:type="dxa" w:w="60"/>
              <w:left w:type="dxa" w:w="100"/>
              <w:bottom w:type="dxa" w:w="60"/>
              <w:right w:type="dxa" w:w="100"/>
            </w:tcMar>
          </w:tcPr>
          <w:p>
            <w:r>
              <w:rPr>
                <w:b w:val="false"/>
                <w:bCs w:val="false"/>
                <w:color w:val="000000"/>
                <w:sz w:val="20"/>
                <w:szCs w:val="20"/>
              </w:rPr>
              <w:t xml:space="preserve">Förderung von Auslandspraktika/Lernaufenthalten in der Berufsbildung</w:t>
            </w:r>
          </w:p>
        </w:tc>
        <w:tc>
          <w:tcPr>
            <w:tcW w:type="dxa" w:w="2600"/>
            <w:shd w:fill="F2F2F2" w:val="clear"/>
            <w:tcMar>
              <w:top w:type="dxa" w:w="60"/>
              <w:left w:type="dxa" w:w="100"/>
              <w:bottom w:type="dxa" w:w="60"/>
              <w:right w:type="dxa" w:w="100"/>
            </w:tcMar>
          </w:tcPr>
          <w:p>
            <w:r>
              <w:rPr>
                <w:b w:val="false"/>
                <w:bCs w:val="false"/>
                <w:color w:val="000000"/>
                <w:sz w:val="20"/>
                <w:szCs w:val="20"/>
              </w:rPr>
              <w:t xml:space="preserve">Auslastung des Ausbildungscampus im Ausland durch deutsche Azubis</w:t>
            </w:r>
          </w:p>
        </w:tc>
      </w:tr>
      <w:tr>
        <w:tc>
          <w:tcPr>
            <w:tcW w:type="dxa" w:w="2600"/>
            <w:shd w:fill="FFFFFF" w:val="clear"/>
            <w:tcMar>
              <w:top w:type="dxa" w:w="60"/>
              <w:left w:type="dxa" w:w="100"/>
              <w:bottom w:type="dxa" w:w="60"/>
              <w:right w:type="dxa" w:w="100"/>
            </w:tcMar>
          </w:tcPr>
          <w:p>
            <w:r>
              <w:rPr>
                <w:b w:val="false"/>
                <w:bCs w:val="false"/>
                <w:color w:val="000000"/>
                <w:sz w:val="20"/>
                <w:szCs w:val="20"/>
              </w:rPr>
              <w:t xml:space="preserve">AMIF / Integrationsämter</w:t>
            </w:r>
          </w:p>
        </w:tc>
        <w:tc>
          <w:tcPr>
            <w:tcW w:type="dxa" w:w="4160"/>
            <w:shd w:fill="FFFFFF" w:val="clear"/>
            <w:tcMar>
              <w:top w:type="dxa" w:w="60"/>
              <w:left w:type="dxa" w:w="100"/>
              <w:bottom w:type="dxa" w:w="60"/>
              <w:right w:type="dxa" w:w="100"/>
            </w:tcMar>
          </w:tcPr>
          <w:p>
            <w:r>
              <w:rPr>
                <w:b w:val="false"/>
                <w:bCs w:val="false"/>
                <w:color w:val="000000"/>
                <w:sz w:val="20"/>
                <w:szCs w:val="20"/>
              </w:rPr>
              <w:t xml:space="preserve">EU-Asyl-, Migrations- und Integrationsfonds; Ausgleichsabgabe-Projekte der Integrationsämter (SGB IX)</w:t>
            </w:r>
          </w:p>
        </w:tc>
        <w:tc>
          <w:tcPr>
            <w:tcW w:type="dxa" w:w="2600"/>
            <w:shd w:fill="FFFFFF" w:val="clear"/>
            <w:tcMar>
              <w:top w:type="dxa" w:w="60"/>
              <w:left w:type="dxa" w:w="100"/>
              <w:bottom w:type="dxa" w:w="60"/>
              <w:right w:type="dxa" w:w="100"/>
            </w:tcMar>
          </w:tcPr>
          <w:p>
            <w:r>
              <w:rPr>
                <w:b w:val="false"/>
                <w:bCs w:val="false"/>
                <w:color w:val="000000"/>
                <w:sz w:val="20"/>
                <w:szCs w:val="20"/>
              </w:rPr>
              <w:t xml:space="preserve">Integrationsprojekte, Teilhabe schwerbehinderter Menschen</w:t>
            </w:r>
          </w:p>
        </w:tc>
      </w:tr>
      <w:tr>
        <w:tc>
          <w:tcPr>
            <w:tcW w:type="dxa" w:w="2600"/>
            <w:shd w:fill="F2F2F2" w:val="clear"/>
            <w:tcMar>
              <w:top w:type="dxa" w:w="60"/>
              <w:left w:type="dxa" w:w="100"/>
              <w:bottom w:type="dxa" w:w="60"/>
              <w:right w:type="dxa" w:w="100"/>
            </w:tcMar>
          </w:tcPr>
          <w:p>
            <w:r>
              <w:rPr>
                <w:b w:val="false"/>
                <w:bCs w:val="false"/>
                <w:color w:val="000000"/>
                <w:sz w:val="20"/>
                <w:szCs w:val="20"/>
              </w:rPr>
              <w:t xml:space="preserve">Aufstiegs-BAföG (AFBG)</w:t>
            </w:r>
          </w:p>
        </w:tc>
        <w:tc>
          <w:tcPr>
            <w:tcW w:type="dxa" w:w="4160"/>
            <w:shd w:fill="F2F2F2" w:val="clear"/>
            <w:tcMar>
              <w:top w:type="dxa" w:w="60"/>
              <w:left w:type="dxa" w:w="100"/>
              <w:bottom w:type="dxa" w:w="60"/>
              <w:right w:type="dxa" w:w="100"/>
            </w:tcMar>
          </w:tcPr>
          <w:p>
            <w:r>
              <w:rPr>
                <w:b w:val="false"/>
                <w:bCs w:val="false"/>
                <w:color w:val="000000"/>
                <w:sz w:val="20"/>
                <w:szCs w:val="20"/>
              </w:rPr>
              <w:t xml:space="preserve">Förderung von Aufstiegsfortbildungen (Meister, Fachwirt, Techniker)</w:t>
            </w:r>
          </w:p>
        </w:tc>
        <w:tc>
          <w:tcPr>
            <w:tcW w:type="dxa" w:w="2600"/>
            <w:shd w:fill="F2F2F2" w:val="clear"/>
            <w:tcMar>
              <w:top w:type="dxa" w:w="60"/>
              <w:left w:type="dxa" w:w="100"/>
              <w:bottom w:type="dxa" w:w="60"/>
              <w:right w:type="dxa" w:w="100"/>
            </w:tcMar>
          </w:tcPr>
          <w:p>
            <w:r>
              <w:rPr>
                <w:b w:val="false"/>
                <w:bCs w:val="false"/>
                <w:color w:val="000000"/>
                <w:sz w:val="20"/>
                <w:szCs w:val="20"/>
              </w:rPr>
              <w:t xml:space="preserve">Aufbaugeschäft Handwerk/Weiterbildung</w:t>
            </w:r>
          </w:p>
        </w:tc>
      </w:tr>
      <w:tr>
        <w:tc>
          <w:tcPr>
            <w:tcW w:type="dxa" w:w="2600"/>
            <w:shd w:fill="FFFFFF" w:val="clear"/>
            <w:tcMar>
              <w:top w:type="dxa" w:w="60"/>
              <w:left w:type="dxa" w:w="100"/>
              <w:bottom w:type="dxa" w:w="60"/>
              <w:right w:type="dxa" w:w="100"/>
            </w:tcMar>
          </w:tcPr>
          <w:p>
            <w:r>
              <w:rPr>
                <w:b w:val="false"/>
                <w:bCs w:val="false"/>
                <w:color w:val="000000"/>
                <w:sz w:val="20"/>
                <w:szCs w:val="20"/>
              </w:rPr>
              <w:t xml:space="preserve">Eingliederungs-/Jugendhilfe (Kommunen)</w:t>
            </w:r>
          </w:p>
        </w:tc>
        <w:tc>
          <w:tcPr>
            <w:tcW w:type="dxa" w:w="4160"/>
            <w:shd w:fill="FFFFFF" w:val="clear"/>
            <w:tcMar>
              <w:top w:type="dxa" w:w="60"/>
              <w:left w:type="dxa" w:w="100"/>
              <w:bottom w:type="dxa" w:w="60"/>
              <w:right w:type="dxa" w:w="100"/>
            </w:tcMar>
          </w:tcPr>
          <w:p>
            <w:r>
              <w:rPr>
                <w:b w:val="false"/>
                <w:bCs w:val="false"/>
                <w:color w:val="000000"/>
                <w:sz w:val="20"/>
                <w:szCs w:val="20"/>
              </w:rPr>
              <w:t xml:space="preserve">Schulbegleitung: § 112 SGB IX, § 35a SGB VIII; Vereinbarungen §§ 123 ff. SGB IX / § 77 SGB VIII</w:t>
            </w:r>
          </w:p>
        </w:tc>
        <w:tc>
          <w:tcPr>
            <w:tcW w:type="dxa" w:w="2600"/>
            <w:shd w:fill="FFFFFF" w:val="clear"/>
            <w:tcMar>
              <w:top w:type="dxa" w:w="60"/>
              <w:left w:type="dxa" w:w="100"/>
              <w:bottom w:type="dxa" w:w="60"/>
              <w:right w:type="dxa" w:w="100"/>
            </w:tcMar>
          </w:tcPr>
          <w:p>
            <w:r>
              <w:rPr>
                <w:b w:val="false"/>
                <w:bCs w:val="false"/>
                <w:color w:val="000000"/>
                <w:sz w:val="20"/>
                <w:szCs w:val="20"/>
              </w:rPr>
              <w:t xml:space="preserve">Schulbegleitung/Teilhabeassistenz, Fachleistungsstunden</w:t>
            </w:r>
          </w:p>
        </w:tc>
      </w:tr>
      <w:tr>
        <w:tc>
          <w:tcPr>
            <w:tcW w:type="dxa" w:w="2600"/>
            <w:shd w:fill="F2F2F2" w:val="clear"/>
            <w:tcMar>
              <w:top w:type="dxa" w:w="60"/>
              <w:left w:type="dxa" w:w="100"/>
              <w:bottom w:type="dxa" w:w="60"/>
              <w:right w:type="dxa" w:w="100"/>
            </w:tcMar>
          </w:tcPr>
          <w:p>
            <w:r>
              <w:rPr>
                <w:b w:val="false"/>
                <w:bCs w:val="false"/>
                <w:color w:val="000000"/>
                <w:sz w:val="20"/>
                <w:szCs w:val="20"/>
              </w:rPr>
              <w:t xml:space="preserve">Pflegeausbildungsfonds der Länder</w:t>
            </w:r>
          </w:p>
        </w:tc>
        <w:tc>
          <w:tcPr>
            <w:tcW w:type="dxa" w:w="4160"/>
            <w:shd w:fill="F2F2F2" w:val="clear"/>
            <w:tcMar>
              <w:top w:type="dxa" w:w="60"/>
              <w:left w:type="dxa" w:w="100"/>
              <w:bottom w:type="dxa" w:w="60"/>
              <w:right w:type="dxa" w:w="100"/>
            </w:tcMar>
          </w:tcPr>
          <w:p>
            <w:r>
              <w:rPr>
                <w:b w:val="false"/>
                <w:bCs w:val="false"/>
                <w:color w:val="000000"/>
                <w:sz w:val="20"/>
                <w:szCs w:val="20"/>
              </w:rPr>
              <w:t xml:space="preserve">PflBG/PflAFinV – Umlagefinanzierung; volle Refinanzierung anerkannter Pflegeschulen und der praktischen Ausbildung</w:t>
            </w:r>
          </w:p>
        </w:tc>
        <w:tc>
          <w:tcPr>
            <w:tcW w:type="dxa" w:w="2600"/>
            <w:shd w:fill="F2F2F2" w:val="clear"/>
            <w:tcMar>
              <w:top w:type="dxa" w:w="60"/>
              <w:left w:type="dxa" w:w="100"/>
              <w:bottom w:type="dxa" w:w="60"/>
              <w:right w:type="dxa" w:w="100"/>
            </w:tcMar>
          </w:tcPr>
          <w:p>
            <w:r>
              <w:rPr>
                <w:b w:val="false"/>
                <w:bCs w:val="false"/>
                <w:color w:val="000000"/>
                <w:sz w:val="20"/>
                <w:szCs w:val="20"/>
              </w:rPr>
              <w:t xml:space="preserve">Eigene Pflegeschule, Ausbildungsplätze in eigenen Einrichtungen</w:t>
            </w:r>
          </w:p>
        </w:tc>
      </w:tr>
      <w:tr>
        <w:tc>
          <w:tcPr>
            <w:tcW w:type="dxa" w:w="2600"/>
            <w:shd w:fill="FFFFFF" w:val="clear"/>
            <w:tcMar>
              <w:top w:type="dxa" w:w="60"/>
              <w:left w:type="dxa" w:w="100"/>
              <w:bottom w:type="dxa" w:w="60"/>
              <w:right w:type="dxa" w:w="100"/>
            </w:tcMar>
          </w:tcPr>
          <w:p>
            <w:r>
              <w:rPr>
                <w:b w:val="false"/>
                <w:bCs w:val="false"/>
                <w:color w:val="000000"/>
                <w:sz w:val="20"/>
                <w:szCs w:val="20"/>
              </w:rPr>
              <w:t xml:space="preserve">Ersatzschulfinanzierung der Länder</w:t>
            </w:r>
          </w:p>
        </w:tc>
        <w:tc>
          <w:tcPr>
            <w:tcW w:type="dxa" w:w="4160"/>
            <w:shd w:fill="FFFFFF" w:val="clear"/>
            <w:tcMar>
              <w:top w:type="dxa" w:w="60"/>
              <w:left w:type="dxa" w:w="100"/>
              <w:bottom w:type="dxa" w:w="60"/>
              <w:right w:type="dxa" w:w="100"/>
            </w:tcMar>
          </w:tcPr>
          <w:p>
            <w:r>
              <w:rPr>
                <w:b w:val="false"/>
                <w:bCs w:val="false"/>
                <w:color w:val="000000"/>
                <w:sz w:val="20"/>
                <w:szCs w:val="20"/>
              </w:rPr>
              <w:t xml:space="preserve">Privatschulgesetze der Länder; Zuschüsse für anerkannte Ersatzschulen (Wartefrist ca. 3 Jahre, keine Gewinnerzielungsabsicht)</w:t>
            </w:r>
          </w:p>
        </w:tc>
        <w:tc>
          <w:tcPr>
            <w:tcW w:type="dxa" w:w="2600"/>
            <w:shd w:fill="FFFFFF" w:val="clear"/>
            <w:tcMar>
              <w:top w:type="dxa" w:w="60"/>
              <w:left w:type="dxa" w:w="100"/>
              <w:bottom w:type="dxa" w:w="60"/>
              <w:right w:type="dxa" w:w="100"/>
            </w:tcMar>
          </w:tcPr>
          <w:p>
            <w:r>
              <w:rPr>
                <w:b w:val="false"/>
                <w:bCs w:val="false"/>
                <w:color w:val="000000"/>
                <w:sz w:val="20"/>
                <w:szCs w:val="20"/>
              </w:rPr>
              <w:t xml:space="preserve">Berufsbildende eigene Schule (Ausbaustufe)</w:t>
            </w:r>
          </w:p>
        </w:tc>
      </w:tr>
      <w:tr>
        <w:tc>
          <w:tcPr>
            <w:tcW w:type="dxa" w:w="2600"/>
            <w:shd w:fill="F2F2F2" w:val="clear"/>
            <w:tcMar>
              <w:top w:type="dxa" w:w="60"/>
              <w:left w:type="dxa" w:w="100"/>
              <w:bottom w:type="dxa" w:w="60"/>
              <w:right w:type="dxa" w:w="100"/>
            </w:tcMar>
          </w:tcPr>
          <w:p>
            <w:r>
              <w:rPr>
                <w:b w:val="false"/>
                <w:bCs w:val="false"/>
                <w:color w:val="000000"/>
                <w:sz w:val="20"/>
                <w:szCs w:val="20"/>
              </w:rPr>
              <w:t xml:space="preserve">Stiftungen / Soziallotterien / Spenden</w:t>
            </w:r>
          </w:p>
        </w:tc>
        <w:tc>
          <w:tcPr>
            <w:tcW w:type="dxa" w:w="4160"/>
            <w:shd w:fill="F2F2F2" w:val="clear"/>
            <w:tcMar>
              <w:top w:type="dxa" w:w="60"/>
              <w:left w:type="dxa" w:w="100"/>
              <w:bottom w:type="dxa" w:w="60"/>
              <w:right w:type="dxa" w:w="100"/>
            </w:tcMar>
          </w:tcPr>
          <w:p>
            <w:r>
              <w:rPr>
                <w:b w:val="false"/>
                <w:bCs w:val="false"/>
                <w:color w:val="000000"/>
                <w:sz w:val="20"/>
                <w:szCs w:val="20"/>
              </w:rPr>
              <w:t xml:space="preserve">Aktion Mensch, Deutsche Fernsehlotterie, Glücksspirale, Bürgerstiftungen; Spenden &amp; Zustiftungen (nur gGmbH, Zuwendungsbestätigungen)</w:t>
            </w:r>
          </w:p>
        </w:tc>
        <w:tc>
          <w:tcPr>
            <w:tcW w:type="dxa" w:w="2600"/>
            <w:shd w:fill="F2F2F2" w:val="clear"/>
            <w:tcMar>
              <w:top w:type="dxa" w:w="60"/>
              <w:left w:type="dxa" w:w="100"/>
              <w:bottom w:type="dxa" w:w="60"/>
              <w:right w:type="dxa" w:w="100"/>
            </w:tcMar>
          </w:tcPr>
          <w:p>
            <w:r>
              <w:rPr>
                <w:b w:val="false"/>
                <w:bCs w:val="false"/>
                <w:color w:val="000000"/>
                <w:sz w:val="20"/>
                <w:szCs w:val="20"/>
              </w:rPr>
              <w:t xml:space="preserve">Suchtprojekt-Pilot, Integrationsarbeit, Anschubfinanzierung</w:t>
            </w:r>
          </w:p>
        </w:tc>
      </w:tr>
      <w:tr>
        <w:tc>
          <w:tcPr>
            <w:tcW w:type="dxa" w:w="2600"/>
            <w:shd w:fill="FFFFFF" w:val="clear"/>
            <w:tcMar>
              <w:top w:type="dxa" w:w="60"/>
              <w:left w:type="dxa" w:w="100"/>
              <w:bottom w:type="dxa" w:w="60"/>
              <w:right w:type="dxa" w:w="100"/>
            </w:tcMar>
          </w:tcPr>
          <w:p>
            <w:r>
              <w:rPr>
                <w:b w:val="false"/>
                <w:bCs w:val="false"/>
                <w:color w:val="000000"/>
                <w:sz w:val="20"/>
                <w:szCs w:val="20"/>
              </w:rPr>
              <w:t xml:space="preserve">Kredite / Beteiligungen</w:t>
            </w:r>
          </w:p>
        </w:tc>
        <w:tc>
          <w:tcPr>
            <w:tcW w:type="dxa" w:w="4160"/>
            <w:shd w:fill="FFFFFF" w:val="clear"/>
            <w:tcMar>
              <w:top w:type="dxa" w:w="60"/>
              <w:left w:type="dxa" w:w="100"/>
              <w:bottom w:type="dxa" w:w="60"/>
              <w:right w:type="dxa" w:w="100"/>
            </w:tcMar>
          </w:tcPr>
          <w:p>
            <w:r>
              <w:rPr>
                <w:b w:val="false"/>
                <w:bCs w:val="false"/>
                <w:color w:val="000000"/>
                <w:sz w:val="20"/>
                <w:szCs w:val="20"/>
              </w:rPr>
              <w:t xml:space="preserve">KfW (ERP-Gründerkredit), Landesförderbanken, Bürgschaftsbanken, Social-Impact-Investoren</w:t>
            </w:r>
          </w:p>
        </w:tc>
        <w:tc>
          <w:tcPr>
            <w:tcW w:type="dxa" w:w="2600"/>
            <w:shd w:fill="FFFFFF" w:val="clear"/>
            <w:tcMar>
              <w:top w:type="dxa" w:w="60"/>
              <w:left w:type="dxa" w:w="100"/>
              <w:bottom w:type="dxa" w:w="60"/>
              <w:right w:type="dxa" w:w="100"/>
            </w:tcMar>
          </w:tcPr>
          <w:p>
            <w:r>
              <w:rPr>
                <w:b w:val="false"/>
                <w:bCs w:val="false"/>
                <w:color w:val="000000"/>
                <w:sz w:val="20"/>
                <w:szCs w:val="20"/>
              </w:rPr>
              <w:t xml:space="preserve">Gründung, eigene Einrichtungen, Auslandsaufbau</w:t>
            </w:r>
          </w:p>
        </w:tc>
      </w:tr>
      <w:tr>
        <w:tc>
          <w:tcPr>
            <w:tcW w:type="dxa" w:w="2600"/>
            <w:shd w:fill="F2F2F2" w:val="clear"/>
            <w:tcMar>
              <w:top w:type="dxa" w:w="60"/>
              <w:left w:type="dxa" w:w="100"/>
              <w:bottom w:type="dxa" w:w="60"/>
              <w:right w:type="dxa" w:w="100"/>
            </w:tcMar>
          </w:tcPr>
          <w:p>
            <w:r>
              <w:rPr>
                <w:b w:val="false"/>
                <w:bCs w:val="false"/>
                <w:color w:val="000000"/>
                <w:sz w:val="20"/>
                <w:szCs w:val="20"/>
              </w:rPr>
              <w:t xml:space="preserve">Justiz / Kommunen</w:t>
            </w:r>
          </w:p>
        </w:tc>
        <w:tc>
          <w:tcPr>
            <w:tcW w:type="dxa" w:w="4160"/>
            <w:shd w:fill="F2F2F2" w:val="clear"/>
            <w:tcMar>
              <w:top w:type="dxa" w:w="60"/>
              <w:left w:type="dxa" w:w="100"/>
              <w:bottom w:type="dxa" w:w="60"/>
              <w:right w:type="dxa" w:w="100"/>
            </w:tcMar>
          </w:tcPr>
          <w:p>
            <w:r>
              <w:rPr>
                <w:b w:val="false"/>
                <w:bCs w:val="false"/>
                <w:color w:val="000000"/>
                <w:sz w:val="20"/>
                <w:szCs w:val="20"/>
              </w:rPr>
              <w:t xml:space="preserve">Übergangsmanagement JVA, Bewährungshilfe, kommunale Suchthilfe/Eingliederungshilfe (SGB IX Teil 2)</w:t>
            </w:r>
          </w:p>
        </w:tc>
        <w:tc>
          <w:tcPr>
            <w:tcW w:type="dxa" w:w="2600"/>
            <w:shd w:fill="F2F2F2" w:val="clear"/>
            <w:tcMar>
              <w:top w:type="dxa" w:w="60"/>
              <w:left w:type="dxa" w:w="100"/>
              <w:bottom w:type="dxa" w:w="60"/>
              <w:right w:type="dxa" w:w="100"/>
            </w:tcMar>
          </w:tcPr>
          <w:p>
            <w:r>
              <w:rPr>
                <w:b w:val="false"/>
                <w:bCs w:val="false"/>
                <w:color w:val="000000"/>
                <w:sz w:val="20"/>
                <w:szCs w:val="20"/>
              </w:rPr>
              <w:t xml:space="preserve">Zuweisungen ins Suchtprogramm</w:t>
            </w:r>
          </w:p>
        </w:tc>
      </w:tr>
    </w:tbl>
    <w:p>
      <w:pPr>
        <w:spacing w:after="120"/>
      </w:pPr>
    </w:p>
    <w:p>
      <w:pPr>
        <w:spacing w:after="120" w:line="276"/>
        <w:jc w:val="both"/>
      </w:pPr>
      <w:r>
        <w:t xml:space="preserve">Als gemeinnützige Trägerin kann die gGmbH zusätzlich Spenden einwerben und Zuwendungsbestätigungen ausstellen – ein Finanzierungskanal, der gewerblichen Wettbewerbern verschlossen ist. Für das Suchtprojekt ist die Kombination aus rehapro-Modellförderung, DRV-Einzelfallentscheidungen (§ 31 SGB IX) und Stiftungsmitteln der realistische Finanzierungsmix der ersten Jahre.</w:t>
      </w:r>
    </w:p>
    <w:p>
      <w:pPr>
        <w:pStyle w:val="Heading2"/>
        <w:spacing w:after="100" w:before="240"/>
      </w:pPr>
      <w:r>
        <w:rPr>
          <w:color w:val="1F4E5F"/>
        </w:rPr>
        <w:t xml:space="preserve">9.1 Ergänzende Förderungen: Wohncampus, Zusammenleben und Integration</w:t>
      </w:r>
    </w:p>
    <w:p>
      <w:pPr>
        <w:spacing w:after="120" w:line="276"/>
        <w:jc w:val="both"/>
      </w:pPr>
      <w:r>
        <w:t xml:space="preserve">Auch der Wohncampus und die gesellschaftliche Einbindung (Kapitel 8.3) sind förderfähig – viele dieser Programme stehen ausschließlich oder bevorzugt gemeinnützigen Trägern offen:</w:t>
      </w:r>
    </w:p>
    <w:p>
      <w:pPr>
        <w:pStyle w:val="ListParagraph"/>
        <w:numPr>
          <w:ilvl w:val="0"/>
          <w:numId w:val="2"/>
        </w:numPr>
        <w:spacing w:after="60" w:line="264"/>
        <w:jc w:val="both"/>
      </w:pPr>
      <w:r>
        <w:rPr>
          <w:b/>
          <w:bCs/>
        </w:rPr>
        <w:t xml:space="preserve">Junges Wohnen (BMWSB, Bund/Länder): </w:t>
      </w:r>
      <w:r>
        <w:t xml:space="preserve">Sonderprogramm des sozialen Wohnungsbaus mit 500 Mio. € Bundesmitteln jährlich (plus mind. 30 % Länderanteil) für Neubau, Umbau und Modernisierung von Wohnheimplätzen für Auszubildende – direkt passend für Teilnehmer- und Azubi-Plätze am Wohncampus.</w:t>
      </w:r>
    </w:p>
    <w:p>
      <w:pPr>
        <w:pStyle w:val="ListParagraph"/>
        <w:numPr>
          <w:ilvl w:val="0"/>
          <w:numId w:val="2"/>
        </w:numPr>
        <w:spacing w:after="60" w:line="264"/>
        <w:jc w:val="both"/>
      </w:pPr>
      <w:r>
        <w:rPr>
          <w:b/>
          <w:bCs/>
        </w:rPr>
        <w:t xml:space="preserve">Soziale Wohnraumförderung &amp; KfW: </w:t>
      </w:r>
      <w:r>
        <w:t xml:space="preserve">zinsgünstige Darlehen und Zuschüsse der Landesförderbanken gegen Miet-/Belegungsbindung sowie KfW-Programme (klimafreundlicher Neubau) für Mitarbeiterwohnungen; steuerlich flankiert durch den Bewertungsabschlag für vergünstigt überlassene Mitarbeiterwohnungen.</w:t>
      </w:r>
    </w:p>
    <w:p>
      <w:pPr>
        <w:pStyle w:val="ListParagraph"/>
        <w:numPr>
          <w:ilvl w:val="0"/>
          <w:numId w:val="2"/>
        </w:numPr>
        <w:spacing w:after="60" w:line="264"/>
        <w:jc w:val="both"/>
      </w:pPr>
      <w:r>
        <w:rPr>
          <w:b/>
          <w:bCs/>
        </w:rPr>
        <w:t xml:space="preserve">BAMF-Integrationsprojektförderung („Gesellschaftlicher Zusammenhalt – Vor Ort. Vernetzt. Verbunden.“): </w:t>
      </w:r>
      <w:r>
        <w:t xml:space="preserve">fördert bundesweit rund 300 Projekte, die interkulturelles Zusammenleben und Begegnung von Menschen mit und ohne Migrationsgeschichte stärken – exakt das Konzept von Gemeinschaftsküche, Festen beider Kulturen und Patenschaften; die nachweisliche Arbeitsmarktintegration der Bewohner ist dabei ein starkes Antragsargument.</w:t>
      </w:r>
    </w:p>
    <w:p>
      <w:pPr>
        <w:pStyle w:val="ListParagraph"/>
        <w:numPr>
          <w:ilvl w:val="0"/>
          <w:numId w:val="2"/>
        </w:numPr>
        <w:spacing w:after="60" w:line="264"/>
        <w:jc w:val="both"/>
      </w:pPr>
      <w:r>
        <w:rPr>
          <w:b/>
          <w:bCs/>
        </w:rPr>
        <w:t xml:space="preserve">Integration durch Sport (BMI/DOSB über Landessportbünde): </w:t>
      </w:r>
      <w:r>
        <w:t xml:space="preserve">fördert Sportangebote und Vereinskooperationen für Zugewanderte – deckt die Sportangebote des Wohncampus ab.</w:t>
      </w:r>
    </w:p>
    <w:p>
      <w:pPr>
        <w:pStyle w:val="ListParagraph"/>
        <w:numPr>
          <w:ilvl w:val="0"/>
          <w:numId w:val="2"/>
        </w:numPr>
        <w:spacing w:after="60" w:line="264"/>
        <w:jc w:val="both"/>
      </w:pPr>
      <w:r>
        <w:rPr>
          <w:b/>
          <w:bCs/>
        </w:rPr>
        <w:t xml:space="preserve">IQ – Integration durch Qualifizierung (BMAS): </w:t>
      </w:r>
      <w:r>
        <w:t xml:space="preserve">Netzwerk-Förderung für Anerkennungsbegleitung und Qualifizierung Zugewanderter – flankiert das internationale Geschäft (Kenntnisprüfungsvorbereitung, Beratung).</w:t>
      </w:r>
    </w:p>
    <w:p>
      <w:pPr>
        <w:pStyle w:val="ListParagraph"/>
        <w:numPr>
          <w:ilvl w:val="0"/>
          <w:numId w:val="2"/>
        </w:numPr>
        <w:spacing w:after="60" w:line="264"/>
        <w:jc w:val="both"/>
      </w:pPr>
      <w:r>
        <w:rPr>
          <w:b/>
          <w:bCs/>
        </w:rPr>
        <w:t xml:space="preserve">Städtebauförderung „Sozialer Zusammenhalt“ (Bund/Land/Kommune): </w:t>
      </w:r>
      <w:r>
        <w:t xml:space="preserve">fördert Gemeinschaftseinrichtungen und Quartiersprojekte – relevant, wenn der Wohncampus ein Quartier baulich aufwertet; Gespräch mit der Kommune früh suchen (die zudem eigenes Interesse an Fachkräftewohnraum hat).</w:t>
      </w:r>
    </w:p>
    <w:p>
      <w:pPr>
        <w:pStyle w:val="ListParagraph"/>
        <w:numPr>
          <w:ilvl w:val="0"/>
          <w:numId w:val="2"/>
        </w:numPr>
        <w:spacing w:after="60" w:line="264"/>
        <w:jc w:val="both"/>
      </w:pPr>
      <w:r>
        <w:rPr>
          <w:b/>
          <w:bCs/>
        </w:rPr>
        <w:t xml:space="preserve">Kultur- und Engagementförderung: </w:t>
      </w:r>
      <w:r>
        <w:t xml:space="preserve">Fonds Soziokultur, Landeskulturförderung und Stiftungen (z. B. für interkulturelle Feste und Kulturarbeit); Bundesfreiwilligendienst/FSJ-Kräfte als geförderte Unterstützung der Gemeinschaftsangebote.</w:t>
      </w:r>
    </w:p>
    <w:p>
      <w:pPr>
        <w:pStyle w:val="Heading2"/>
        <w:spacing w:after="100" w:before="240"/>
      </w:pPr>
      <w:r>
        <w:rPr>
          <w:color w:val="1F4E5F"/>
        </w:rPr>
        <w:t xml:space="preserve">9.2 Fördermittel für die Gründung des KI-Unternehmens (KAȲȲA OS / Tochter-GmbH)</w:t>
      </w:r>
    </w:p>
    <w:p>
      <w:pPr>
        <w:spacing w:after="120" w:line="276"/>
        <w:jc w:val="both"/>
      </w:pPr>
      <w:r>
        <w:t xml:space="preserve">Die Entwicklung von KAȲȲA OS ist eine KI-Gründung – und dafür existiert ein eigener, gut gefüllter Fördertopf-Kosmos von Bund, Ländern und EU. Empfänger ist in der Regel die gewerbliche Tochter-GmbH (als Technologieunternehmen förderfähig, ohne die Gemeinnützigkeit zu berühren):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4110"/>
        <w:gridCol w:w="2800"/>
      </w:tblGrid>
      <w:tr>
        <w:tc>
          <w:tcPr>
            <w:tcW w:type="dxa" w:w="2450"/>
            <w:shd w:fill="1F4E5F" w:val="clear"/>
            <w:tcMar>
              <w:top w:type="dxa" w:w="60"/>
              <w:left w:type="dxa" w:w="100"/>
              <w:bottom w:type="dxa" w:w="60"/>
              <w:right w:type="dxa" w:w="100"/>
            </w:tcMar>
          </w:tcPr>
          <w:p>
            <w:r>
              <w:rPr>
                <w:b/>
                <w:bCs/>
                <w:color w:val="FFFFFF"/>
                <w:sz w:val="20"/>
                <w:szCs w:val="20"/>
              </w:rPr>
              <w:t xml:space="preserve">Programm</w:t>
            </w:r>
          </w:p>
        </w:tc>
        <w:tc>
          <w:tcPr>
            <w:tcW w:type="dxa" w:w="4110"/>
            <w:shd w:fill="1F4E5F" w:val="clear"/>
            <w:tcMar>
              <w:top w:type="dxa" w:w="60"/>
              <w:left w:type="dxa" w:w="100"/>
              <w:bottom w:type="dxa" w:w="60"/>
              <w:right w:type="dxa" w:w="100"/>
            </w:tcMar>
          </w:tcPr>
          <w:p>
            <w:r>
              <w:rPr>
                <w:b/>
                <w:bCs/>
                <w:color w:val="FFFFFF"/>
                <w:sz w:val="20"/>
                <w:szCs w:val="20"/>
              </w:rPr>
              <w:t xml:space="preserve">Was es bringt</w:t>
            </w:r>
          </w:p>
        </w:tc>
        <w:tc>
          <w:tcPr>
            <w:tcW w:type="dxa" w:w="2800"/>
            <w:shd w:fill="1F4E5F" w:val="clear"/>
            <w:tcMar>
              <w:top w:type="dxa" w:w="60"/>
              <w:left w:type="dxa" w:w="100"/>
              <w:bottom w:type="dxa" w:w="60"/>
              <w:right w:type="dxa" w:w="100"/>
            </w:tcMar>
          </w:tcPr>
          <w:p>
            <w:r>
              <w:rPr>
                <w:b/>
                <w:bCs/>
                <w:color w:val="FFFFFF"/>
                <w:sz w:val="20"/>
                <w:szCs w:val="20"/>
              </w:rPr>
              <w:t xml:space="preserve">Voraussetzungen / Hinweise</w:t>
            </w:r>
          </w:p>
        </w:tc>
      </w:tr>
      <w:tr>
        <w:tc>
          <w:tcPr>
            <w:tcW w:type="dxa" w:w="2450"/>
            <w:shd w:fill="FFFFFF" w:val="clear"/>
            <w:tcMar>
              <w:top w:type="dxa" w:w="60"/>
              <w:left w:type="dxa" w:w="100"/>
              <w:bottom w:type="dxa" w:w="60"/>
              <w:right w:type="dxa" w:w="100"/>
            </w:tcMar>
          </w:tcPr>
          <w:p>
            <w:r>
              <w:rPr>
                <w:b w:val="false"/>
                <w:bCs w:val="false"/>
                <w:color w:val="000000"/>
                <w:sz w:val="20"/>
                <w:szCs w:val="20"/>
              </w:rPr>
              <w:t xml:space="preserve">Forschungszulage (FZulG)</w:t>
            </w:r>
          </w:p>
        </w:tc>
        <w:tc>
          <w:tcPr>
            <w:tcW w:type="dxa" w:w="4110"/>
            <w:shd w:fill="FFFFFF" w:val="clear"/>
            <w:tcMar>
              <w:top w:type="dxa" w:w="60"/>
              <w:left w:type="dxa" w:w="100"/>
              <w:bottom w:type="dxa" w:w="60"/>
              <w:right w:type="dxa" w:w="100"/>
            </w:tcMar>
          </w:tcPr>
          <w:p>
            <w:r>
              <w:rPr>
                <w:b w:val="false"/>
                <w:bCs w:val="false"/>
                <w:color w:val="000000"/>
                <w:sz w:val="20"/>
                <w:szCs w:val="20"/>
              </w:rPr>
              <w:t xml:space="preserve">Steuerzulage von 35 % (KMU) auf F&amp;E-Personalkosten und Auftragsforschung – auch auf die KAȲȲA-OS-Entwicklung; Bemessungsgrundlage ab 2026 bis 12 Mio. €/Jahr, plus 20 % Gemeinkostenpauschale; wird auch bei Verlust ausgezahlt</w:t>
            </w:r>
          </w:p>
        </w:tc>
        <w:tc>
          <w:tcPr>
            <w:tcW w:type="dxa" w:w="2800"/>
            <w:shd w:fill="FFFFFF" w:val="clear"/>
            <w:tcMar>
              <w:top w:type="dxa" w:w="60"/>
              <w:left w:type="dxa" w:w="100"/>
              <w:bottom w:type="dxa" w:w="60"/>
              <w:right w:type="dxa" w:w="100"/>
            </w:tcMar>
          </w:tcPr>
          <w:p>
            <w:r>
              <w:rPr>
                <w:b w:val="false"/>
                <w:bCs w:val="false"/>
                <w:color w:val="000000"/>
                <w:sz w:val="20"/>
                <w:szCs w:val="20"/>
              </w:rPr>
              <w:t xml:space="preserve">Rechtsanspruch (kein Wettbewerb!); F&amp;E-Charakter der Entwicklung dokumentieren; kombinierbar mit fast allem</w:t>
            </w:r>
          </w:p>
        </w:tc>
      </w:tr>
      <w:tr>
        <w:tc>
          <w:tcPr>
            <w:tcW w:type="dxa" w:w="2450"/>
            <w:shd w:fill="F2F2F2" w:val="clear"/>
            <w:tcMar>
              <w:top w:type="dxa" w:w="60"/>
              <w:left w:type="dxa" w:w="100"/>
              <w:bottom w:type="dxa" w:w="60"/>
              <w:right w:type="dxa" w:w="100"/>
            </w:tcMar>
          </w:tcPr>
          <w:p>
            <w:r>
              <w:rPr>
                <w:b w:val="false"/>
                <w:bCs w:val="false"/>
                <w:color w:val="000000"/>
                <w:sz w:val="20"/>
                <w:szCs w:val="20"/>
              </w:rPr>
              <w:t xml:space="preserve">ZIM (Bund)</w:t>
            </w:r>
          </w:p>
        </w:tc>
        <w:tc>
          <w:tcPr>
            <w:tcW w:type="dxa" w:w="4110"/>
            <w:shd w:fill="F2F2F2" w:val="clear"/>
            <w:tcMar>
              <w:top w:type="dxa" w:w="60"/>
              <w:left w:type="dxa" w:w="100"/>
              <w:bottom w:type="dxa" w:w="60"/>
              <w:right w:type="dxa" w:w="100"/>
            </w:tcMar>
          </w:tcPr>
          <w:p>
            <w:r>
              <w:rPr>
                <w:b w:val="false"/>
                <w:bCs w:val="false"/>
                <w:color w:val="000000"/>
                <w:sz w:val="20"/>
                <w:szCs w:val="20"/>
              </w:rPr>
              <w:t xml:space="preserve">Zuschuss bis ca. 380 T€ je F&amp;E-Projekt (KMU), mehr im Verbund – z. B. für KI-Frühwarnsystem oder Matching-Algorithmen</w:t>
            </w:r>
          </w:p>
        </w:tc>
        <w:tc>
          <w:tcPr>
            <w:tcW w:type="dxa" w:w="2800"/>
            <w:shd w:fill="F2F2F2" w:val="clear"/>
            <w:tcMar>
              <w:top w:type="dxa" w:w="60"/>
              <w:left w:type="dxa" w:w="100"/>
              <w:bottom w:type="dxa" w:w="60"/>
              <w:right w:type="dxa" w:w="100"/>
            </w:tcMar>
          </w:tcPr>
          <w:p>
            <w:r>
              <w:rPr>
                <w:b w:val="false"/>
                <w:bCs w:val="false"/>
                <w:color w:val="000000"/>
                <w:sz w:val="20"/>
                <w:szCs w:val="20"/>
              </w:rPr>
              <w:t xml:space="preserve">Technisches Risiko erforderlich; Antrag vor Projektstart</w:t>
            </w:r>
          </w:p>
        </w:tc>
      </w:tr>
      <w:tr>
        <w:tc>
          <w:tcPr>
            <w:tcW w:type="dxa" w:w="2450"/>
            <w:shd w:fill="FFFFFF" w:val="clear"/>
            <w:tcMar>
              <w:top w:type="dxa" w:w="60"/>
              <w:left w:type="dxa" w:w="100"/>
              <w:bottom w:type="dxa" w:w="60"/>
              <w:right w:type="dxa" w:w="100"/>
            </w:tcMar>
          </w:tcPr>
          <w:p>
            <w:r>
              <w:rPr>
                <w:b w:val="false"/>
                <w:bCs w:val="false"/>
                <w:color w:val="000000"/>
                <w:sz w:val="20"/>
                <w:szCs w:val="20"/>
              </w:rPr>
              <w:t xml:space="preserve">KMU-innovativ / KI-Förderlinien (BMFTR)</w:t>
            </w:r>
          </w:p>
        </w:tc>
        <w:tc>
          <w:tcPr>
            <w:tcW w:type="dxa" w:w="4110"/>
            <w:shd w:fill="FFFFFF" w:val="clear"/>
            <w:tcMar>
              <w:top w:type="dxa" w:w="60"/>
              <w:left w:type="dxa" w:w="100"/>
              <w:bottom w:type="dxa" w:w="60"/>
              <w:right w:type="dxa" w:w="100"/>
            </w:tcMar>
          </w:tcPr>
          <w:p>
            <w:r>
              <w:rPr>
                <w:b w:val="false"/>
                <w:bCs w:val="false"/>
                <w:color w:val="000000"/>
                <w:sz w:val="20"/>
                <w:szCs w:val="20"/>
              </w:rPr>
              <w:t xml:space="preserve">Zuschüsse für anspruchsvolle KI-Verbundprojekte (z. B. mit einer Hochschule: Wirkungsprognosen, faire Algorithmen)</w:t>
            </w:r>
          </w:p>
        </w:tc>
        <w:tc>
          <w:tcPr>
            <w:tcW w:type="dxa" w:w="2800"/>
            <w:shd w:fill="FFFFFF" w:val="clear"/>
            <w:tcMar>
              <w:top w:type="dxa" w:w="60"/>
              <w:left w:type="dxa" w:w="100"/>
              <w:bottom w:type="dxa" w:w="60"/>
              <w:right w:type="dxa" w:w="100"/>
            </w:tcMar>
          </w:tcPr>
          <w:p>
            <w:r>
              <w:rPr>
                <w:b w:val="false"/>
                <w:bCs w:val="false"/>
                <w:color w:val="000000"/>
                <w:sz w:val="20"/>
                <w:szCs w:val="20"/>
              </w:rPr>
              <w:t xml:space="preserve">Verbund mit Forschungspartner stärkt Antrag und Beirat (Kapitel 8.4)</w:t>
            </w:r>
          </w:p>
        </w:tc>
      </w:tr>
      <w:tr>
        <w:tc>
          <w:tcPr>
            <w:tcW w:type="dxa" w:w="2450"/>
            <w:shd w:fill="F2F2F2" w:val="clear"/>
            <w:tcMar>
              <w:top w:type="dxa" w:w="60"/>
              <w:left w:type="dxa" w:w="100"/>
              <w:bottom w:type="dxa" w:w="60"/>
              <w:right w:type="dxa" w:w="100"/>
            </w:tcMar>
          </w:tcPr>
          <w:p>
            <w:r>
              <w:rPr>
                <w:b w:val="false"/>
                <w:bCs w:val="false"/>
                <w:color w:val="000000"/>
                <w:sz w:val="20"/>
                <w:szCs w:val="20"/>
              </w:rPr>
              <w:t xml:space="preserve">EXIST-Gründungsstipendium/-Forschungstransfer</w:t>
            </w:r>
          </w:p>
        </w:tc>
        <w:tc>
          <w:tcPr>
            <w:tcW w:type="dxa" w:w="4110"/>
            <w:shd w:fill="F2F2F2" w:val="clear"/>
            <w:tcMar>
              <w:top w:type="dxa" w:w="60"/>
              <w:left w:type="dxa" w:w="100"/>
              <w:bottom w:type="dxa" w:w="60"/>
              <w:right w:type="dxa" w:w="100"/>
            </w:tcMar>
          </w:tcPr>
          <w:p>
            <w:r>
              <w:rPr>
                <w:b w:val="false"/>
                <w:bCs w:val="false"/>
                <w:color w:val="000000"/>
                <w:sz w:val="20"/>
                <w:szCs w:val="20"/>
              </w:rPr>
              <w:t xml:space="preserve">Stipendien + Sachmittel für die Vorgründungsphase</w:t>
            </w:r>
          </w:p>
        </w:tc>
        <w:tc>
          <w:tcPr>
            <w:tcW w:type="dxa" w:w="2800"/>
            <w:shd w:fill="F2F2F2" w:val="clear"/>
            <w:tcMar>
              <w:top w:type="dxa" w:w="60"/>
              <w:left w:type="dxa" w:w="100"/>
              <w:bottom w:type="dxa" w:w="60"/>
              <w:right w:type="dxa" w:w="100"/>
            </w:tcMar>
          </w:tcPr>
          <w:p>
            <w:r>
              <w:rPr>
                <w:b w:val="false"/>
                <w:bCs w:val="false"/>
                <w:color w:val="000000"/>
                <w:sz w:val="20"/>
                <w:szCs w:val="20"/>
              </w:rPr>
              <w:t xml:space="preserve">Nur mit Hochschulanbindung – prüfen, ob ein Teammitglied den Zugang eröffnet</w:t>
            </w:r>
          </w:p>
        </w:tc>
      </w:tr>
      <w:tr>
        <w:tc>
          <w:tcPr>
            <w:tcW w:type="dxa" w:w="2450"/>
            <w:shd w:fill="FFFFFF" w:val="clear"/>
            <w:tcMar>
              <w:top w:type="dxa" w:w="60"/>
              <w:left w:type="dxa" w:w="100"/>
              <w:bottom w:type="dxa" w:w="60"/>
              <w:right w:type="dxa" w:w="100"/>
            </w:tcMar>
          </w:tcPr>
          <w:p>
            <w:r>
              <w:rPr>
                <w:b w:val="false"/>
                <w:bCs w:val="false"/>
                <w:color w:val="000000"/>
                <w:sz w:val="20"/>
                <w:szCs w:val="20"/>
              </w:rPr>
              <w:t xml:space="preserve">Gründungszuschuss der BA (§ 93 SGB III)</w:t>
            </w:r>
          </w:p>
        </w:tc>
        <w:tc>
          <w:tcPr>
            <w:tcW w:type="dxa" w:w="4110"/>
            <w:shd w:fill="FFFFFF" w:val="clear"/>
            <w:tcMar>
              <w:top w:type="dxa" w:w="60"/>
              <w:left w:type="dxa" w:w="100"/>
              <w:bottom w:type="dxa" w:w="60"/>
              <w:right w:type="dxa" w:w="100"/>
            </w:tcMar>
          </w:tcPr>
          <w:p>
            <w:r>
              <w:rPr>
                <w:b w:val="false"/>
                <w:bCs w:val="false"/>
                <w:color w:val="000000"/>
                <w:sz w:val="20"/>
                <w:szCs w:val="20"/>
              </w:rPr>
              <w:t xml:space="preserve">Persönlicher Zuschuss für Gründer aus ALG-I-Bezug</w:t>
            </w:r>
          </w:p>
        </w:tc>
        <w:tc>
          <w:tcPr>
            <w:tcW w:type="dxa" w:w="2800"/>
            <w:shd w:fill="FFFFFF" w:val="clear"/>
            <w:tcMar>
              <w:top w:type="dxa" w:w="60"/>
              <w:left w:type="dxa" w:w="100"/>
              <w:bottom w:type="dxa" w:w="60"/>
              <w:right w:type="dxa" w:w="100"/>
            </w:tcMar>
          </w:tcPr>
          <w:p>
            <w:r>
              <w:rPr>
                <w:b w:val="false"/>
                <w:bCs w:val="false"/>
                <w:color w:val="000000"/>
                <w:sz w:val="20"/>
                <w:szCs w:val="20"/>
              </w:rPr>
              <w:t xml:space="preserve">Individuell zu prüfen; Ermessensleistung</w:t>
            </w:r>
          </w:p>
        </w:tc>
      </w:tr>
      <w:tr>
        <w:tc>
          <w:tcPr>
            <w:tcW w:type="dxa" w:w="2450"/>
            <w:shd w:fill="F2F2F2" w:val="clear"/>
            <w:tcMar>
              <w:top w:type="dxa" w:w="60"/>
              <w:left w:type="dxa" w:w="100"/>
              <w:bottom w:type="dxa" w:w="60"/>
              <w:right w:type="dxa" w:w="100"/>
            </w:tcMar>
          </w:tcPr>
          <w:p>
            <w:r>
              <w:rPr>
                <w:b w:val="false"/>
                <w:bCs w:val="false"/>
                <w:color w:val="000000"/>
                <w:sz w:val="20"/>
                <w:szCs w:val="20"/>
              </w:rPr>
              <w:t xml:space="preserve">INVEST-Zuschuss für Wagniskapital</w:t>
            </w:r>
          </w:p>
        </w:tc>
        <w:tc>
          <w:tcPr>
            <w:tcW w:type="dxa" w:w="4110"/>
            <w:shd w:fill="F2F2F2" w:val="clear"/>
            <w:tcMar>
              <w:top w:type="dxa" w:w="60"/>
              <w:left w:type="dxa" w:w="100"/>
              <w:bottom w:type="dxa" w:w="60"/>
              <w:right w:type="dxa" w:w="100"/>
            </w:tcMar>
          </w:tcPr>
          <w:p>
            <w:r>
              <w:rPr>
                <w:b w:val="false"/>
                <w:bCs w:val="false"/>
                <w:color w:val="000000"/>
                <w:sz w:val="20"/>
                <w:szCs w:val="20"/>
              </w:rPr>
              <w:t xml:space="preserve">20–25 % Erwerbszuschuss für Business Angels, die sich an der Tochter beteiligen – macht die Investorenrunde attraktiver</w:t>
            </w:r>
          </w:p>
        </w:tc>
        <w:tc>
          <w:tcPr>
            <w:tcW w:type="dxa" w:w="2800"/>
            <w:shd w:fill="F2F2F2" w:val="clear"/>
            <w:tcMar>
              <w:top w:type="dxa" w:w="60"/>
              <w:left w:type="dxa" w:w="100"/>
              <w:bottom w:type="dxa" w:w="60"/>
              <w:right w:type="dxa" w:w="100"/>
            </w:tcMar>
          </w:tcPr>
          <w:p>
            <w:r>
              <w:rPr>
                <w:b w:val="false"/>
                <w:bCs w:val="false"/>
                <w:color w:val="000000"/>
                <w:sz w:val="20"/>
                <w:szCs w:val="20"/>
              </w:rPr>
              <w:t xml:space="preserve">Tochter als förderfähiges Startup registrieren; direkt im Investorendeck erwähnenswert</w:t>
            </w:r>
          </w:p>
        </w:tc>
      </w:tr>
      <w:tr>
        <w:tc>
          <w:tcPr>
            <w:tcW w:type="dxa" w:w="2450"/>
            <w:shd w:fill="FFFFFF" w:val="clear"/>
            <w:tcMar>
              <w:top w:type="dxa" w:w="60"/>
              <w:left w:type="dxa" w:w="100"/>
              <w:bottom w:type="dxa" w:w="60"/>
              <w:right w:type="dxa" w:w="100"/>
            </w:tcMar>
          </w:tcPr>
          <w:p>
            <w:r>
              <w:rPr>
                <w:b w:val="false"/>
                <w:bCs w:val="false"/>
                <w:color w:val="000000"/>
                <w:sz w:val="20"/>
                <w:szCs w:val="20"/>
              </w:rPr>
              <w:t xml:space="preserve">KfW: ERP-Gründerkredit StartGeld / ERP-Förderkredit</w:t>
            </w:r>
          </w:p>
        </w:tc>
        <w:tc>
          <w:tcPr>
            <w:tcW w:type="dxa" w:w="4110"/>
            <w:shd w:fill="FFFFFF" w:val="clear"/>
            <w:tcMar>
              <w:top w:type="dxa" w:w="60"/>
              <w:left w:type="dxa" w:w="100"/>
              <w:bottom w:type="dxa" w:w="60"/>
              <w:right w:type="dxa" w:w="100"/>
            </w:tcMar>
          </w:tcPr>
          <w:p>
            <w:r>
              <w:rPr>
                <w:b w:val="false"/>
                <w:bCs w:val="false"/>
                <w:color w:val="000000"/>
                <w:sz w:val="20"/>
                <w:szCs w:val="20"/>
              </w:rPr>
              <w:t xml:space="preserve">Zinsgünstige Kredite (StartGeld bis 125 T€ ohne banküblichen Besicherungsaufwand), größere ERP-Linien für die Stufen 2/3</w:t>
            </w:r>
          </w:p>
        </w:tc>
        <w:tc>
          <w:tcPr>
            <w:tcW w:type="dxa" w:w="2800"/>
            <w:shd w:fill="FFFFFF" w:val="clear"/>
            <w:tcMar>
              <w:top w:type="dxa" w:w="60"/>
              <w:left w:type="dxa" w:w="100"/>
              <w:bottom w:type="dxa" w:w="60"/>
              <w:right w:type="dxa" w:w="100"/>
            </w:tcMar>
          </w:tcPr>
          <w:p>
            <w:r>
              <w:rPr>
                <w:b w:val="false"/>
                <w:bCs w:val="false"/>
                <w:color w:val="000000"/>
                <w:sz w:val="20"/>
                <w:szCs w:val="20"/>
              </w:rPr>
              <w:t xml:space="preserve">Über die Hausbank; mit Bürgschaftsbank kombinierbar</w:t>
            </w:r>
          </w:p>
        </w:tc>
      </w:tr>
      <w:tr>
        <w:tc>
          <w:tcPr>
            <w:tcW w:type="dxa" w:w="2450"/>
            <w:shd w:fill="F2F2F2" w:val="clear"/>
            <w:tcMar>
              <w:top w:type="dxa" w:w="60"/>
              <w:left w:type="dxa" w:w="100"/>
              <w:bottom w:type="dxa" w:w="60"/>
              <w:right w:type="dxa" w:w="100"/>
            </w:tcMar>
          </w:tcPr>
          <w:p>
            <w:r>
              <w:rPr>
                <w:b w:val="false"/>
                <w:bCs w:val="false"/>
                <w:color w:val="000000"/>
                <w:sz w:val="20"/>
                <w:szCs w:val="20"/>
              </w:rPr>
              <w:t xml:space="preserve">High-Tech Gründerfonds / DeepTech &amp; Climate Fonds</w:t>
            </w:r>
          </w:p>
        </w:tc>
        <w:tc>
          <w:tcPr>
            <w:tcW w:type="dxa" w:w="4110"/>
            <w:shd w:fill="F2F2F2" w:val="clear"/>
            <w:tcMar>
              <w:top w:type="dxa" w:w="60"/>
              <w:left w:type="dxa" w:w="100"/>
              <w:bottom w:type="dxa" w:w="60"/>
              <w:right w:type="dxa" w:w="100"/>
            </w:tcMar>
          </w:tcPr>
          <w:p>
            <w:r>
              <w:rPr>
                <w:b w:val="false"/>
                <w:bCs w:val="false"/>
                <w:color w:val="000000"/>
                <w:sz w:val="20"/>
                <w:szCs w:val="20"/>
              </w:rPr>
              <w:t xml:space="preserve">Seed-Beteiligung (HTGF typisch bis 1 Mio. € initial) bzw. Wachstumskapital des Bundes</w:t>
            </w:r>
          </w:p>
        </w:tc>
        <w:tc>
          <w:tcPr>
            <w:tcW w:type="dxa" w:w="2800"/>
            <w:shd w:fill="F2F2F2" w:val="clear"/>
            <w:tcMar>
              <w:top w:type="dxa" w:w="60"/>
              <w:left w:type="dxa" w:w="100"/>
              <w:bottom w:type="dxa" w:w="60"/>
              <w:right w:type="dxa" w:w="100"/>
            </w:tcMar>
          </w:tcPr>
          <w:p>
            <w:r>
              <w:rPr>
                <w:b w:val="false"/>
                <w:bCs w:val="false"/>
                <w:color w:val="000000"/>
                <w:sz w:val="20"/>
                <w:szCs w:val="20"/>
              </w:rPr>
              <w:t xml:space="preserve">Beteiligung an der Tochter; passt zur Runde aus dem Investorendeck</w:t>
            </w:r>
          </w:p>
        </w:tc>
      </w:tr>
      <w:tr>
        <w:tc>
          <w:tcPr>
            <w:tcW w:type="dxa" w:w="2450"/>
            <w:shd w:fill="FFFFFF" w:val="clear"/>
            <w:tcMar>
              <w:top w:type="dxa" w:w="60"/>
              <w:left w:type="dxa" w:w="100"/>
              <w:bottom w:type="dxa" w:w="60"/>
              <w:right w:type="dxa" w:w="100"/>
            </w:tcMar>
          </w:tcPr>
          <w:p>
            <w:r>
              <w:rPr>
                <w:b w:val="false"/>
                <w:bCs w:val="false"/>
                <w:color w:val="000000"/>
                <w:sz w:val="20"/>
                <w:szCs w:val="20"/>
              </w:rPr>
              <w:t xml:space="preserve">Mikromezzaninfonds Deutschland</w:t>
            </w:r>
          </w:p>
        </w:tc>
        <w:tc>
          <w:tcPr>
            <w:tcW w:type="dxa" w:w="4110"/>
            <w:shd w:fill="FFFFFF" w:val="clear"/>
            <w:tcMar>
              <w:top w:type="dxa" w:w="60"/>
              <w:left w:type="dxa" w:w="100"/>
              <w:bottom w:type="dxa" w:w="60"/>
              <w:right w:type="dxa" w:w="100"/>
            </w:tcMar>
          </w:tcPr>
          <w:p>
            <w:r>
              <w:rPr>
                <w:b w:val="false"/>
                <w:bCs w:val="false"/>
                <w:color w:val="000000"/>
                <w:sz w:val="20"/>
                <w:szCs w:val="20"/>
              </w:rPr>
              <w:t xml:space="preserve">Stille Beteiligung bis 50 T€ (Zielgruppen-Bonus) ohne Sicherheiten</w:t>
            </w:r>
          </w:p>
        </w:tc>
        <w:tc>
          <w:tcPr>
            <w:tcW w:type="dxa" w:w="2800"/>
            <w:shd w:fill="FFFFFF" w:val="clear"/>
            <w:tcMar>
              <w:top w:type="dxa" w:w="60"/>
              <w:left w:type="dxa" w:w="100"/>
              <w:bottom w:type="dxa" w:w="60"/>
              <w:right w:type="dxa" w:w="100"/>
            </w:tcMar>
          </w:tcPr>
          <w:p>
            <w:r>
              <w:rPr>
                <w:b w:val="false"/>
                <w:bCs w:val="false"/>
                <w:color w:val="000000"/>
                <w:sz w:val="20"/>
                <w:szCs w:val="20"/>
              </w:rPr>
              <w:t xml:space="preserve">Niedrigschwellig, schnell; gut für die Frühphase</w:t>
            </w:r>
          </w:p>
        </w:tc>
      </w:tr>
      <w:tr>
        <w:tc>
          <w:tcPr>
            <w:tcW w:type="dxa" w:w="2450"/>
            <w:shd w:fill="F2F2F2" w:val="clear"/>
            <w:tcMar>
              <w:top w:type="dxa" w:w="60"/>
              <w:left w:type="dxa" w:w="100"/>
              <w:bottom w:type="dxa" w:w="60"/>
              <w:right w:type="dxa" w:w="100"/>
            </w:tcMar>
          </w:tcPr>
          <w:p>
            <w:r>
              <w:rPr>
                <w:b w:val="false"/>
                <w:bCs w:val="false"/>
                <w:color w:val="000000"/>
                <w:sz w:val="20"/>
                <w:szCs w:val="20"/>
              </w:rPr>
              <w:t xml:space="preserve">BAFA-/go-inno-Beratungsförderung</w:t>
            </w:r>
          </w:p>
        </w:tc>
        <w:tc>
          <w:tcPr>
            <w:tcW w:type="dxa" w:w="4110"/>
            <w:shd w:fill="F2F2F2" w:val="clear"/>
            <w:tcMar>
              <w:top w:type="dxa" w:w="60"/>
              <w:left w:type="dxa" w:w="100"/>
              <w:bottom w:type="dxa" w:w="60"/>
              <w:right w:type="dxa" w:w="100"/>
            </w:tcMar>
          </w:tcPr>
          <w:p>
            <w:r>
              <w:rPr>
                <w:b w:val="false"/>
                <w:bCs w:val="false"/>
                <w:color w:val="000000"/>
                <w:sz w:val="20"/>
                <w:szCs w:val="20"/>
              </w:rPr>
              <w:t xml:space="preserve">Zuschüsse zu Gründungs- und Innovationsberatung</w:t>
            </w:r>
          </w:p>
        </w:tc>
        <w:tc>
          <w:tcPr>
            <w:tcW w:type="dxa" w:w="2800"/>
            <w:shd w:fill="F2F2F2" w:val="clear"/>
            <w:tcMar>
              <w:top w:type="dxa" w:w="60"/>
              <w:left w:type="dxa" w:w="100"/>
              <w:bottom w:type="dxa" w:w="60"/>
              <w:right w:type="dxa" w:w="100"/>
            </w:tcMar>
          </w:tcPr>
          <w:p>
            <w:r>
              <w:rPr>
                <w:b w:val="false"/>
                <w:bCs w:val="false"/>
                <w:color w:val="000000"/>
                <w:sz w:val="20"/>
                <w:szCs w:val="20"/>
              </w:rPr>
              <w:t xml:space="preserve">Für Businessplan-Feinschliff, Zertifizierungsberatung</w:t>
            </w:r>
          </w:p>
        </w:tc>
      </w:tr>
      <w:tr>
        <w:tc>
          <w:tcPr>
            <w:tcW w:type="dxa" w:w="2450"/>
            <w:shd w:fill="FFFFFF" w:val="clear"/>
            <w:tcMar>
              <w:top w:type="dxa" w:w="60"/>
              <w:left w:type="dxa" w:w="100"/>
              <w:bottom w:type="dxa" w:w="60"/>
              <w:right w:type="dxa" w:w="100"/>
            </w:tcMar>
          </w:tcPr>
          <w:p>
            <w:r>
              <w:rPr>
                <w:b w:val="false"/>
                <w:bCs w:val="false"/>
                <w:color w:val="000000"/>
                <w:sz w:val="20"/>
                <w:szCs w:val="20"/>
              </w:rPr>
              <w:t xml:space="preserve">Landesprogramme (je Standort)</w:t>
            </w:r>
          </w:p>
        </w:tc>
        <w:tc>
          <w:tcPr>
            <w:tcW w:type="dxa" w:w="4110"/>
            <w:shd w:fill="FFFFFF" w:val="clear"/>
            <w:tcMar>
              <w:top w:type="dxa" w:w="60"/>
              <w:left w:type="dxa" w:w="100"/>
              <w:bottom w:type="dxa" w:w="60"/>
              <w:right w:type="dxa" w:w="100"/>
            </w:tcMar>
          </w:tcPr>
          <w:p>
            <w:r>
              <w:rPr>
                <w:b w:val="false"/>
                <w:bCs w:val="false"/>
                <w:color w:val="000000"/>
                <w:sz w:val="20"/>
                <w:szCs w:val="20"/>
              </w:rPr>
              <w:t xml:space="preserve">Gründerstipendien (z. B. 1.000–3.000 €/Monat), Digitalbonus/Innovationsgutscheine, ProFIT-artige F&amp;E-Zuschüsse, EFRE-kofinanzierte Digitalzuschüsse, Landes-Seedfonds</w:t>
            </w:r>
          </w:p>
        </w:tc>
        <w:tc>
          <w:tcPr>
            <w:tcW w:type="dxa" w:w="2800"/>
            <w:shd w:fill="FFFFFF" w:val="clear"/>
            <w:tcMar>
              <w:top w:type="dxa" w:w="60"/>
              <w:left w:type="dxa" w:w="100"/>
              <w:bottom w:type="dxa" w:w="60"/>
              <w:right w:type="dxa" w:w="100"/>
            </w:tcMar>
          </w:tcPr>
          <w:p>
            <w:r>
              <w:rPr>
                <w:b w:val="false"/>
                <w:bCs w:val="false"/>
                <w:color w:val="000000"/>
                <w:sz w:val="20"/>
                <w:szCs w:val="20"/>
              </w:rPr>
              <w:t xml:space="preserve">Standortentscheidung mitdenken – die Spannbreite zwischen Bundesländern ist erheblich</w:t>
            </w:r>
          </w:p>
        </w:tc>
      </w:tr>
      <w:tr>
        <w:tc>
          <w:tcPr>
            <w:tcW w:type="dxa" w:w="2450"/>
            <w:shd w:fill="F2F2F2" w:val="clear"/>
            <w:tcMar>
              <w:top w:type="dxa" w:w="60"/>
              <w:left w:type="dxa" w:w="100"/>
              <w:bottom w:type="dxa" w:w="60"/>
              <w:right w:type="dxa" w:w="100"/>
            </w:tcMar>
          </w:tcPr>
          <w:p>
            <w:r>
              <w:rPr>
                <w:b w:val="false"/>
                <w:bCs w:val="false"/>
                <w:color w:val="000000"/>
                <w:sz w:val="20"/>
                <w:szCs w:val="20"/>
              </w:rPr>
              <w:t xml:space="preserve">EU: EIC Accelerator (Horizon Europe)</w:t>
            </w:r>
          </w:p>
        </w:tc>
        <w:tc>
          <w:tcPr>
            <w:tcW w:type="dxa" w:w="4110"/>
            <w:shd w:fill="F2F2F2" w:val="clear"/>
            <w:tcMar>
              <w:top w:type="dxa" w:w="60"/>
              <w:left w:type="dxa" w:w="100"/>
              <w:bottom w:type="dxa" w:w="60"/>
              <w:right w:type="dxa" w:w="100"/>
            </w:tcMar>
          </w:tcPr>
          <w:p>
            <w:r>
              <w:rPr>
                <w:b w:val="false"/>
                <w:bCs w:val="false"/>
                <w:color w:val="000000"/>
                <w:sz w:val="20"/>
                <w:szCs w:val="20"/>
              </w:rPr>
              <w:t xml:space="preserve">Bis 2,5 Mio. € Zuschuss plus bis 15 Mio. € Eigenkapital für Deep-Tech mit Skalierungspotenzial – die Königsklasse; KAȲȲA OS als erste transparente Sozialstaats-Plattform ist ein erzählbarer EU-Case</w:t>
            </w:r>
          </w:p>
        </w:tc>
        <w:tc>
          <w:tcPr>
            <w:tcW w:type="dxa" w:w="2800"/>
            <w:shd w:fill="F2F2F2" w:val="clear"/>
            <w:tcMar>
              <w:top w:type="dxa" w:w="60"/>
              <w:left w:type="dxa" w:w="100"/>
              <w:bottom w:type="dxa" w:w="60"/>
              <w:right w:type="dxa" w:w="100"/>
            </w:tcMar>
          </w:tcPr>
          <w:p>
            <w:r>
              <w:rPr>
                <w:b w:val="false"/>
                <w:bCs w:val="false"/>
                <w:color w:val="000000"/>
                <w:sz w:val="20"/>
                <w:szCs w:val="20"/>
              </w:rPr>
              <w:t xml:space="preserve">Hoher Wettbewerb; professionelle Antragstellung, Alliance-/EU-Skalierungsstory nutzen</w:t>
            </w:r>
          </w:p>
        </w:tc>
      </w:tr>
      <w:tr>
        <w:tc>
          <w:tcPr>
            <w:tcW w:type="dxa" w:w="2450"/>
            <w:shd w:fill="FFFFFF" w:val="clear"/>
            <w:tcMar>
              <w:top w:type="dxa" w:w="60"/>
              <w:left w:type="dxa" w:w="100"/>
              <w:bottom w:type="dxa" w:w="60"/>
              <w:right w:type="dxa" w:w="100"/>
            </w:tcMar>
          </w:tcPr>
          <w:p>
            <w:r>
              <w:rPr>
                <w:b w:val="false"/>
                <w:bCs w:val="false"/>
                <w:color w:val="000000"/>
                <w:sz w:val="20"/>
                <w:szCs w:val="20"/>
              </w:rPr>
              <w:t xml:space="preserve">EU: GenAI4EU / Digital Europe Programme</w:t>
            </w:r>
          </w:p>
        </w:tc>
        <w:tc>
          <w:tcPr>
            <w:tcW w:type="dxa" w:w="4110"/>
            <w:shd w:fill="FFFFFF" w:val="clear"/>
            <w:tcMar>
              <w:top w:type="dxa" w:w="60"/>
              <w:left w:type="dxa" w:w="100"/>
              <w:bottom w:type="dxa" w:w="60"/>
              <w:right w:type="dxa" w:w="100"/>
            </w:tcMar>
          </w:tcPr>
          <w:p>
            <w:r>
              <w:rPr>
                <w:b w:val="false"/>
                <w:bCs w:val="false"/>
                <w:color w:val="000000"/>
                <w:sz w:val="20"/>
                <w:szCs w:val="20"/>
              </w:rPr>
              <w:t xml:space="preserve">Calls zur Anwendung generativer KI in Schlüsselsektoren – ausdrücklich auch öffentlicher Sektor/Verwaltung</w:t>
            </w:r>
          </w:p>
        </w:tc>
        <w:tc>
          <w:tcPr>
            <w:tcW w:type="dxa" w:w="2800"/>
            <w:shd w:fill="FFFFFF" w:val="clear"/>
            <w:tcMar>
              <w:top w:type="dxa" w:w="60"/>
              <w:left w:type="dxa" w:w="100"/>
              <w:bottom w:type="dxa" w:w="60"/>
              <w:right w:type="dxa" w:w="100"/>
            </w:tcMar>
          </w:tcPr>
          <w:p>
            <w:r>
              <w:rPr>
                <w:b w:val="false"/>
                <w:bCs w:val="false"/>
                <w:color w:val="000000"/>
                <w:sz w:val="20"/>
                <w:szCs w:val="20"/>
              </w:rPr>
              <w:t xml:space="preserve">Als Konsortialpartner (z. B. mit Kostenträger oder Hochschule) einsteigen</w:t>
            </w:r>
          </w:p>
        </w:tc>
      </w:tr>
      <w:tr>
        <w:tc>
          <w:tcPr>
            <w:tcW w:type="dxa" w:w="2450"/>
            <w:shd w:fill="F2F2F2" w:val="clear"/>
            <w:tcMar>
              <w:top w:type="dxa" w:w="60"/>
              <w:left w:type="dxa" w:w="100"/>
              <w:bottom w:type="dxa" w:w="60"/>
              <w:right w:type="dxa" w:w="100"/>
            </w:tcMar>
          </w:tcPr>
          <w:p>
            <w:r>
              <w:rPr>
                <w:b w:val="false"/>
                <w:bCs w:val="false"/>
                <w:color w:val="000000"/>
                <w:sz w:val="20"/>
                <w:szCs w:val="20"/>
              </w:rPr>
              <w:t xml:space="preserve">EU: Eurostars/EUREKA</w:t>
            </w:r>
          </w:p>
        </w:tc>
        <w:tc>
          <w:tcPr>
            <w:tcW w:type="dxa" w:w="4110"/>
            <w:shd w:fill="F2F2F2" w:val="clear"/>
            <w:tcMar>
              <w:top w:type="dxa" w:w="60"/>
              <w:left w:type="dxa" w:w="100"/>
              <w:bottom w:type="dxa" w:w="60"/>
              <w:right w:type="dxa" w:w="100"/>
            </w:tcMar>
          </w:tcPr>
          <w:p>
            <w:r>
              <w:rPr>
                <w:b w:val="false"/>
                <w:bCs w:val="false"/>
                <w:color w:val="000000"/>
                <w:sz w:val="20"/>
                <w:szCs w:val="20"/>
              </w:rPr>
              <w:t xml:space="preserve">Zuschüsse für internationale KMU-F&amp;E-Projekte – passend zur Campus-Achse Deutschland–Philippinen/Singapur</w:t>
            </w:r>
          </w:p>
        </w:tc>
        <w:tc>
          <w:tcPr>
            <w:tcW w:type="dxa" w:w="2800"/>
            <w:shd w:fill="F2F2F2" w:val="clear"/>
            <w:tcMar>
              <w:top w:type="dxa" w:w="60"/>
              <w:left w:type="dxa" w:w="100"/>
              <w:bottom w:type="dxa" w:w="60"/>
              <w:right w:type="dxa" w:w="100"/>
            </w:tcMar>
          </w:tcPr>
          <w:p>
            <w:r>
              <w:rPr>
                <w:b w:val="false"/>
                <w:bCs w:val="false"/>
                <w:color w:val="000000"/>
                <w:sz w:val="20"/>
                <w:szCs w:val="20"/>
              </w:rPr>
              <w:t xml:space="preserve">Mindestens ein ausländischer Partner</w:t>
            </w:r>
          </w:p>
        </w:tc>
      </w:tr>
      <w:tr>
        <w:tc>
          <w:tcPr>
            <w:tcW w:type="dxa" w:w="2450"/>
            <w:shd w:fill="FFFFFF" w:val="clear"/>
            <w:tcMar>
              <w:top w:type="dxa" w:w="60"/>
              <w:left w:type="dxa" w:w="100"/>
              <w:bottom w:type="dxa" w:w="60"/>
              <w:right w:type="dxa" w:w="100"/>
            </w:tcMar>
          </w:tcPr>
          <w:p>
            <w:r>
              <w:rPr>
                <w:b w:val="false"/>
                <w:bCs w:val="false"/>
                <w:color w:val="000000"/>
                <w:sz w:val="20"/>
                <w:szCs w:val="20"/>
              </w:rPr>
              <w:t xml:space="preserve">EU: InvestEU / EIF-Garantien</w:t>
            </w:r>
          </w:p>
        </w:tc>
        <w:tc>
          <w:tcPr>
            <w:tcW w:type="dxa" w:w="4110"/>
            <w:shd w:fill="FFFFFF" w:val="clear"/>
            <w:tcMar>
              <w:top w:type="dxa" w:w="60"/>
              <w:left w:type="dxa" w:w="100"/>
              <w:bottom w:type="dxa" w:w="60"/>
              <w:right w:type="dxa" w:w="100"/>
            </w:tcMar>
          </w:tcPr>
          <w:p>
            <w:r>
              <w:rPr>
                <w:b w:val="false"/>
                <w:bCs w:val="false"/>
                <w:color w:val="000000"/>
                <w:sz w:val="20"/>
                <w:szCs w:val="20"/>
              </w:rPr>
              <w:t xml:space="preserve">Garantien und Finanzierungen über Partnerbanken, inkl. Fenster für soziale Investitionen</w:t>
            </w:r>
          </w:p>
        </w:tc>
        <w:tc>
          <w:tcPr>
            <w:tcW w:type="dxa" w:w="2800"/>
            <w:shd w:fill="FFFFFF" w:val="clear"/>
            <w:tcMar>
              <w:top w:type="dxa" w:w="60"/>
              <w:left w:type="dxa" w:w="100"/>
              <w:bottom w:type="dxa" w:w="60"/>
              <w:right w:type="dxa" w:w="100"/>
            </w:tcMar>
          </w:tcPr>
          <w:p>
            <w:r>
              <w:rPr>
                <w:b w:val="false"/>
                <w:bCs w:val="false"/>
                <w:color w:val="000000"/>
                <w:sz w:val="20"/>
                <w:szCs w:val="20"/>
              </w:rPr>
              <w:t xml:space="preserve">Läuft über Hausbank/Förderbank; senkt Kreditkosten</w:t>
            </w:r>
          </w:p>
        </w:tc>
      </w:tr>
      <w:tr>
        <w:tc>
          <w:tcPr>
            <w:tcW w:type="dxa" w:w="2450"/>
            <w:shd w:fill="F2F2F2" w:val="clear"/>
            <w:tcMar>
              <w:top w:type="dxa" w:w="60"/>
              <w:left w:type="dxa" w:w="100"/>
              <w:bottom w:type="dxa" w:w="60"/>
              <w:right w:type="dxa" w:w="100"/>
            </w:tcMar>
          </w:tcPr>
          <w:p>
            <w:r>
              <w:rPr>
                <w:b w:val="false"/>
                <w:bCs w:val="false"/>
                <w:color w:val="000000"/>
                <w:sz w:val="20"/>
                <w:szCs w:val="20"/>
              </w:rPr>
              <w:t xml:space="preserve">Erasmus für Jungunternehmer</w:t>
            </w:r>
          </w:p>
        </w:tc>
        <w:tc>
          <w:tcPr>
            <w:tcW w:type="dxa" w:w="4110"/>
            <w:shd w:fill="F2F2F2" w:val="clear"/>
            <w:tcMar>
              <w:top w:type="dxa" w:w="60"/>
              <w:left w:type="dxa" w:w="100"/>
              <w:bottom w:type="dxa" w:w="60"/>
              <w:right w:type="dxa" w:w="100"/>
            </w:tcMar>
          </w:tcPr>
          <w:p>
            <w:r>
              <w:rPr>
                <w:b w:val="false"/>
                <w:bCs w:val="false"/>
                <w:color w:val="000000"/>
                <w:sz w:val="20"/>
                <w:szCs w:val="20"/>
              </w:rPr>
              <w:t xml:space="preserve">Bezuschusster Austausch mit erfahrenen Gründern im EU-Ausland</w:t>
            </w:r>
          </w:p>
        </w:tc>
        <w:tc>
          <w:tcPr>
            <w:tcW w:type="dxa" w:w="2800"/>
            <w:shd w:fill="F2F2F2" w:val="clear"/>
            <w:tcMar>
              <w:top w:type="dxa" w:w="60"/>
              <w:left w:type="dxa" w:w="100"/>
              <w:bottom w:type="dxa" w:w="60"/>
              <w:right w:type="dxa" w:w="100"/>
            </w:tcMar>
          </w:tcPr>
          <w:p>
            <w:r>
              <w:rPr>
                <w:b w:val="false"/>
                <w:bCs w:val="false"/>
                <w:color w:val="000000"/>
                <w:sz w:val="20"/>
                <w:szCs w:val="20"/>
              </w:rPr>
              <w:t xml:space="preserve">Kleines Programm, großer Netzwerkeffekt</w:t>
            </w:r>
          </w:p>
        </w:tc>
      </w:tr>
    </w:tbl>
    <w:p>
      <w:pPr>
        <w:spacing w:after="120"/>
      </w:pPr>
    </w:p>
    <w:p>
      <w:pPr>
        <w:spacing w:after="120" w:line="276"/>
        <w:jc w:val="both"/>
      </w:pPr>
      <w:r>
        <w:t xml:space="preserve">Spielregeln beim Kombinieren: Dieselben Kosten dürfen nie doppelt gefördert werden, viele Zuschüsse laufen über De-minimis- oder AGVO-Grenzen, und fast alle verlangen den Antrag vor Projektbeginn – die Förderstrategie gehört deshalb an den Anfang des Fahrplans, nicht ans Ende. Realistisch kombinierbar sind etwa: Forschungszulage (laufend) + ZIM-Projekt + KfW-StartGeld + INVEST für die Angels + ein Landesstipendium – zusammen können so 30–50 % der KAȲȲA-OS-Entwicklungskosten aus Fördermitteln gedeckt werden, bevor ein Euro Eigenkapital verwässert. Der EIC Accelerator ist das Ziel für Stufe 2/3, wenn erste Traktion belegbar ist. Empfehlung: spezialisierte Fördermittelberatung früh einbinden (Erfolgshonorar-Modelle üblich).</w:t>
      </w:r>
    </w:p>
    <w:p>
      <w:pPr>
        <w:pStyle w:val="Heading1"/>
        <w:spacing w:after="140" w:before="320"/>
      </w:pPr>
      <w:r>
        <w:rPr>
          <w:color w:val="1F4E5F"/>
        </w:rPr>
        <w:t xml:space="preserve">10. Finanzplan (Kurzfassung)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930"/>
        <w:gridCol w:w="1930"/>
        <w:gridCol w:w="1940"/>
      </w:tblGrid>
      <w:tr>
        <w:tc>
          <w:tcPr>
            <w:tcW w:type="dxa" w:w="3560"/>
            <w:shd w:fill="1F4E5F" w:val="clear"/>
            <w:tcMar>
              <w:top w:type="dxa" w:w="60"/>
              <w:left w:type="dxa" w:w="100"/>
              <w:bottom w:type="dxa" w:w="60"/>
              <w:right w:type="dxa" w:w="100"/>
            </w:tcMar>
          </w:tcPr>
          <w:p>
            <w:r>
              <w:rPr>
                <w:b/>
                <w:bCs/>
                <w:color w:val="FFFFFF"/>
                <w:sz w:val="20"/>
                <w:szCs w:val="20"/>
              </w:rPr>
              <w:t xml:space="preserve">Position</w:t>
            </w:r>
          </w:p>
        </w:tc>
        <w:tc>
          <w:tcPr>
            <w:tcW w:type="dxa" w:w="1930"/>
            <w:shd w:fill="1F4E5F" w:val="clear"/>
            <w:tcMar>
              <w:top w:type="dxa" w:w="60"/>
              <w:left w:type="dxa" w:w="100"/>
              <w:bottom w:type="dxa" w:w="60"/>
              <w:right w:type="dxa" w:w="100"/>
            </w:tcMar>
          </w:tcPr>
          <w:p>
            <w:r>
              <w:rPr>
                <w:b/>
                <w:bCs/>
                <w:color w:val="FFFFFF"/>
                <w:sz w:val="20"/>
                <w:szCs w:val="20"/>
              </w:rPr>
              <w:t xml:space="preserve">Jahr 1</w:t>
            </w:r>
          </w:p>
        </w:tc>
        <w:tc>
          <w:tcPr>
            <w:tcW w:type="dxa" w:w="1930"/>
            <w:shd w:fill="1F4E5F" w:val="clear"/>
            <w:tcMar>
              <w:top w:type="dxa" w:w="60"/>
              <w:left w:type="dxa" w:w="100"/>
              <w:bottom w:type="dxa" w:w="60"/>
              <w:right w:type="dxa" w:w="100"/>
            </w:tcMar>
          </w:tcPr>
          <w:p>
            <w:r>
              <w:rPr>
                <w:b/>
                <w:bCs/>
                <w:color w:val="FFFFFF"/>
                <w:sz w:val="20"/>
                <w:szCs w:val="20"/>
              </w:rPr>
              <w:t xml:space="preserve">Jahr 2</w:t>
            </w:r>
          </w:p>
        </w:tc>
        <w:tc>
          <w:tcPr>
            <w:tcW w:type="dxa" w:w="1940"/>
            <w:shd w:fill="1F4E5F" w:val="clear"/>
            <w:tcMar>
              <w:top w:type="dxa" w:w="60"/>
              <w:left w:type="dxa" w:w="100"/>
              <w:bottom w:type="dxa" w:w="60"/>
              <w:right w:type="dxa" w:w="100"/>
            </w:tcMar>
          </w:tcPr>
          <w:p>
            <w:r>
              <w:rPr>
                <w:b/>
                <w:bCs/>
                <w:color w:val="FFFFFF"/>
                <w:sz w:val="20"/>
                <w:szCs w:val="20"/>
              </w:rPr>
              <w:t xml:space="preserve">Jahr 3</w:t>
            </w:r>
          </w:p>
        </w:tc>
      </w:tr>
      <w:tr>
        <w:tc>
          <w:tcPr>
            <w:tcW w:type="dxa" w:w="3560"/>
            <w:shd w:fill="FFFFFF" w:val="clear"/>
            <w:tcMar>
              <w:top w:type="dxa" w:w="60"/>
              <w:left w:type="dxa" w:w="100"/>
              <w:bottom w:type="dxa" w:w="60"/>
              <w:right w:type="dxa" w:w="100"/>
            </w:tcMar>
          </w:tcPr>
          <w:p>
            <w:r>
              <w:rPr>
                <w:b w:val="false"/>
                <w:bCs w:val="false"/>
                <w:color w:val="000000"/>
                <w:sz w:val="20"/>
                <w:szCs w:val="20"/>
              </w:rPr>
              <w:t xml:space="preserve">Teilnehmerplätze Inland (Ø belegt)</w:t>
            </w:r>
          </w:p>
        </w:tc>
        <w:tc>
          <w:tcPr>
            <w:tcW w:type="dxa" w:w="1930"/>
            <w:shd w:fill="FFFFFF" w:val="clear"/>
            <w:tcMar>
              <w:top w:type="dxa" w:w="60"/>
              <w:left w:type="dxa" w:w="100"/>
              <w:bottom w:type="dxa" w:w="60"/>
              <w:right w:type="dxa" w:w="100"/>
            </w:tcMar>
          </w:tcPr>
          <w:p>
            <w:r>
              <w:rPr>
                <w:b w:val="false"/>
                <w:bCs w:val="false"/>
                <w:color w:val="000000"/>
                <w:sz w:val="20"/>
                <w:szCs w:val="20"/>
              </w:rPr>
              <w:t xml:space="preserve">30</w:t>
            </w:r>
          </w:p>
        </w:tc>
        <w:tc>
          <w:tcPr>
            <w:tcW w:type="dxa" w:w="1930"/>
            <w:shd w:fill="FFFFFF" w:val="clear"/>
            <w:tcMar>
              <w:top w:type="dxa" w:w="60"/>
              <w:left w:type="dxa" w:w="100"/>
              <w:bottom w:type="dxa" w:w="60"/>
              <w:right w:type="dxa" w:w="100"/>
            </w:tcMar>
          </w:tcPr>
          <w:p>
            <w:r>
              <w:rPr>
                <w:b w:val="false"/>
                <w:bCs w:val="false"/>
                <w:color w:val="000000"/>
                <w:sz w:val="20"/>
                <w:szCs w:val="20"/>
              </w:rPr>
              <w:t xml:space="preserve">70</w:t>
            </w:r>
          </w:p>
        </w:tc>
        <w:tc>
          <w:tcPr>
            <w:tcW w:type="dxa" w:w="1940"/>
            <w:shd w:fill="FFFFFF" w:val="clear"/>
            <w:tcMar>
              <w:top w:type="dxa" w:w="60"/>
              <w:left w:type="dxa" w:w="100"/>
              <w:bottom w:type="dxa" w:w="60"/>
              <w:right w:type="dxa" w:w="100"/>
            </w:tcMar>
          </w:tcPr>
          <w:p>
            <w:r>
              <w:rPr>
                <w:b w:val="false"/>
                <w:bCs w:val="false"/>
                <w:color w:val="000000"/>
                <w:sz w:val="20"/>
                <w:szCs w:val="20"/>
              </w:rPr>
              <w:t xml:space="preserve">110</w:t>
            </w:r>
          </w:p>
        </w:tc>
      </w:tr>
      <w:tr>
        <w:tc>
          <w:tcPr>
            <w:tcW w:type="dxa" w:w="3560"/>
            <w:shd w:fill="F2F2F2" w:val="clear"/>
            <w:tcMar>
              <w:top w:type="dxa" w:w="60"/>
              <w:left w:type="dxa" w:w="100"/>
              <w:bottom w:type="dxa" w:w="60"/>
              <w:right w:type="dxa" w:w="100"/>
            </w:tcMar>
          </w:tcPr>
          <w:p>
            <w:r>
              <w:rPr>
                <w:b w:val="false"/>
                <w:bCs w:val="false"/>
                <w:color w:val="000000"/>
                <w:sz w:val="20"/>
                <w:szCs w:val="20"/>
              </w:rPr>
              <w:t xml:space="preserve">Internationale Absolventen (vermittelt)</w:t>
            </w:r>
          </w:p>
        </w:tc>
        <w:tc>
          <w:tcPr>
            <w:tcW w:type="dxa" w:w="1930"/>
            <w:shd w:fill="F2F2F2" w:val="clear"/>
            <w:tcMar>
              <w:top w:type="dxa" w:w="60"/>
              <w:left w:type="dxa" w:w="100"/>
              <w:bottom w:type="dxa" w:w="60"/>
              <w:right w:type="dxa" w:w="100"/>
            </w:tcMar>
          </w:tcPr>
          <w:p>
            <w:r>
              <w:rPr>
                <w:b w:val="false"/>
                <w:bCs w:val="false"/>
                <w:color w:val="000000"/>
                <w:sz w:val="20"/>
                <w:szCs w:val="20"/>
              </w:rPr>
              <w:t xml:space="preserve">0</w:t>
            </w:r>
          </w:p>
        </w:tc>
        <w:tc>
          <w:tcPr>
            <w:tcW w:type="dxa" w:w="1930"/>
            <w:shd w:fill="F2F2F2" w:val="clear"/>
            <w:tcMar>
              <w:top w:type="dxa" w:w="60"/>
              <w:left w:type="dxa" w:w="100"/>
              <w:bottom w:type="dxa" w:w="60"/>
              <w:right w:type="dxa" w:w="100"/>
            </w:tcMar>
          </w:tcPr>
          <w:p>
            <w:r>
              <w:rPr>
                <w:b w:val="false"/>
                <w:bCs w:val="false"/>
                <w:color w:val="000000"/>
                <w:sz w:val="20"/>
                <w:szCs w:val="20"/>
              </w:rPr>
              <w:t xml:space="preserve">20</w:t>
            </w:r>
          </w:p>
        </w:tc>
        <w:tc>
          <w:tcPr>
            <w:tcW w:type="dxa" w:w="1940"/>
            <w:shd w:fill="F2F2F2" w:val="clear"/>
            <w:tcMar>
              <w:top w:type="dxa" w:w="60"/>
              <w:left w:type="dxa" w:w="100"/>
              <w:bottom w:type="dxa" w:w="60"/>
              <w:right w:type="dxa" w:w="100"/>
            </w:tcMar>
          </w:tcPr>
          <w:p>
            <w:r>
              <w:rPr>
                <w:b w:val="false"/>
                <w:bCs w:val="false"/>
                <w:color w:val="000000"/>
                <w:sz w:val="20"/>
                <w:szCs w:val="20"/>
              </w:rPr>
              <w:t xml:space="preserve">60</w:t>
            </w:r>
          </w:p>
        </w:tc>
      </w:tr>
      <w:tr>
        <w:tc>
          <w:tcPr>
            <w:tcW w:type="dxa" w:w="3560"/>
            <w:shd w:fill="FFFFFF" w:val="clear"/>
            <w:tcMar>
              <w:top w:type="dxa" w:w="60"/>
              <w:left w:type="dxa" w:w="100"/>
              <w:bottom w:type="dxa" w:w="60"/>
              <w:right w:type="dxa" w:w="100"/>
            </w:tcMar>
          </w:tcPr>
          <w:p>
            <w:r>
              <w:rPr>
                <w:b w:val="false"/>
                <w:bCs w:val="false"/>
                <w:color w:val="000000"/>
                <w:sz w:val="20"/>
                <w:szCs w:val="20"/>
              </w:rPr>
              <w:t xml:space="preserve">Umsatz (T€)</w:t>
            </w:r>
          </w:p>
        </w:tc>
        <w:tc>
          <w:tcPr>
            <w:tcW w:type="dxa" w:w="1930"/>
            <w:shd w:fill="FFFFFF" w:val="clear"/>
            <w:tcMar>
              <w:top w:type="dxa" w:w="60"/>
              <w:left w:type="dxa" w:w="100"/>
              <w:bottom w:type="dxa" w:w="60"/>
              <w:right w:type="dxa" w:w="100"/>
            </w:tcMar>
          </w:tcPr>
          <w:p>
            <w:r>
              <w:rPr>
                <w:b w:val="false"/>
                <w:bCs w:val="false"/>
                <w:color w:val="000000"/>
                <w:sz w:val="20"/>
                <w:szCs w:val="20"/>
              </w:rPr>
              <w:t xml:space="preserve">350</w:t>
            </w:r>
          </w:p>
        </w:tc>
        <w:tc>
          <w:tcPr>
            <w:tcW w:type="dxa" w:w="1930"/>
            <w:shd w:fill="FFFFFF" w:val="clear"/>
            <w:tcMar>
              <w:top w:type="dxa" w:w="60"/>
              <w:left w:type="dxa" w:w="100"/>
              <w:bottom w:type="dxa" w:w="60"/>
              <w:right w:type="dxa" w:w="100"/>
            </w:tcMar>
          </w:tcPr>
          <w:p>
            <w:r>
              <w:rPr>
                <w:b w:val="false"/>
                <w:bCs w:val="false"/>
                <w:color w:val="000000"/>
                <w:sz w:val="20"/>
                <w:szCs w:val="20"/>
              </w:rPr>
              <w:t xml:space="preserve">1.050</w:t>
            </w:r>
          </w:p>
        </w:tc>
        <w:tc>
          <w:tcPr>
            <w:tcW w:type="dxa" w:w="1940"/>
            <w:shd w:fill="FFFFFF" w:val="clear"/>
            <w:tcMar>
              <w:top w:type="dxa" w:w="60"/>
              <w:left w:type="dxa" w:w="100"/>
              <w:bottom w:type="dxa" w:w="60"/>
              <w:right w:type="dxa" w:w="100"/>
            </w:tcMar>
          </w:tcPr>
          <w:p>
            <w:r>
              <w:rPr>
                <w:b w:val="false"/>
                <w:bCs w:val="false"/>
                <w:color w:val="000000"/>
                <w:sz w:val="20"/>
                <w:szCs w:val="20"/>
              </w:rPr>
              <w:t xml:space="preserve">2.100</w:t>
            </w:r>
          </w:p>
        </w:tc>
      </w:tr>
      <w:tr>
        <w:tc>
          <w:tcPr>
            <w:tcW w:type="dxa" w:w="3560"/>
            <w:shd w:fill="F2F2F2" w:val="clear"/>
            <w:tcMar>
              <w:top w:type="dxa" w:w="60"/>
              <w:left w:type="dxa" w:w="100"/>
              <w:bottom w:type="dxa" w:w="60"/>
              <w:right w:type="dxa" w:w="100"/>
            </w:tcMar>
          </w:tcPr>
          <w:p>
            <w:r>
              <w:rPr>
                <w:b w:val="false"/>
                <w:bCs w:val="false"/>
                <w:color w:val="000000"/>
                <w:sz w:val="20"/>
                <w:szCs w:val="20"/>
              </w:rPr>
              <w:t xml:space="preserve">Personal (T€)</w:t>
            </w:r>
          </w:p>
        </w:tc>
        <w:tc>
          <w:tcPr>
            <w:tcW w:type="dxa" w:w="1930"/>
            <w:shd w:fill="F2F2F2" w:val="clear"/>
            <w:tcMar>
              <w:top w:type="dxa" w:w="60"/>
              <w:left w:type="dxa" w:w="100"/>
              <w:bottom w:type="dxa" w:w="60"/>
              <w:right w:type="dxa" w:w="100"/>
            </w:tcMar>
          </w:tcPr>
          <w:p>
            <w:r>
              <w:rPr>
                <w:b w:val="false"/>
                <w:bCs w:val="false"/>
                <w:color w:val="000000"/>
                <w:sz w:val="20"/>
                <w:szCs w:val="20"/>
              </w:rPr>
              <w:t xml:space="preserve">280</w:t>
            </w:r>
          </w:p>
        </w:tc>
        <w:tc>
          <w:tcPr>
            <w:tcW w:type="dxa" w:w="1930"/>
            <w:shd w:fill="F2F2F2" w:val="clear"/>
            <w:tcMar>
              <w:top w:type="dxa" w:w="60"/>
              <w:left w:type="dxa" w:w="100"/>
              <w:bottom w:type="dxa" w:w="60"/>
              <w:right w:type="dxa" w:w="100"/>
            </w:tcMar>
          </w:tcPr>
          <w:p>
            <w:r>
              <w:rPr>
                <w:b w:val="false"/>
                <w:bCs w:val="false"/>
                <w:color w:val="000000"/>
                <w:sz w:val="20"/>
                <w:szCs w:val="20"/>
              </w:rPr>
              <w:t xml:space="preserve">640</w:t>
            </w:r>
          </w:p>
        </w:tc>
        <w:tc>
          <w:tcPr>
            <w:tcW w:type="dxa" w:w="1940"/>
            <w:shd w:fill="F2F2F2" w:val="clear"/>
            <w:tcMar>
              <w:top w:type="dxa" w:w="60"/>
              <w:left w:type="dxa" w:w="100"/>
              <w:bottom w:type="dxa" w:w="60"/>
              <w:right w:type="dxa" w:w="100"/>
            </w:tcMar>
          </w:tcPr>
          <w:p>
            <w:r>
              <w:rPr>
                <w:b w:val="false"/>
                <w:bCs w:val="false"/>
                <w:color w:val="000000"/>
                <w:sz w:val="20"/>
                <w:szCs w:val="20"/>
              </w:rPr>
              <w:t xml:space="preserve">1.150</w:t>
            </w:r>
          </w:p>
        </w:tc>
      </w:tr>
      <w:tr>
        <w:tc>
          <w:tcPr>
            <w:tcW w:type="dxa" w:w="3560"/>
            <w:shd w:fill="FFFFFF" w:val="clear"/>
            <w:tcMar>
              <w:top w:type="dxa" w:w="60"/>
              <w:left w:type="dxa" w:w="100"/>
              <w:bottom w:type="dxa" w:w="60"/>
              <w:right w:type="dxa" w:w="100"/>
            </w:tcMar>
          </w:tcPr>
          <w:p>
            <w:r>
              <w:rPr>
                <w:b w:val="false"/>
                <w:bCs w:val="false"/>
                <w:color w:val="000000"/>
                <w:sz w:val="20"/>
                <w:szCs w:val="20"/>
              </w:rPr>
              <w:t xml:space="preserve">Miete/Sach/QM/Ausland (T€)</w:t>
            </w:r>
          </w:p>
        </w:tc>
        <w:tc>
          <w:tcPr>
            <w:tcW w:type="dxa" w:w="1930"/>
            <w:shd w:fill="FFFFFF" w:val="clear"/>
            <w:tcMar>
              <w:top w:type="dxa" w:w="60"/>
              <w:left w:type="dxa" w:w="100"/>
              <w:bottom w:type="dxa" w:w="60"/>
              <w:right w:type="dxa" w:w="100"/>
            </w:tcMar>
          </w:tcPr>
          <w:p>
            <w:r>
              <w:rPr>
                <w:b w:val="false"/>
                <w:bCs w:val="false"/>
                <w:color w:val="000000"/>
                <w:sz w:val="20"/>
                <w:szCs w:val="20"/>
              </w:rPr>
              <w:t xml:space="preserve">140</w:t>
            </w:r>
          </w:p>
        </w:tc>
        <w:tc>
          <w:tcPr>
            <w:tcW w:type="dxa" w:w="1930"/>
            <w:shd w:fill="FFFFFF" w:val="clear"/>
            <w:tcMar>
              <w:top w:type="dxa" w:w="60"/>
              <w:left w:type="dxa" w:w="100"/>
              <w:bottom w:type="dxa" w:w="60"/>
              <w:right w:type="dxa" w:w="100"/>
            </w:tcMar>
          </w:tcPr>
          <w:p>
            <w:r>
              <w:rPr>
                <w:b w:val="false"/>
                <w:bCs w:val="false"/>
                <w:color w:val="000000"/>
                <w:sz w:val="20"/>
                <w:szCs w:val="20"/>
              </w:rPr>
              <w:t xml:space="preserve">300</w:t>
            </w:r>
          </w:p>
        </w:tc>
        <w:tc>
          <w:tcPr>
            <w:tcW w:type="dxa" w:w="1940"/>
            <w:shd w:fill="FFFFFF" w:val="clear"/>
            <w:tcMar>
              <w:top w:type="dxa" w:w="60"/>
              <w:left w:type="dxa" w:w="100"/>
              <w:bottom w:type="dxa" w:w="60"/>
              <w:right w:type="dxa" w:w="100"/>
            </w:tcMar>
          </w:tcPr>
          <w:p>
            <w:r>
              <w:rPr>
                <w:b w:val="false"/>
                <w:bCs w:val="false"/>
                <w:color w:val="000000"/>
                <w:sz w:val="20"/>
                <w:szCs w:val="20"/>
              </w:rPr>
              <w:t xml:space="preserve">550</w:t>
            </w:r>
          </w:p>
        </w:tc>
      </w:tr>
      <w:tr>
        <w:tc>
          <w:tcPr>
            <w:tcW w:type="dxa" w:w="3560"/>
            <w:shd w:fill="F2F2F2" w:val="clear"/>
            <w:tcMar>
              <w:top w:type="dxa" w:w="60"/>
              <w:left w:type="dxa" w:w="100"/>
              <w:bottom w:type="dxa" w:w="60"/>
              <w:right w:type="dxa" w:w="100"/>
            </w:tcMar>
          </w:tcPr>
          <w:p>
            <w:r>
              <w:rPr>
                <w:b w:val="false"/>
                <w:bCs w:val="false"/>
                <w:color w:val="000000"/>
                <w:sz w:val="20"/>
                <w:szCs w:val="20"/>
              </w:rPr>
              <w:t xml:space="preserve">Ergebnis (T€)</w:t>
            </w:r>
          </w:p>
        </w:tc>
        <w:tc>
          <w:tcPr>
            <w:tcW w:type="dxa" w:w="1930"/>
            <w:shd w:fill="F2F2F2" w:val="clear"/>
            <w:tcMar>
              <w:top w:type="dxa" w:w="60"/>
              <w:left w:type="dxa" w:w="100"/>
              <w:bottom w:type="dxa" w:w="60"/>
              <w:right w:type="dxa" w:w="100"/>
            </w:tcMar>
          </w:tcPr>
          <w:p>
            <w:r>
              <w:rPr>
                <w:b w:val="false"/>
                <w:bCs w:val="false"/>
                <w:color w:val="000000"/>
                <w:sz w:val="20"/>
                <w:szCs w:val="20"/>
              </w:rPr>
              <w:t xml:space="preserve">–70</w:t>
            </w:r>
          </w:p>
        </w:tc>
        <w:tc>
          <w:tcPr>
            <w:tcW w:type="dxa" w:w="1930"/>
            <w:shd w:fill="F2F2F2" w:val="clear"/>
            <w:tcMar>
              <w:top w:type="dxa" w:w="60"/>
              <w:left w:type="dxa" w:w="100"/>
              <w:bottom w:type="dxa" w:w="60"/>
              <w:right w:type="dxa" w:w="100"/>
            </w:tcMar>
          </w:tcPr>
          <w:p>
            <w:r>
              <w:rPr>
                <w:b w:val="false"/>
                <w:bCs w:val="false"/>
                <w:color w:val="000000"/>
                <w:sz w:val="20"/>
                <w:szCs w:val="20"/>
              </w:rPr>
              <w:t xml:space="preserve">+110</w:t>
            </w:r>
          </w:p>
        </w:tc>
        <w:tc>
          <w:tcPr>
            <w:tcW w:type="dxa" w:w="1940"/>
            <w:shd w:fill="F2F2F2" w:val="clear"/>
            <w:tcMar>
              <w:top w:type="dxa" w:w="60"/>
              <w:left w:type="dxa" w:w="100"/>
              <w:bottom w:type="dxa" w:w="60"/>
              <w:right w:type="dxa" w:w="100"/>
            </w:tcMar>
          </w:tcPr>
          <w:p>
            <w:r>
              <w:rPr>
                <w:b w:val="false"/>
                <w:bCs w:val="false"/>
                <w:color w:val="000000"/>
                <w:sz w:val="20"/>
                <w:szCs w:val="20"/>
              </w:rPr>
              <w:t xml:space="preserve">+400</w:t>
            </w:r>
          </w:p>
        </w:tc>
      </w:tr>
    </w:tbl>
    <w:p>
      <w:pPr>
        <w:spacing w:after="120"/>
      </w:pPr>
    </w:p>
    <w:p>
      <w:pPr>
        <w:spacing w:after="120" w:line="276"/>
        <w:jc w:val="both"/>
      </w:pPr>
      <w:r>
        <w:t xml:space="preserve">Annahmen: Inland aus FbW-Kostensätzen (B-DKS-orientiert), AVGS und ersten Vergabelosen ab Jahr 2. International ab Jahr 2: Ø 10.000 € Arbeitgeber-Pauschale je vermittelter Pflegekraft abzüglich ca. 5.500 € Vollkosten (Ausbildung, Sprache, Anerkennung, Visum, Flug). Eigene Einrichtungen sind nicht enthalten und werden bei Übernahme separat finanziert. Kapitalbedarf 250–400 T€ aus Stammkapital, Gesellschafterdarlehen, KfW/Förderkredit.</w:t>
      </w:r>
    </w:p>
    <w:p>
      <w:pPr>
        <w:pStyle w:val="Heading2"/>
        <w:spacing w:after="100" w:before="240"/>
      </w:pPr>
      <w:r>
        <w:rPr>
          <w:color w:val="1F4E5F"/>
        </w:rPr>
        <w:t xml:space="preserve">10.1 Entwicklungskosten der Plattform KAȲȲA OS (Arbeitstitel)</w:t>
      </w:r>
    </w:p>
    <w:p>
      <w:pPr>
        <w:spacing w:after="120" w:line="276"/>
        <w:jc w:val="both"/>
      </w:pPr>
      <w:r>
        <w:t xml:space="preserve">Die Software wird nach dem separaten Lastenheft „KAȲȲA OS“ in drei Stufen extern entwickelt (Werkvertrag, alle Rechte bei der Gesellschaft). Kostenschätzung auf Basis marktüblicher Sätze für ein kleines Senior-Team, dessen Produktivität selbst KI-gestützt ist: Stufe 1 (MVP: Teilnehmerakte, Anwesenheit inkl. eM@w, Zeiterfassung, Finanzkern mit Profitcenter, Basis-Dashboards) ca. 350–550 T€ in 6–9 Monaten; Stufe 2 (Vergabemodul, Self-Learning und Frühwarnsystem, externes Kostenträger-Dashboard, fälschungssichere Zeugnisse) ca. 250–400 T€; Stufe 3 (Auslandscampus, Talentpool/Arbeitgeberportal, Wohncampus, EBICS) ca. 250–450 T€. Gesamt: rund 0,9–1,4 Mio. € über drei Jahre, danach laufend ca. 120–180 T€ p. a. für Betrieb, Wartung und Weiterentwicklung (eigene Server, GPU-Inferenz, Updates).</w:t>
      </w:r>
    </w:p>
    <w:p>
      <w:pPr>
        <w:spacing w:after="120" w:line="276"/>
        <w:jc w:val="both"/>
      </w:pPr>
      <w:r>
        <w:t xml:space="preserve">Finanzierung und Amortisation: Die Stufen werden einzeln beauftragt und finanziert (KfW-/ERP-Digitalisierungskredit, Landes-Digitalprogramme, Gesellschaftermittel); Zahlungen sind an Meilenstein-Abnahmen gekoppelt. Die Gegenrechnung trägt: Bereits der MVP ersetzt Verwaltungsarbeit im Umfang von 8–12 Vollzeitstellen klassischer Trägerorganisation (à 55–70 T€ Vollkosten p. a.) – die Stufe-1-Investition amortisiert sich damit rechnerisch in unter zwei Jahren, jede weitere Stufe schneller, da die Teilnehmerzahl wächst, die Plattformkosten aber kaum. Zudem entsteht ein eigenes Asset: Als erste konsequent transparente Trägerplattform ist KAȲȲA OS perspektivisch auch an Dritte lizenzierbar (kommunale Träger, Wohlfahrt) – eine spätere Erlösquelle, die im Finanzplan bewusst noch nicht angesetzt ist.</w:t>
      </w:r>
    </w:p>
    <w:p>
      <w:pPr>
        <w:pStyle w:val="Heading1"/>
        <w:spacing w:after="140" w:before="320"/>
      </w:pPr>
      <w:r>
        <w:rPr>
          <w:color w:val="1F4E5F"/>
        </w:rPr>
        <w:t xml:space="preserve">11. Fahrplan zur Gründung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1F4E5F" w:val="clear"/>
            <w:tcMar>
              <w:top w:type="dxa" w:w="60"/>
              <w:left w:type="dxa" w:w="100"/>
              <w:bottom w:type="dxa" w:w="60"/>
              <w:right w:type="dxa" w:w="100"/>
            </w:tcMar>
          </w:tcPr>
          <w:p>
            <w:r>
              <w:rPr>
                <w:b/>
                <w:bCs/>
                <w:color w:val="FFFFFF"/>
                <w:sz w:val="20"/>
                <w:szCs w:val="20"/>
              </w:rPr>
              <w:t xml:space="preserve">Monat</w:t>
            </w:r>
          </w:p>
        </w:tc>
        <w:tc>
          <w:tcPr>
            <w:tcW w:type="dxa" w:w="8160"/>
            <w:shd w:fill="1F4E5F" w:val="clear"/>
            <w:tcMar>
              <w:top w:type="dxa" w:w="60"/>
              <w:left w:type="dxa" w:w="100"/>
              <w:bottom w:type="dxa" w:w="60"/>
              <w:right w:type="dxa" w:w="100"/>
            </w:tcMar>
          </w:tcPr>
          <w:p>
            <w:r>
              <w:rPr>
                <w:b/>
                <w:bCs/>
                <w:color w:val="FFFFFF"/>
                <w:sz w:val="20"/>
                <w:szCs w:val="20"/>
              </w:rPr>
              <w:t xml:space="preserve">Meilenstein</w:t>
            </w:r>
          </w:p>
        </w:tc>
      </w:tr>
      <w:tr>
        <w:tc>
          <w:tcPr>
            <w:tcW w:type="dxa" w:w="1200"/>
            <w:shd w:fill="FFFFFF" w:val="clear"/>
            <w:tcMar>
              <w:top w:type="dxa" w:w="60"/>
              <w:left w:type="dxa" w:w="100"/>
              <w:bottom w:type="dxa" w:w="60"/>
              <w:right w:type="dxa" w:w="100"/>
            </w:tcMar>
          </w:tcPr>
          <w:p>
            <w:r>
              <w:rPr>
                <w:b w:val="false"/>
                <w:bCs w:val="false"/>
                <w:color w:val="000000"/>
                <w:sz w:val="20"/>
                <w:szCs w:val="20"/>
              </w:rPr>
              <w:t xml:space="preserve">1–2</w:t>
            </w:r>
          </w:p>
        </w:tc>
        <w:tc>
          <w:tcPr>
            <w:tcW w:type="dxa" w:w="8160"/>
            <w:shd w:fill="FFFFFF" w:val="clear"/>
            <w:tcMar>
              <w:top w:type="dxa" w:w="60"/>
              <w:left w:type="dxa" w:w="100"/>
              <w:bottom w:type="dxa" w:w="60"/>
              <w:right w:type="dxa" w:w="100"/>
            </w:tcMar>
          </w:tcPr>
          <w:p>
            <w:r>
              <w:rPr>
                <w:b w:val="false"/>
                <w:bCs w:val="false"/>
                <w:color w:val="000000"/>
                <w:sz w:val="20"/>
                <w:szCs w:val="20"/>
              </w:rPr>
              <w:t xml:space="preserve">Satzung, § 60a-Vorabprüfung Finanzamt, Notar, HR-Eintrag; Struktur gGmbH + Vermittlungs-Tochter</w:t>
            </w:r>
          </w:p>
        </w:tc>
      </w:tr>
      <w:tr>
        <w:tc>
          <w:tcPr>
            <w:tcW w:type="dxa" w:w="1200"/>
            <w:shd w:fill="F2F2F2" w:val="clear"/>
            <w:tcMar>
              <w:top w:type="dxa" w:w="60"/>
              <w:left w:type="dxa" w:w="100"/>
              <w:bottom w:type="dxa" w:w="60"/>
              <w:right w:type="dxa" w:w="100"/>
            </w:tcMar>
          </w:tcPr>
          <w:p>
            <w:r>
              <w:rPr>
                <w:b w:val="false"/>
                <w:bCs w:val="false"/>
                <w:color w:val="000000"/>
                <w:sz w:val="20"/>
                <w:szCs w:val="20"/>
              </w:rPr>
              <w:t xml:space="preserve">1–9</w:t>
            </w:r>
          </w:p>
        </w:tc>
        <w:tc>
          <w:tcPr>
            <w:tcW w:type="dxa" w:w="8160"/>
            <w:shd w:fill="F2F2F2" w:val="clear"/>
            <w:tcMar>
              <w:top w:type="dxa" w:w="60"/>
              <w:left w:type="dxa" w:w="100"/>
              <w:bottom w:type="dxa" w:w="60"/>
              <w:right w:type="dxa" w:w="100"/>
            </w:tcMar>
          </w:tcPr>
          <w:p>
            <w:r>
              <w:rPr>
                <w:b w:val="false"/>
                <w:bCs w:val="false"/>
                <w:color w:val="000000"/>
                <w:sz w:val="20"/>
                <w:szCs w:val="20"/>
              </w:rPr>
              <w:t xml:space="preserve">Software: Ausschreibung KAȲȲA OS auf Basis des vorliegenden Lastenhefts, Entwicklung Stufe 1 (MVP), Go-live mit der ersten Maßnahme</w:t>
            </w:r>
          </w:p>
        </w:tc>
      </w:tr>
      <w:tr>
        <w:tc>
          <w:tcPr>
            <w:tcW w:type="dxa" w:w="1200"/>
            <w:shd w:fill="FFFFFF" w:val="clear"/>
            <w:tcMar>
              <w:top w:type="dxa" w:w="60"/>
              <w:left w:type="dxa" w:w="100"/>
              <w:bottom w:type="dxa" w:w="60"/>
              <w:right w:type="dxa" w:w="100"/>
            </w:tcMar>
          </w:tcPr>
          <w:p>
            <w:r>
              <w:rPr>
                <w:b w:val="false"/>
                <w:bCs w:val="false"/>
                <w:color w:val="000000"/>
                <w:sz w:val="20"/>
                <w:szCs w:val="20"/>
              </w:rPr>
              <w:t xml:space="preserve">2–5</w:t>
            </w:r>
          </w:p>
        </w:tc>
        <w:tc>
          <w:tcPr>
            <w:tcW w:type="dxa" w:w="8160"/>
            <w:shd w:fill="FFFFFF" w:val="clear"/>
            <w:tcMar>
              <w:top w:type="dxa" w:w="60"/>
              <w:left w:type="dxa" w:w="100"/>
              <w:bottom w:type="dxa" w:w="60"/>
              <w:right w:type="dxa" w:w="100"/>
            </w:tcMar>
          </w:tcPr>
          <w:p>
            <w:r>
              <w:rPr>
                <w:b w:val="false"/>
                <w:bCs w:val="false"/>
                <w:color w:val="000000"/>
                <w:sz w:val="20"/>
                <w:szCs w:val="20"/>
              </w:rPr>
              <w:t xml:space="preserve">QM-System (ISO 9001-Basis), Leitbild, Prozesse, Personal, Räume</w:t>
            </w:r>
          </w:p>
        </w:tc>
      </w:tr>
      <w:tr>
        <w:tc>
          <w:tcPr>
            <w:tcW w:type="dxa" w:w="1200"/>
            <w:shd w:fill="F2F2F2" w:val="clear"/>
            <w:tcMar>
              <w:top w:type="dxa" w:w="60"/>
              <w:left w:type="dxa" w:w="100"/>
              <w:bottom w:type="dxa" w:w="60"/>
              <w:right w:type="dxa" w:w="100"/>
            </w:tcMar>
          </w:tcPr>
          <w:p>
            <w:r>
              <w:rPr>
                <w:b w:val="false"/>
                <w:bCs w:val="false"/>
                <w:color w:val="000000"/>
                <w:sz w:val="20"/>
                <w:szCs w:val="20"/>
              </w:rPr>
              <w:t xml:space="preserve">4–6</w:t>
            </w:r>
          </w:p>
        </w:tc>
        <w:tc>
          <w:tcPr>
            <w:tcW w:type="dxa" w:w="8160"/>
            <w:shd w:fill="F2F2F2" w:val="clear"/>
            <w:tcMar>
              <w:top w:type="dxa" w:w="60"/>
              <w:left w:type="dxa" w:w="100"/>
              <w:bottom w:type="dxa" w:w="60"/>
              <w:right w:type="dxa" w:w="100"/>
            </w:tcMar>
          </w:tcPr>
          <w:p>
            <w:r>
              <w:rPr>
                <w:b w:val="false"/>
                <w:bCs w:val="false"/>
                <w:color w:val="000000"/>
                <w:sz w:val="20"/>
                <w:szCs w:val="20"/>
              </w:rPr>
              <w:t xml:space="preserve">AZAV-Trägerzulassung (fachkundige Stelle), erste Maßnahmenkonzepte</w:t>
            </w:r>
          </w:p>
        </w:tc>
      </w:tr>
      <w:tr>
        <w:tc>
          <w:tcPr>
            <w:tcW w:type="dxa" w:w="1200"/>
            <w:shd w:fill="FFFFFF" w:val="clear"/>
            <w:tcMar>
              <w:top w:type="dxa" w:w="60"/>
              <w:left w:type="dxa" w:w="100"/>
              <w:bottom w:type="dxa" w:w="60"/>
              <w:right w:type="dxa" w:w="100"/>
            </w:tcMar>
          </w:tcPr>
          <w:p>
            <w:r>
              <w:rPr>
                <w:b w:val="false"/>
                <w:bCs w:val="false"/>
                <w:color w:val="000000"/>
                <w:sz w:val="20"/>
                <w:szCs w:val="20"/>
              </w:rPr>
              <w:t xml:space="preserve">6–8</w:t>
            </w:r>
          </w:p>
        </w:tc>
        <w:tc>
          <w:tcPr>
            <w:tcW w:type="dxa" w:w="8160"/>
            <w:shd w:fill="FFFFFF" w:val="clear"/>
            <w:tcMar>
              <w:top w:type="dxa" w:w="60"/>
              <w:left w:type="dxa" w:w="100"/>
              <w:bottom w:type="dxa" w:w="60"/>
              <w:right w:type="dxa" w:w="100"/>
            </w:tcMar>
          </w:tcPr>
          <w:p>
            <w:r>
              <w:rPr>
                <w:b w:val="false"/>
                <w:bCs w:val="false"/>
                <w:color w:val="000000"/>
                <w:sz w:val="20"/>
                <w:szCs w:val="20"/>
              </w:rPr>
              <w:t xml:space="preserve">Maßnahmenzulassungen FbW/§ 45; HWK-Abstimmung; Listung KURSNET</w:t>
            </w:r>
          </w:p>
        </w:tc>
      </w:tr>
      <w:tr>
        <w:tc>
          <w:tcPr>
            <w:tcW w:type="dxa" w:w="1200"/>
            <w:shd w:fill="F2F2F2" w:val="clear"/>
            <w:tcMar>
              <w:top w:type="dxa" w:w="60"/>
              <w:left w:type="dxa" w:w="100"/>
              <w:bottom w:type="dxa" w:w="60"/>
              <w:right w:type="dxa" w:w="100"/>
            </w:tcMar>
          </w:tcPr>
          <w:p>
            <w:r>
              <w:rPr>
                <w:b w:val="false"/>
                <w:bCs w:val="false"/>
                <w:color w:val="000000"/>
                <w:sz w:val="20"/>
                <w:szCs w:val="20"/>
              </w:rPr>
              <w:t xml:space="preserve">7–9</w:t>
            </w:r>
          </w:p>
        </w:tc>
        <w:tc>
          <w:tcPr>
            <w:tcW w:type="dxa" w:w="8160"/>
            <w:shd w:fill="F2F2F2" w:val="clear"/>
            <w:tcMar>
              <w:top w:type="dxa" w:w="60"/>
              <w:left w:type="dxa" w:w="100"/>
              <w:bottom w:type="dxa" w:w="60"/>
              <w:right w:type="dxa" w:w="100"/>
            </w:tcMar>
          </w:tcPr>
          <w:p>
            <w:r>
              <w:rPr>
                <w:b w:val="false"/>
                <w:bCs w:val="false"/>
                <w:color w:val="000000"/>
                <w:sz w:val="20"/>
                <w:szCs w:val="20"/>
              </w:rPr>
              <w:t xml:space="preserve">e-Vergabe-Registrierung, Kontakt Agenturen/Jobcenter/REZ, Start Gutscheingeschäft</w:t>
            </w:r>
          </w:p>
        </w:tc>
      </w:tr>
      <w:tr>
        <w:tc>
          <w:tcPr>
            <w:tcW w:type="dxa" w:w="1200"/>
            <w:shd w:fill="FFFFFF" w:val="clear"/>
            <w:tcMar>
              <w:top w:type="dxa" w:w="60"/>
              <w:left w:type="dxa" w:w="100"/>
              <w:bottom w:type="dxa" w:w="60"/>
              <w:right w:type="dxa" w:w="100"/>
            </w:tcMar>
          </w:tcPr>
          <w:p>
            <w:r>
              <w:rPr>
                <w:b w:val="false"/>
                <w:bCs w:val="false"/>
                <w:color w:val="000000"/>
                <w:sz w:val="20"/>
                <w:szCs w:val="20"/>
              </w:rPr>
              <w:t xml:space="preserve">9–14</w:t>
            </w:r>
          </w:p>
        </w:tc>
        <w:tc>
          <w:tcPr>
            <w:tcW w:type="dxa" w:w="8160"/>
            <w:shd w:fill="FFFFFF" w:val="clear"/>
            <w:tcMar>
              <w:top w:type="dxa" w:w="60"/>
              <w:left w:type="dxa" w:w="100"/>
              <w:bottom w:type="dxa" w:w="60"/>
              <w:right w:type="dxa" w:w="100"/>
            </w:tcMar>
          </w:tcPr>
          <w:p>
            <w:r>
              <w:rPr>
                <w:b w:val="false"/>
                <w:bCs w:val="false"/>
                <w:color w:val="000000"/>
                <w:sz w:val="20"/>
                <w:szCs w:val="20"/>
              </w:rPr>
              <w:t xml:space="preserve">International: Partner-/DMW-Agentur Philippinen, Pilotklasse Pflege (25 TN), Gütezeichen Faire Anwerbung beantragen</w:t>
            </w:r>
          </w:p>
        </w:tc>
      </w:tr>
      <w:tr>
        <w:tc>
          <w:tcPr>
            <w:tcW w:type="dxa" w:w="1200"/>
            <w:shd w:fill="F2F2F2" w:val="clear"/>
            <w:tcMar>
              <w:top w:type="dxa" w:w="60"/>
              <w:left w:type="dxa" w:w="100"/>
              <w:bottom w:type="dxa" w:w="60"/>
              <w:right w:type="dxa" w:w="100"/>
            </w:tcMar>
          </w:tcPr>
          <w:p>
            <w:r>
              <w:rPr>
                <w:b w:val="false"/>
                <w:bCs w:val="false"/>
                <w:color w:val="000000"/>
                <w:sz w:val="20"/>
                <w:szCs w:val="20"/>
              </w:rPr>
              <w:t xml:space="preserve">12–18</w:t>
            </w:r>
          </w:p>
        </w:tc>
        <w:tc>
          <w:tcPr>
            <w:tcW w:type="dxa" w:w="8160"/>
            <w:shd w:fill="F2F2F2" w:val="clear"/>
            <w:tcMar>
              <w:top w:type="dxa" w:w="60"/>
              <w:left w:type="dxa" w:w="100"/>
              <w:bottom w:type="dxa" w:w="60"/>
              <w:right w:type="dxa" w:w="100"/>
            </w:tcMar>
          </w:tcPr>
          <w:p>
            <w:r>
              <w:rPr>
                <w:b w:val="false"/>
                <w:bCs w:val="false"/>
                <w:color w:val="000000"/>
                <w:sz w:val="20"/>
                <w:szCs w:val="20"/>
              </w:rPr>
              <w:t xml:space="preserve">Suchtprojekt: Konzept mit Fachklinik-Partnern, rehapro-/Stiftungsanträge, Abstimmung DRV (§ 31 SGB IX)</w:t>
            </w:r>
          </w:p>
        </w:tc>
      </w:tr>
      <w:tr>
        <w:tc>
          <w:tcPr>
            <w:tcW w:type="dxa" w:w="1200"/>
            <w:shd w:fill="FFFFFF" w:val="clear"/>
            <w:tcMar>
              <w:top w:type="dxa" w:w="60"/>
              <w:left w:type="dxa" w:w="100"/>
              <w:bottom w:type="dxa" w:w="60"/>
              <w:right w:type="dxa" w:w="100"/>
            </w:tcMar>
          </w:tcPr>
          <w:p>
            <w:r>
              <w:rPr>
                <w:b w:val="false"/>
                <w:bCs w:val="false"/>
                <w:color w:val="000000"/>
                <w:sz w:val="20"/>
                <w:szCs w:val="20"/>
              </w:rPr>
              <w:t xml:space="preserve">ab 15</w:t>
            </w:r>
          </w:p>
        </w:tc>
        <w:tc>
          <w:tcPr>
            <w:tcW w:type="dxa" w:w="8160"/>
            <w:shd w:fill="FFFFFF" w:val="clear"/>
            <w:tcMar>
              <w:top w:type="dxa" w:w="60"/>
              <w:left w:type="dxa" w:w="100"/>
              <w:bottom w:type="dxa" w:w="60"/>
              <w:right w:type="dxa" w:w="100"/>
            </w:tcMar>
          </w:tcPr>
          <w:p>
            <w:r>
              <w:rPr>
                <w:b w:val="false"/>
                <w:bCs w:val="false"/>
                <w:color w:val="000000"/>
                <w:sz w:val="20"/>
                <w:szCs w:val="20"/>
              </w:rPr>
              <w:t xml:space="preserve">REZ-Ausschreibungen, erste Einreisen/Vermittlungen, Prüfung Übernahme Reha-/Pflegeeinrichtung, Ausbau BAMF/ESF</w:t>
            </w:r>
          </w:p>
        </w:tc>
      </w:tr>
    </w:tbl>
    <w:p>
      <w:pPr>
        <w:spacing w:after="120"/>
      </w:pPr>
    </w:p>
    <w:p>
      <w:pPr>
        <w:pStyle w:val="Heading1"/>
        <w:spacing w:after="140" w:before="320"/>
      </w:pPr>
      <w:r>
        <w:rPr>
          <w:color w:val="1F4E5F"/>
        </w:rPr>
        <w:t xml:space="preserve">12. Risiken und Gegenmaßnahmen</w:t>
      </w:r>
    </w:p>
    <w:p>
      <w:pPr>
        <w:pStyle w:val="ListParagraph"/>
        <w:numPr>
          <w:ilvl w:val="0"/>
          <w:numId w:val="2"/>
        </w:numPr>
        <w:spacing w:after="60" w:line="264"/>
        <w:jc w:val="both"/>
      </w:pPr>
      <w:r>
        <w:rPr>
          <w:b/>
          <w:bCs/>
        </w:rPr>
        <w:t xml:space="preserve">Auslastungsrisiko Inland: </w:t>
      </w:r>
      <w:r>
        <w:t xml:space="preserve">breiter Maßnahmenmix, Beziehungspflege zu Vermittlungsfachkräften, KURSNET-Sichtbarkeit.</w:t>
      </w:r>
    </w:p>
    <w:p>
      <w:pPr>
        <w:pStyle w:val="ListParagraph"/>
        <w:numPr>
          <w:ilvl w:val="0"/>
          <w:numId w:val="2"/>
        </w:numPr>
        <w:spacing w:after="60" w:line="264"/>
        <w:jc w:val="both"/>
      </w:pPr>
      <w:r>
        <w:rPr>
          <w:b/>
          <w:bCs/>
        </w:rPr>
        <w:t xml:space="preserve">Preisdruck in Vergaben: </w:t>
      </w:r>
      <w:r>
        <w:t xml:space="preserve">auskömmlich kalkulieren, Konzeptqualität statt Kampfpreis.</w:t>
      </w:r>
    </w:p>
    <w:p>
      <w:pPr>
        <w:pStyle w:val="ListParagraph"/>
        <w:numPr>
          <w:ilvl w:val="0"/>
          <w:numId w:val="2"/>
        </w:numPr>
        <w:spacing w:after="60" w:line="264"/>
        <w:jc w:val="both"/>
      </w:pPr>
      <w:r>
        <w:rPr>
          <w:b/>
          <w:bCs/>
        </w:rPr>
        <w:t xml:space="preserve">Zulassungsrisiko: </w:t>
      </w:r>
      <w:r>
        <w:t xml:space="preserve">QM professionell aufsetzen, erfahrenen AZAV-Berater einbinden.</w:t>
      </w:r>
    </w:p>
    <w:p>
      <w:pPr>
        <w:pStyle w:val="ListParagraph"/>
        <w:numPr>
          <w:ilvl w:val="0"/>
          <w:numId w:val="2"/>
        </w:numPr>
        <w:spacing w:after="60" w:line="264"/>
        <w:jc w:val="both"/>
      </w:pPr>
      <w:r>
        <w:rPr>
          <w:b/>
          <w:bCs/>
        </w:rPr>
        <w:t xml:space="preserve">Anerkennungs-/Visumrisiko: </w:t>
      </w:r>
      <w:r>
        <w:t xml:space="preserve">Verfahren dauern trotz § 81a oft länger; Curriculum eng an Kenntnisprüfung ausrichten, frühe Vorab-Bescheide, Puffer in der Planung.</w:t>
      </w:r>
    </w:p>
    <w:p>
      <w:pPr>
        <w:pStyle w:val="ListParagraph"/>
        <w:numPr>
          <w:ilvl w:val="0"/>
          <w:numId w:val="2"/>
        </w:numPr>
        <w:spacing w:after="60" w:line="264"/>
        <w:jc w:val="both"/>
      </w:pPr>
      <w:r>
        <w:rPr>
          <w:b/>
          <w:bCs/>
        </w:rPr>
        <w:t xml:space="preserve">Reputations-/Compliance-Risiko international: </w:t>
      </w:r>
      <w:r>
        <w:t xml:space="preserve">strikte Fair-Recruitment-Standards (Gütezeichen, Employer-Pays, DMW-Regeln) – Verstöße gefährden BA-Geschäft und Ruf.</w:t>
      </w:r>
    </w:p>
    <w:p>
      <w:pPr>
        <w:pStyle w:val="ListParagraph"/>
        <w:numPr>
          <w:ilvl w:val="0"/>
          <w:numId w:val="2"/>
        </w:numPr>
        <w:spacing w:after="60" w:line="264"/>
        <w:jc w:val="both"/>
      </w:pPr>
      <w:r>
        <w:rPr>
          <w:b/>
          <w:bCs/>
        </w:rPr>
        <w:t xml:space="preserve">Abwerbung durch Wettbewerber / Abwanderung: </w:t>
      </w:r>
      <w:r>
        <w:t xml:space="preserve">Rückzahlungsklauseln nur begrenzt durchsetzbar – Schutz über das Drei-Ebenen-Modell aus Kapitel 8.3: rechtssichere Verträge, überdurchschnittliche Vergütung und vor allem gesellschaftliche Einbindung (Wohnen, Gemeinschaft, Familie); Fluktuation als laufend überwachte Kennzahl.</w:t>
      </w:r>
    </w:p>
    <w:p>
      <w:pPr>
        <w:pStyle w:val="ListParagraph"/>
        <w:numPr>
          <w:ilvl w:val="0"/>
          <w:numId w:val="2"/>
        </w:numPr>
        <w:spacing w:after="60" w:line="264"/>
        <w:jc w:val="both"/>
      </w:pPr>
      <w:r>
        <w:rPr>
          <w:b/>
          <w:bCs/>
        </w:rPr>
        <w:t xml:space="preserve">Länder-/Währungsrisiko: </w:t>
      </w:r>
      <w:r>
        <w:t xml:space="preserve">schlanke Auslandsstruktur über Partner statt Eigeninvest in Phase 1.</w:t>
      </w:r>
    </w:p>
    <w:p>
      <w:pPr>
        <w:pStyle w:val="ListParagraph"/>
        <w:numPr>
          <w:ilvl w:val="0"/>
          <w:numId w:val="2"/>
        </w:numPr>
        <w:spacing w:after="60" w:line="264"/>
        <w:jc w:val="both"/>
      </w:pPr>
      <w:r>
        <w:rPr>
          <w:b/>
          <w:bCs/>
        </w:rPr>
        <w:t xml:space="preserve">Liquidität: </w:t>
      </w:r>
      <w:r>
        <w:t xml:space="preserve">Abrechnung nachlaufend, internationale Vorlaufkosten je Kohorte – Puffer mind. 3 Monatskosten + Kohortenvorfinanzierung.</w:t>
      </w:r>
    </w:p>
    <w:p>
      <w:pPr>
        <w:pStyle w:val="ListParagraph"/>
        <w:numPr>
          <w:ilvl w:val="0"/>
          <w:numId w:val="2"/>
        </w:numPr>
        <w:spacing w:after="60" w:line="264"/>
        <w:jc w:val="both"/>
      </w:pPr>
      <w:r>
        <w:rPr>
          <w:b/>
          <w:bCs/>
        </w:rPr>
        <w:t xml:space="preserve">Kostenträgerrisiko Suchtprojekt: </w:t>
      </w:r>
      <w:r>
        <w:t xml:space="preserve">Auslandserbringung nach § 31 SGB IX ist Einzelfall-/Ermessensentscheidung – Absicherung über rehapro-Modellförderung, Stiftungsmittel und belastbare Wirksamkeitsdaten (wissenschaftliche Begleitung).</w:t>
      </w:r>
    </w:p>
    <w:p>
      <w:pPr>
        <w:pStyle w:val="ListParagraph"/>
        <w:numPr>
          <w:ilvl w:val="0"/>
          <w:numId w:val="2"/>
        </w:numPr>
        <w:spacing w:after="60" w:line="264"/>
        <w:jc w:val="both"/>
      </w:pPr>
      <w:r>
        <w:rPr>
          <w:b/>
          <w:bCs/>
        </w:rPr>
        <w:t xml:space="preserve">Fürsorge-/Rückfallrisiko im Ausland: </w:t>
      </w:r>
      <w:r>
        <w:t xml:space="preserve">Rückfall im Gastland hat gesundheitliche und dort auch erhebliche strafrechtliche Risiken – strenge Aufnahmekriterien, therapeutische Begleitung vor Ort, 24/7-Krisenplan, Rückholkonzept, Versicherungsschutz.</w:t>
      </w:r>
    </w:p>
    <w:p>
      <w:pPr>
        <w:pStyle w:val="ListParagraph"/>
        <w:numPr>
          <w:ilvl w:val="0"/>
          <w:numId w:val="2"/>
        </w:numPr>
        <w:spacing w:after="60" w:line="264"/>
        <w:jc w:val="both"/>
      </w:pPr>
      <w:r>
        <w:rPr>
          <w:b/>
          <w:bCs/>
        </w:rPr>
        <w:t xml:space="preserve">Digital-/KI-Risiko: </w:t>
      </w:r>
      <w:r>
        <w:t xml:space="preserve">Abhängigkeit von Systemen und KI-Qualität – redundante Prozesse, menschliche Kontrolle bei Bescheiden/Dokumentation, DSGVO- und AI-Act-Compliance von Beginn an.</w:t>
      </w:r>
    </w:p>
    <w:p>
      <w:pPr>
        <w:pStyle w:val="ListParagraph"/>
        <w:numPr>
          <w:ilvl w:val="0"/>
          <w:numId w:val="2"/>
        </w:numPr>
        <w:spacing w:after="60" w:line="264"/>
        <w:jc w:val="both"/>
      </w:pPr>
      <w:r>
        <w:rPr>
          <w:b/>
          <w:bCs/>
        </w:rPr>
        <w:t xml:space="preserve">Klumpenrisiko Arbeitsmarktpolitik: </w:t>
      </w:r>
      <w:r>
        <w:t xml:space="preserve">Haushaltssperren und Budgetkürzungen (wie in der Bildungsgutschein-Delle 2024) treffen BA-lastige Träger hart – Ziel daher: kein Kostenträger über 50 % des Umsatzes; der breite Mix aus BA, DRV, Kommunen, Kassen, Arbeitgebern, Ausbildungsfonds und Spenden ist bewusster Risikoausgleich.</w:t>
      </w:r>
    </w:p>
    <w:p>
      <w:pPr>
        <w:pStyle w:val="ListParagraph"/>
        <w:numPr>
          <w:ilvl w:val="0"/>
          <w:numId w:val="2"/>
        </w:numPr>
        <w:spacing w:after="60" w:line="264"/>
        <w:jc w:val="both"/>
      </w:pPr>
      <w:r>
        <w:rPr>
          <w:b/>
          <w:bCs/>
        </w:rPr>
        <w:t xml:space="preserve">Exekutionsrisiko Parallelität: </w:t>
      </w:r>
      <w:r>
        <w:t xml:space="preserve">Sieben Geschäftsfelder plus Softwareentwicklung überfordern jede Gründung, wenn alles gleichzeitig startet. Verbindliche Fokus-Sequenz: erst Inlandsgeschäft plus KAȲȲA OS Stufe 1, dann International, dann Sucht/Einrichtungen; jede Stufe startet erst nach definierten Erfolgskriterien der vorherigen. Pragmatischer Fallback: Läuft die Eigenentwicklung verzögert, startet der Betrieb übergangsweise auf Branchensoftware – die eigene Transparenzschicht wird darübergelegt, kein Maßnahmenstart wartet auf Software.</w:t>
      </w:r>
    </w:p>
    <w:p>
      <w:pPr>
        <w:pStyle w:val="ListParagraph"/>
        <w:numPr>
          <w:ilvl w:val="0"/>
          <w:numId w:val="2"/>
        </w:numPr>
        <w:spacing w:after="60" w:line="264"/>
        <w:jc w:val="both"/>
      </w:pPr>
      <w:r>
        <w:rPr>
          <w:b/>
          <w:bCs/>
        </w:rPr>
        <w:t xml:space="preserve">Schlüsselpersonenrisiko: </w:t>
      </w:r>
      <w:r>
        <w:t xml:space="preserve">Das Konzept lebt anfangs von den Gründern – Gegenmittel sind eingebaut: Alles Wissen liegt dokumentiert im System statt in Köpfen (Organisationsgedächtnis), Vertretungsregelungen und Beiräte (Kapitel 8.4) verbreitern die Verantwortung von Beginn an.</w:t>
      </w:r>
    </w:p>
    <w:p>
      <w:pPr>
        <w:pStyle w:val="ListParagraph"/>
        <w:numPr>
          <w:ilvl w:val="0"/>
          <w:numId w:val="2"/>
        </w:numPr>
        <w:spacing w:after="60" w:line="264"/>
        <w:jc w:val="both"/>
      </w:pPr>
      <w:r>
        <w:rPr>
          <w:b/>
          <w:bCs/>
        </w:rPr>
        <w:t xml:space="preserve">Gemeinnützigkeit: </w:t>
      </w:r>
      <w:r>
        <w:t xml:space="preserve">Vermittlung gegen Entgelt in die gewerbliche Tochter auslagern; laufende steuerliche Begleitung, klare Sphärentrennung.</w:t>
      </w:r>
    </w:p>
    <w:p>
      <w:pPr>
        <w:pStyle w:val="Heading1"/>
        <w:spacing w:after="140" w:before="320"/>
      </w:pPr>
      <w:r>
        <w:rPr>
          <w:color w:val="1F4E5F"/>
        </w:rPr>
        <w:t xml:space="preserve">Markenoptionen (Arbeitsstand)</w:t>
      </w:r>
    </w:p>
    <w:p>
      <w:pPr>
        <w:spacing w:after="120" w:line="276"/>
        <w:jc w:val="both"/>
      </w:pPr>
      <w:r>
        <w:t xml:space="preserve">Die Marke soll bewusst nicht den Geschäftszweck beschreiben – die etablierten Träger heißen nach Bildung, Akademie und Werk. Gesucht ist eine abstrakte, internationale Wortmarke, deren Bedeutung nur kennt, wer sie sucht. Wichtig: Alle folgenden Namen – einschließlich des Favoriten KAȲȲA und der Plattform-Bezeichnung KAȲȲA OS – sind Arbeitstitel; verbindlich werden sie erst nach Marken-, Register- und Domainprüfung. Vier Favoriten mit Herleitung:</w:t>
      </w:r>
    </w:p>
    <w:p>
      <w:pPr>
        <w:pStyle w:val="ListParagraph"/>
        <w:numPr>
          <w:ilvl w:val="0"/>
          <w:numId w:val="2"/>
        </w:numPr>
        <w:spacing w:after="60" w:line="264"/>
        <w:jc w:val="both"/>
      </w:pPr>
      <w:r>
        <w:rPr>
          <w:b/>
          <w:bCs/>
        </w:rPr>
        <w:t xml:space="preserve">KAȲȲA (Favorit) – </w:t>
      </w:r>
      <w:r>
        <w:t xml:space="preserve">Ursprung ist das Tagalog-Wort „kaya“: machbar – wir können das; die Haltung des Unternehmens und seiner Teilnehmer im Alltagswort der philippinischen Partner. Die Schreibweise mit Doppel-Y stammt nicht von der KI, sondern aus dem Prompt von Bernhard Krug: Sie macht aus dem häufigen Wort „Kaya“ (verbreiteter Nachname, mehrere Bestandsfirmen) ein unterscheidungskräftiges Kunstwort – frei in Suchmaschinen und Domains, identisch ausgesprochen. Und das doppelte Y lässt sich im Logo als zwei nebeneinanderstehende Menschen lesen: das Tandem aus Fachkraft und Teilnehmer. Zu beachten: Klanglich bleibt KAȲȲA mit „Kaya“-Marken identisch – die Kollisionsprüfung in Klasse 41 (Bildung) muss das ausdrücklich einschließen. Die Softwareplattform des Unternehmens trägt daraus abgeleitet die Arbeitsbezeichnung KAȲȲA OS: Der Strich über den beiden Y – eine optische Spielerei mit Bedeutung – ist das gemeinsame Dach, das die Plattform über die zwei Menschen (Fachkraft und Teilnehmer) spannt.</w:t>
      </w:r>
    </w:p>
    <w:p>
      <w:pPr>
        <w:pStyle w:val="ListParagraph"/>
        <w:numPr>
          <w:ilvl w:val="0"/>
          <w:numId w:val="2"/>
        </w:numPr>
        <w:spacing w:after="60" w:line="264"/>
        <w:jc w:val="both"/>
      </w:pPr>
      <w:r>
        <w:rPr>
          <w:b/>
          <w:bCs/>
        </w:rPr>
        <w:t xml:space="preserve">VIDDA – </w:t>
      </w:r>
      <w:r>
        <w:t xml:space="preserve">nach der norwegischen Hochebene (etwa der Hardangervidda): Weite, offener Horizont, klare Luft. Der Name entstand aus der Suche nach einem Bild für Offenheit und Überblick – genau das, was die Transparenz des Unternehmens den Kostenträgern verschafft –, ohne es auszusprechen. Klingt nach skandinavischem Designunternehmen, nicht nach Trägerlandschaft.</w:t>
      </w:r>
    </w:p>
    <w:p>
      <w:pPr>
        <w:pStyle w:val="ListParagraph"/>
        <w:numPr>
          <w:ilvl w:val="0"/>
          <w:numId w:val="2"/>
        </w:numPr>
        <w:spacing w:after="60" w:line="264"/>
        <w:jc w:val="both"/>
      </w:pPr>
      <w:r>
        <w:rPr>
          <w:b/>
          <w:bCs/>
        </w:rPr>
        <w:t xml:space="preserve">VERTO – </w:t>
      </w:r>
      <w:r>
        <w:t xml:space="preserve">lateinisch „ich wende, ich verändere“. Hergeleitet aus dem Kern des Konzepts: der Wende – des Marktes weg vom Verwaltungsapparat, des Teilnehmers hin zum Neuanfang. Zwei Silben, weltweit aussprechbar, klingt nach Technologieunternehmen und trägt den Wandel unsichtbar im Namen.</w:t>
      </w:r>
    </w:p>
    <w:p>
      <w:pPr>
        <w:pStyle w:val="ListParagraph"/>
        <w:numPr>
          <w:ilvl w:val="0"/>
          <w:numId w:val="2"/>
        </w:numPr>
        <w:spacing w:after="60" w:line="264"/>
        <w:jc w:val="both"/>
      </w:pPr>
      <w:r>
        <w:rPr>
          <w:b/>
          <w:bCs/>
        </w:rPr>
        <w:t xml:space="preserve">HARAYA – </w:t>
      </w:r>
      <w:r>
        <w:t xml:space="preserve">Tagalog für „Vorstellungskraft, Vision“. Eine stille Verbeugung vor dem ersten Ausbildungscampus auf den Philippinen – verstanden nur von denen, die die Geschichte kennen. Gefunden bei der Suche nach einem Wort aus der Sprache des Partnerlandes, das groß denkt, ohne zu beschreiben; im deutschen Markt völlig unverbraucht.</w:t>
      </w:r>
    </w:p>
    <w:p>
      <w:pPr>
        <w:spacing w:after="120" w:line="276"/>
        <w:jc w:val="both"/>
      </w:pPr>
      <w:r>
        <w:t xml:space="preserve">Vor einer Festlegung sind Markenrecherche (DPMA/EUIPO), Handelsregister- und Domainprüfung zwingend – idealerweise anwaltlich, da auch ähnlich klingende Marken kollidieren können.</w:t>
      </w:r>
    </w:p>
    <w:p>
      <w:pPr>
        <w:pStyle w:val="Heading1"/>
        <w:spacing w:after="140" w:before="320"/>
      </w:pPr>
      <w:r>
        <w:rPr>
          <w:color w:val="1F4E5F"/>
        </w:rPr>
        <w:t xml:space="preserve">Schlusswort: Ein neuer Standard</w:t>
      </w:r>
    </w:p>
    <w:p>
      <w:pPr>
        <w:spacing w:after="120" w:line="276"/>
        <w:jc w:val="both"/>
      </w:pPr>
      <w:r>
        <w:t xml:space="preserve">Dieses Vorhaben ist kein weiterer Bildungsträger unter vielen – es ist der Gegenentwurf zu einem System, das sich an seine eigenen Kosten gewöhnt hat. Ein Träger, der jede Stunde, jeden Euro und jeden Erfolg offenlegt, ohne dass man ihn danach fragen muss. Der seine Effizienz nicht in Hochglanzbroschüren behauptet, sondern im Dashboard des Kostenträgers beweist. Der die Ersparnis aus schlanker Verwaltung nicht einbehält, sondern in bessere Preise, bessere Gehälter und bessere Ergebnisse umsetzt – und der Menschen, die andere längst abgeschrieben haben, einen echten Neuanfang baut: vom Suchtkranken, der fern des alten Milieus einen Beruf erlernt, bis zur Pflegekraft, die auf dem Ausbildungscampus im Ausland startet und in einer eigenen Einrichtung mit Wohnung, Kollegen und Zukunft ankommt.</w:t>
      </w:r>
    </w:p>
    <w:p>
      <w:pPr>
        <w:spacing w:after="120" w:line="276"/>
        <w:jc w:val="both"/>
      </w:pPr>
      <w:r>
        <w:t xml:space="preserve">Wenn dieses Modell funktioniert – und jede einzelne Komponente existiert bereits, rechtlich wie technisch –, wird es den Maßstab verschieben: Kostenträger werden diese Transparenz auch von anderen verlangen. Genau darin liegt die Chance des Ersten, der sie liefert. Dieses Ideenpapier ist die Einladung, diesen Standard zu setzen.</w:t>
      </w:r>
    </w:p>
    <w:p>
      <w:pPr>
        <w:pStyle w:val="Heading1"/>
        <w:spacing w:after="140" w:before="320"/>
      </w:pPr>
      <w:r>
        <w:rPr>
          <w:color w:val="1F4E5F"/>
        </w:rPr>
        <w:t xml:space="preserve">Transparenz zur Entstehung dieses Papiers</w:t>
      </w:r>
    </w:p>
    <w:p>
      <w:pPr>
        <w:spacing w:after="120" w:line="276"/>
        <w:jc w:val="both"/>
      </w:pPr>
      <w:r>
        <w:t xml:space="preserve">Dieses Ideenpapier legt offen, wie es entstanden ist – als Ko-Produktion aus menschlicher Prompt-Arbeit und künstlicher Intelligenz: Idee, Richtung, Haltung und jede inhaltliche Entscheidung stammen von Bernhard Krug; Recherche, Ausarbeitung, Struktur und Satz übernahm eine KI (Claude, Anthropic). Das Papier wurde nicht in einem Durchgang erzeugt, sondern in rund 70 Prompt-Iterationen über vier Arbeitstage entwickelt – gezielte inhaltliche Erweiterungen, Korrekturen und Verschärfungen, vom internationalen Geschäftsfeld über das Suchtprogramm bis zur Marktvalidierung der eigenen Werbeaussagen. Parallel entstanden aus derselben Zusammenarbeit das vollständige, ausschreibungsfähige Lastenheft der Plattform KAȲȲA OS (über 110 nummerierte Anforderungen, acht Schaubilder und Beispiel-Screens) sowie ein Investorendeck. Auf menschlicher Seite stecken darin geschätzt fünf bis sechs Stunden konzentrierte Prompt- und Review-Arbeit.</w:t>
      </w:r>
    </w:p>
    <w:p>
      <w:pPr>
        <w:spacing w:after="120" w:line="276"/>
        <w:jc w:val="both"/>
      </w:pPr>
      <w:r>
        <w:t xml:space="preserve">Auf Seiten der KI floss erhebliche Rechenleistung in dieses Dokument: über 30 gezielte Web-Recherchen mit Auswertung von weit über 150 Quellen (Gesetze, Statistiken, Handelsregister- und Medienberichte, API-Dokumentationen), mehr als 40 vollständige Neugenerierungen der Dokumente – jede Fassung maschinell gesetzt, in PDF gerendert und Seite für Seite sichtgeprüft – sowie die Verarbeitung von mehreren Hunderttausend Text-Tokens an Kontext und Generierung. Damit ist dieses Papier selbst der Beleg seiner eigenen These: Was hier in Stunden entstand, hätte klassisch Wochen an Fachabteilungs- und Beraterkapazität gebunden. Genau diese Arbeitsteilung – der Mensch gibt Richtung, Urteilskraft und Verantwortung, die KI liefert Recherche, Struktur und Fleißarbeit – ist das Betriebsmodell des Unternehmens, das es beschreibt.</w:t>
      </w:r>
    </w:p>
    <w:p>
      <w:pPr>
        <w:pBdr>
          <w:top w:val="single" w:color="CCCCCC" w:sz="4"/>
        </w:pBdr>
        <w:spacing w:before="300"/>
      </w:pPr>
      <w:r>
        <w:rPr>
          <w:i/>
          <w:iCs/>
          <w:color w:val="666666"/>
          <w:sz w:val="18"/>
          <w:szCs w:val="18"/>
        </w:rPr>
        <w:t xml:space="preserve">Kurzfassung – ersetzt keine Rechts- oder Steuerberatung. Zahlen sind Planannahmen und vor Gründung mit Steuerberater, fachkundiger Stelle, HWK, Anerkennungsbehörden und Auslandspartnern zu validieren.</w:t>
      </w:r>
    </w:p>
    <w:sectPr>
      <w:pgSz w:w="11906" w:h="16838" w:orient="portrait"/>
      <w:pgMar w:top="1247" w:right="1247"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2026-07-22T18:39:47.320Z</dcterms:created>
  <dcterms:modified xsi:type="dcterms:W3CDTF">2026-07-22T18:39:47.328Z</dcterms:modified>
</cp:coreProperties>
</file>

<file path=docProps/custom.xml><?xml version="1.0" encoding="utf-8"?>
<Properties xmlns="http://schemas.openxmlformats.org/officeDocument/2006/custom-properties" xmlns:vt="http://schemas.openxmlformats.org/officeDocument/2006/docPropsVTypes"/>
</file>