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259" w:lineRule="auto"/>
      </w:pPr>
    </w:p>
    <w:p>
      <w:pPr>
        <w:spacing w:before="0" w:after="200" w:line="259" w:lineRule="auto"/>
      </w:pPr>
      <w:r>
        <w:rPr>
          <w:rFonts w:ascii="Calibri" w:hAnsi="Calibri"/>
          <w:b/>
          <w:color w:val="2D6A4F"/>
          <w:sz w:val="24"/>
        </w:rPr>
        <w:t>AGRICHAIN</w:t>
      </w:r>
    </w:p>
    <w:p>
      <w:pPr>
        <w:spacing w:before="0" w:after="160" w:line="259" w:lineRule="auto"/>
      </w:pPr>
      <w:r>
        <w:rPr>
          <w:rFonts w:ascii="Calibri" w:hAnsi="Calibri"/>
          <w:b/>
          <w:color w:val="143228"/>
          <w:sz w:val="56"/>
        </w:rPr>
        <w:t>Solution Blueprint, Technical Architecture &amp; MVP Roadmap</w:t>
      </w:r>
    </w:p>
    <w:p>
      <w:pPr>
        <w:spacing w:before="0" w:after="0" w:line="259" w:lineRule="auto"/>
        <w:pBdr>
          <w:bottom w:val="single" w:sz="12" w:space="1" w:color="1B4332"/>
        </w:pBdr>
      </w:pPr>
    </w:p>
    <w:p>
      <w:pPr>
        <w:spacing w:before="240" w:after="40" w:line="259" w:lineRule="auto"/>
      </w:pPr>
      <w:r>
        <w:rPr>
          <w:rFonts w:ascii="Calibri" w:hAnsi="Calibri"/>
          <w:b w:val="0"/>
          <w:color w:val="1B4332"/>
          <w:sz w:val="28"/>
        </w:rPr>
        <w:t>First version  ·  Cashew corridor</w:t>
      </w:r>
    </w:p>
    <w:p>
      <w:pPr>
        <w:spacing w:before="0" w:after="40" w:line="259" w:lineRule="auto"/>
      </w:pPr>
      <w:r>
        <w:rPr>
          <w:rFonts w:ascii="Calibri" w:hAnsi="Calibri"/>
          <w:b w:val="0"/>
          <w:color w:val="1F2937"/>
          <w:sz w:val="28"/>
        </w:rPr>
        <w:t>Côte d'Ivoire to a European buyer</w:t>
      </w:r>
    </w:p>
    <w:p>
      <w:pPr>
        <w:spacing w:before="200" w:after="0" w:line="259" w:lineRule="auto"/>
      </w:pPr>
      <w:r>
        <w:rPr>
          <w:rFonts w:ascii="Calibri" w:hAnsi="Calibri"/>
          <w:b w:val="0"/>
          <w:color w:val="52636B"/>
          <w:sz w:val="22"/>
        </w:rPr>
        <w:t>16 October 2026</w:t>
      </w:r>
    </w:p>
    <w:p>
      <w:pPr>
        <w:spacing w:before="0" w:after="0" w:line="259" w:lineRule="auto"/>
      </w:pPr>
      <w:r>
        <w:br w:type="page"/>
      </w:r>
    </w:p>
    <w:p>
      <w:pPr>
        <w:spacing w:before="0" w:after="240" w:line="259" w:lineRule="auto"/>
      </w:pPr>
      <w:r>
        <w:rPr>
          <w:rFonts w:ascii="Calibri" w:hAnsi="Calibri"/>
          <w:b/>
          <w:color w:val="143228"/>
          <w:sz w:val="36"/>
        </w:rPr>
        <w:t>Contents</w:t>
      </w:r>
    </w:p>
    <w:p>
      <w:pPr>
        <w:spacing w:before="120" w:after="20" w:line="259" w:lineRule="auto"/>
      </w:pPr>
      <w:r>
        <w:rPr>
          <w:rFonts w:ascii="Calibri" w:hAnsi="Calibri"/>
          <w:b/>
          <w:color w:val="143228"/>
          <w:sz w:val="24"/>
        </w:rPr>
        <w:t>Decisions locked for the MVP</w:t>
      </w:r>
    </w:p>
    <w:p>
      <w:pPr>
        <w:spacing w:before="120" w:after="20" w:line="259" w:lineRule="auto"/>
      </w:pPr>
      <w:r>
        <w:rPr>
          <w:rFonts w:ascii="Calibri" w:hAnsi="Calibri"/>
          <w:b/>
          <w:color w:val="143228"/>
          <w:sz w:val="24"/>
        </w:rPr>
        <w:t>Solution blueprint</w:t>
      </w:r>
    </w:p>
    <w:p>
      <w:pPr>
        <w:spacing w:before="20" w:after="20" w:line="259" w:lineRule="auto"/>
        <w:ind w:left="320"/>
      </w:pPr>
      <w:r>
        <w:rPr>
          <w:rFonts w:ascii="Calibri" w:hAnsi="Calibri"/>
          <w:b w:val="0"/>
          <w:color w:val="52636B"/>
          <w:sz w:val="22"/>
        </w:rPr>
        <w:t>People in the pilot</w:t>
      </w:r>
    </w:p>
    <w:p>
      <w:pPr>
        <w:spacing w:before="20" w:after="20" w:line="259" w:lineRule="auto"/>
        <w:ind w:left="320"/>
      </w:pPr>
      <w:r>
        <w:rPr>
          <w:rFonts w:ascii="Calibri" w:hAnsi="Calibri"/>
          <w:b w:val="0"/>
          <w:color w:val="52636B"/>
          <w:sz w:val="22"/>
        </w:rPr>
        <w:t>Path of a lot</w:t>
      </w:r>
    </w:p>
    <w:p>
      <w:pPr>
        <w:spacing w:before="20" w:after="20" w:line="259" w:lineRule="auto"/>
        <w:ind w:left="320"/>
      </w:pPr>
      <w:r>
        <w:rPr>
          <w:rFonts w:ascii="Calibri" w:hAnsi="Calibri"/>
          <w:b w:val="0"/>
          <w:color w:val="52636B"/>
          <w:sz w:val="22"/>
        </w:rPr>
        <w:t>What the pilot has to prove</w:t>
      </w:r>
    </w:p>
    <w:p>
      <w:pPr>
        <w:spacing w:before="120" w:after="20" w:line="259" w:lineRule="auto"/>
      </w:pPr>
      <w:r>
        <w:rPr>
          <w:rFonts w:ascii="Calibri" w:hAnsi="Calibri"/>
          <w:b/>
          <w:color w:val="143228"/>
          <w:sz w:val="24"/>
        </w:rPr>
        <w:t>Domain model</w:t>
      </w:r>
    </w:p>
    <w:p>
      <w:pPr>
        <w:spacing w:before="20" w:after="20" w:line="259" w:lineRule="auto"/>
        <w:ind w:left="320"/>
      </w:pPr>
      <w:r>
        <w:rPr>
          <w:rFonts w:ascii="Calibri" w:hAnsi="Calibri"/>
          <w:b w:val="0"/>
          <w:color w:val="52636B"/>
          <w:sz w:val="22"/>
        </w:rPr>
        <w:t>Records</w:t>
      </w:r>
    </w:p>
    <w:p>
      <w:pPr>
        <w:spacing w:before="20" w:after="20" w:line="259" w:lineRule="auto"/>
        <w:ind w:left="320"/>
      </w:pPr>
      <w:r>
        <w:rPr>
          <w:rFonts w:ascii="Calibri" w:hAnsi="Calibri"/>
          <w:b w:val="0"/>
          <w:color w:val="52636B"/>
          <w:sz w:val="22"/>
        </w:rPr>
        <w:t>Event types in the MVP</w:t>
      </w:r>
    </w:p>
    <w:p>
      <w:pPr>
        <w:spacing w:before="20" w:after="20" w:line="259" w:lineRule="auto"/>
        <w:ind w:left="320"/>
      </w:pPr>
      <w:r>
        <w:rPr>
          <w:rFonts w:ascii="Calibri" w:hAnsi="Calibri"/>
          <w:b w:val="0"/>
          <w:color w:val="52636B"/>
          <w:sz w:val="22"/>
        </w:rPr>
        <w:t>Canonical event</w:t>
      </w:r>
    </w:p>
    <w:p>
      <w:pPr>
        <w:spacing w:before="20" w:after="20" w:line="259" w:lineRule="auto"/>
        <w:ind w:left="320"/>
      </w:pPr>
      <w:r>
        <w:rPr>
          <w:rFonts w:ascii="Calibri" w:hAnsi="Calibri"/>
          <w:b w:val="0"/>
          <w:color w:val="52636B"/>
          <w:sz w:val="22"/>
        </w:rPr>
        <w:t>Claims and bands</w:t>
      </w:r>
    </w:p>
    <w:p>
      <w:pPr>
        <w:spacing w:before="20" w:after="20" w:line="259" w:lineRule="auto"/>
        <w:ind w:left="320"/>
      </w:pPr>
      <w:r>
        <w:rPr>
          <w:rFonts w:ascii="Calibri" w:hAnsi="Calibri"/>
          <w:b w:val="0"/>
          <w:color w:val="52636B"/>
          <w:sz w:val="22"/>
        </w:rPr>
        <w:t>Checks that open an alert</w:t>
      </w:r>
    </w:p>
    <w:p>
      <w:pPr>
        <w:spacing w:before="120" w:after="20" w:line="259" w:lineRule="auto"/>
      </w:pPr>
      <w:r>
        <w:rPr>
          <w:rFonts w:ascii="Calibri" w:hAnsi="Calibri"/>
          <w:b/>
          <w:color w:val="143228"/>
          <w:sz w:val="24"/>
        </w:rPr>
        <w:t>Technical architecture</w:t>
      </w:r>
    </w:p>
    <w:p>
      <w:pPr>
        <w:spacing w:before="20" w:after="20" w:line="259" w:lineRule="auto"/>
        <w:ind w:left="320"/>
      </w:pPr>
      <w:r>
        <w:rPr>
          <w:rFonts w:ascii="Calibri" w:hAnsi="Calibri"/>
          <w:b w:val="0"/>
          <w:color w:val="52636B"/>
          <w:sz w:val="22"/>
        </w:rPr>
        <w:t>Stack</w:t>
      </w:r>
    </w:p>
    <w:p>
      <w:pPr>
        <w:spacing w:before="20" w:after="20" w:line="259" w:lineRule="auto"/>
        <w:ind w:left="320"/>
      </w:pPr>
      <w:r>
        <w:rPr>
          <w:rFonts w:ascii="Calibri" w:hAnsi="Calibri"/>
          <w:b w:val="0"/>
          <w:color w:val="52636B"/>
          <w:sz w:val="22"/>
        </w:rPr>
        <w:t>Write path</w:t>
      </w:r>
    </w:p>
    <w:p>
      <w:pPr>
        <w:spacing w:before="20" w:after="20" w:line="259" w:lineRule="auto"/>
        <w:ind w:left="320"/>
      </w:pPr>
      <w:r>
        <w:rPr>
          <w:rFonts w:ascii="Calibri" w:hAnsi="Calibri"/>
          <w:b w:val="0"/>
          <w:color w:val="52636B"/>
          <w:sz w:val="22"/>
        </w:rPr>
        <w:t>Read path</w:t>
      </w:r>
    </w:p>
    <w:p>
      <w:pPr>
        <w:spacing w:before="20" w:after="20" w:line="259" w:lineRule="auto"/>
        <w:ind w:left="320"/>
      </w:pPr>
      <w:r>
        <w:rPr>
          <w:rFonts w:ascii="Calibri" w:hAnsi="Calibri"/>
          <w:b w:val="0"/>
          <w:color w:val="52636B"/>
          <w:sz w:val="22"/>
        </w:rPr>
        <w:t>Database rules</w:t>
      </w:r>
    </w:p>
    <w:p>
      <w:pPr>
        <w:spacing w:before="20" w:after="20" w:line="259" w:lineRule="auto"/>
        <w:ind w:left="320"/>
      </w:pPr>
      <w:r>
        <w:rPr>
          <w:rFonts w:ascii="Calibri" w:hAnsi="Calibri"/>
          <w:b w:val="0"/>
          <w:color w:val="52636B"/>
          <w:sz w:val="22"/>
        </w:rPr>
        <w:t>Authorization</w:t>
      </w:r>
    </w:p>
    <w:p>
      <w:pPr>
        <w:spacing w:before="120" w:after="20" w:line="259" w:lineRule="auto"/>
      </w:pPr>
      <w:r>
        <w:rPr>
          <w:rFonts w:ascii="Calibri" w:hAnsi="Calibri"/>
          <w:b/>
          <w:color w:val="143228"/>
          <w:sz w:val="24"/>
        </w:rPr>
        <w:t>MVP roadmap</w:t>
      </w:r>
    </w:p>
    <w:p>
      <w:pPr>
        <w:spacing w:before="20" w:after="20" w:line="259" w:lineRule="auto"/>
        <w:ind w:left="320"/>
      </w:pPr>
      <w:r>
        <w:rPr>
          <w:rFonts w:ascii="Calibri" w:hAnsi="Calibri"/>
          <w:b w:val="0"/>
          <w:color w:val="52636B"/>
          <w:sz w:val="22"/>
        </w:rPr>
        <w:t>Phase 1 — Parcel and harvest</w:t>
      </w:r>
    </w:p>
    <w:p>
      <w:pPr>
        <w:spacing w:before="20" w:after="20" w:line="259" w:lineRule="auto"/>
        <w:ind w:left="320"/>
      </w:pPr>
      <w:r>
        <w:rPr>
          <w:rFonts w:ascii="Calibri" w:hAnsi="Calibri"/>
          <w:b w:val="0"/>
          <w:color w:val="52636B"/>
          <w:sz w:val="22"/>
        </w:rPr>
        <w:t>Phase 2 — Named merges</w:t>
      </w:r>
    </w:p>
    <w:p>
      <w:pPr>
        <w:spacing w:before="20" w:after="20" w:line="259" w:lineRule="auto"/>
        <w:ind w:left="320"/>
      </w:pPr>
      <w:r>
        <w:rPr>
          <w:rFonts w:ascii="Calibri" w:hAnsi="Calibri"/>
          <w:b w:val="0"/>
          <w:color w:val="52636B"/>
          <w:sz w:val="22"/>
        </w:rPr>
        <w:t>Phase 3 — Load and process</w:t>
      </w:r>
    </w:p>
    <w:p>
      <w:pPr>
        <w:spacing w:before="20" w:after="20" w:line="259" w:lineRule="auto"/>
        <w:ind w:left="320"/>
      </w:pPr>
      <w:r>
        <w:rPr>
          <w:rFonts w:ascii="Calibri" w:hAnsi="Calibri"/>
          <w:b w:val="0"/>
          <w:color w:val="52636B"/>
          <w:sz w:val="22"/>
        </w:rPr>
        <w:t>Phase 4 — Claim</w:t>
      </w:r>
    </w:p>
    <w:p>
      <w:pPr>
        <w:spacing w:before="20" w:after="20" w:line="259" w:lineRule="auto"/>
        <w:ind w:left="320"/>
      </w:pPr>
      <w:r>
        <w:rPr>
          <w:rFonts w:ascii="Calibri" w:hAnsi="Calibri"/>
          <w:b w:val="0"/>
          <w:color w:val="52636B"/>
          <w:sz w:val="22"/>
        </w:rPr>
        <w:t>Phase 5 — Authority and audit</w:t>
      </w:r>
    </w:p>
    <w:p>
      <w:pPr>
        <w:spacing w:before="20" w:after="20" w:line="259" w:lineRule="auto"/>
        <w:ind w:left="320"/>
      </w:pPr>
      <w:r>
        <w:rPr>
          <w:rFonts w:ascii="Calibri" w:hAnsi="Calibri"/>
          <w:b w:val="0"/>
          <w:color w:val="52636B"/>
          <w:sz w:val="22"/>
        </w:rPr>
        <w:t>After the MVP</w:t>
      </w:r>
    </w:p>
    <w:p>
      <w:pPr>
        <w:spacing w:before="120" w:after="20" w:line="259" w:lineRule="auto"/>
      </w:pPr>
      <w:r>
        <w:rPr>
          <w:rFonts w:ascii="Calibri" w:hAnsi="Calibri"/>
          <w:b/>
          <w:color w:val="143228"/>
          <w:sz w:val="24"/>
        </w:rPr>
        <w:t>Out of scope</w:t>
      </w:r>
    </w:p>
    <w:p>
      <w:pPr>
        <w:spacing w:before="120" w:after="20" w:line="259" w:lineRule="auto"/>
      </w:pPr>
      <w:r>
        <w:rPr>
          <w:rFonts w:ascii="Calibri" w:hAnsi="Calibri"/>
          <w:b/>
          <w:color w:val="143228"/>
          <w:sz w:val="24"/>
        </w:rPr>
        <w:t>How this stays honest</w:t>
      </w:r>
    </w:p>
    <w:p>
      <w:pPr>
        <w:spacing w:before="0" w:after="0" w:line="259" w:lineRule="auto"/>
      </w:pPr>
      <w:r>
        <w:br w:type="page"/>
      </w:r>
    </w:p>
    <w:p>
      <w:pPr>
        <w:pStyle w:val="FirstParagraph"/>
      </w:pPr>
      <w:r>
        <w:t xml:space="preserve">This is the build document for the first version of agriChain. Product rules stay in the system design and the design laws. This document says how the first corridor is built, on what, and in what order.</w:t>
      </w:r>
    </w:p>
    <w:p>
      <w:pPr>
        <w:pStyle w:val="BodyText"/>
      </w:pPr>
      <w:r>
        <w:t xml:space="preserve">The MVP is one cashew corridor with a small set of organizations who accept a single operator’s database, provided every handoff is signed and hash-chained. A shared ledger is a later move, made when a second operator will not accept that database.</w:t>
      </w:r>
    </w:p>
    <w:bookmarkStart w:id="9" w:name="decisions-locked-for-the-mvp"/>
    <w:p>
      <w:pPr>
        <w:pStyle w:val="Heading1"/>
      </w:pPr>
      <w:r>
        <w:t xml:space="preserve">Decisions locked for the MVP</w:t>
      </w:r>
    </w:p>
    <w:tbl>
      <w:tblPr>
        <w:tblStyle w:val="Table"/>
        <w:tblW w:type="pct" w:w="5000"/>
        <w:tblLayout w:type="fixed"/>
        <w:tblLook w:firstRow="1" w:lastRow="0" w:firstColumn="0" w:lastColumn="0" w:noHBand="0" w:noVBand="0" w:val="0020"/>
      </w:tblPr>
      <w:tblGrid>
        <w:gridCol w:w="3960"/>
        <w:gridCol w:w="396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Decision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Choice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Who may disagree with the database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Coop, plant, buyer, and origin authority accept one operator. Each event is signed by the organization that witnessed it. Any of them can recompute the hash chain.</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Who writes a harvest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A coop clerk, in a web app, naming the grower and the parcel. Growers are records. They do not need an account in the MVP.</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What a stranger sees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 public claim page: commodity, biological origin country, process countries, claim status. Exact weight, coordinates, and document hashes stay behind a role.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Where private data lives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The same Postgres database. Narrow views are API projections and database privileges, not a second store.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What “ledger” means here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An append-only event log. No token, no public chain, no permissioned chain in the MVP.</w:t>
            </w:r>
          </w:p>
        </w:tc>
      </w:tr>
    </w:tbl>
    <w:p>
      <w:pPr>
        <w:pStyle w:val="BodyText"/>
      </w:pPr>
      <w:r>
        <w:t xml:space="preserve">Offline capture at the farm gate is not in the MVP. Add it only if the pilot coop cannot record the harvest at a connected buying point.</w:t>
      </w:r>
    </w:p>
    <w:bookmarkEnd w:id="9"/>
    <w:bookmarkStart w:id="13" w:name="solution-blueprint"/>
    <w:p>
      <w:pPr>
        <w:pStyle w:val="Heading1"/>
      </w:pPr>
      <w:r>
        <w:t xml:space="preserve">Solution blueprint</w:t>
      </w:r>
    </w:p>
    <w:p>
      <w:pPr>
        <w:pStyle w:val="FirstParagraph"/>
      </w:pPr>
      <w:r>
        <w:t xml:space="preserve">agriChain keeps a lot of cashew honest from a parcel in Côte d’Ivoire to a European buyer. It answers three questions: what this is, where it grew, and which country kept the value of each step.</w:t>
      </w:r>
    </w:p>
    <w:bookmarkStart w:id="10" w:name="people-in-the-pilot"/>
    <w:p>
      <w:pPr>
        <w:pStyle w:val="Heading2"/>
      </w:pPr>
      <w:r>
        <w:t xml:space="preserve">People in the pilot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Who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Account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What they write or read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Grower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None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Named on a harvest. No login.</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Coop clerk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Registers parcels, writes harvests, merges lots, records the load that leaves the country.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Plant clerk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Receives a lot, records processing, loss, and outputs.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Buyer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Reads the claim, the last inspection, and a quantity band.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Origin authority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Reads volumes leaving Côte d’Ivoire and where processing happened.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Auditor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Yes, granted by the operator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Opens the full path when an alert exists.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Public</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None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Opens a claim page from a code on the bag.</w:t>
            </w:r>
          </w:p>
        </w:tc>
      </w:tr>
    </w:tbl>
    <w:p>
      <w:pPr>
        <w:pStyle w:val="BodyText"/>
      </w:pPr>
      <w:r>
        <w:t xml:space="preserve">A broker is an organization that can enroll and sign events it witnessed. The MVP does not need one on the first path. The data model still has a place for that organization, because the middle of the chain is where the record has to exist.</w:t>
      </w:r>
    </w:p>
    <w:bookmarkEnd w:id="10"/>
    <w:bookmarkStart w:id="11" w:name="path-of-a-lot"/>
    <w:p>
      <w:pPr>
        <w:pStyle w:val="Heading2"/>
      </w:pPr>
      <w:r>
        <w:t xml:space="preserve">Path of a lot</w:t>
      </w:r>
    </w:p>
    <w:p>
      <w:pPr>
        <w:pStyle w:val="SourceCode"/>
        <w:shd w:val="clear" w:color="auto" w:fill="F4F7F5"/>
        <w:spacing w:before="120" w:after="200" w:line="252" w:lineRule="auto"/>
      </w:pPr>
      <w:r>
        <w:rPr>
          <w:rFonts w:ascii="Consolas" w:hAnsi="Consolas"/>
          <w:b w:val="0"/>
          <w:color w:val="1F2937"/>
          <w:sz w:val="18"/>
        </w:rPr>
        <w:t>Parcel in Côte d'Ivoire</w:t>
        <w:br/>
      </w:r>
      <w:r>
        <w:rPr>
          <w:rFonts w:ascii="Consolas" w:hAnsi="Consolas"/>
          <w:b w:val="0"/>
          <w:color w:val="1F2937"/>
          <w:sz w:val="18"/>
        </w:rPr>
        <w:t xml:space="preserve">  → harvest, signed by the coop</w:t>
        <w:br/>
      </w:r>
      <w:r>
        <w:rPr>
          <w:rFonts w:ascii="Consolas" w:hAnsi="Consolas"/>
          <w:b w:val="0"/>
          <w:color w:val="1F2937"/>
          <w:sz w:val="18"/>
        </w:rPr>
        <w:t xml:space="preserve">  → merge of many harvests into one intake lot</w:t>
        <w:br/>
      </w:r>
      <w:r>
        <w:rPr>
          <w:rFonts w:ascii="Consolas" w:hAnsi="Consolas"/>
          <w:b w:val="0"/>
          <w:color w:val="1F2937"/>
          <w:sz w:val="18"/>
        </w:rPr>
        <w:t xml:space="preserve">  → load leaving the country</w:t>
        <w:br/>
      </w:r>
      <w:r>
        <w:rPr>
          <w:rFonts w:ascii="Consolas" w:hAnsi="Consolas"/>
          <w:b w:val="0"/>
          <w:color w:val="1F2937"/>
          <w:sz w:val="18"/>
        </w:rPr>
        <w:t xml:space="preserve">  → process at a plant in another country</w:t>
        <w:br/>
      </w:r>
      <w:r>
        <w:rPr>
          <w:rFonts w:ascii="Consolas" w:hAnsi="Consolas"/>
          <w:b w:val="0"/>
          <w:color w:val="1F2937"/>
          <w:sz w:val="18"/>
        </w:rPr>
        <w:t xml:space="preserve">  → claim a buyer and the public can read</w:t>
      </w:r>
    </w:p>
    <w:p>
      <w:pPr>
        <w:pStyle w:val="FirstParagraph"/>
      </w:pPr>
      <w:r>
        <w:t xml:space="preserve">Biological origin is Côte d’Ivoire from the harvest onward. The plant’s country is added as the place that processed the lot. The claim shows both. Processing never replaces origin.</w:t>
      </w:r>
    </w:p>
    <w:bookmarkEnd w:id="11"/>
    <w:bookmarkStart w:id="12" w:name="what-the-pilot-has-to-prove"/>
    <w:p>
      <w:pPr>
        <w:pStyle w:val="Heading2"/>
      </w:pPr>
      <w:r>
        <w:t xml:space="preserve">What the pilot has to prove</w:t>
      </w:r>
    </w:p>
    <w:p>
      <w:pPr>
        <w:pStyle w:val="Compact"/>
        <w:numPr>
          <w:ilvl w:val="0"/>
          <w:numId w:val="1001"/>
        </w:numPr>
      </w:pPr>
      <w:r>
        <w:t xml:space="preserve">A harvest names a parcel, a season, a grower, and a weight.</w:t>
      </w:r>
    </w:p>
    <w:p>
      <w:pPr>
        <w:pStyle w:val="Compact"/>
        <w:numPr>
          <w:ilvl w:val="0"/>
          <w:numId w:val="1001"/>
        </w:numPr>
      </w:pPr>
      <w:r>
        <w:t xml:space="preserve">Several harvests become one lot, and every input stays attached.</w:t>
      </w:r>
    </w:p>
    <w:p>
      <w:pPr>
        <w:pStyle w:val="Compact"/>
        <w:numPr>
          <w:ilvl w:val="0"/>
          <w:numId w:val="1001"/>
        </w:numPr>
      </w:pPr>
      <w:r>
        <w:t xml:space="preserve">The plant cannot ship more kernel than the raw nuts support. Loss is declared. Shells are either an output or part of that loss.</w:t>
      </w:r>
    </w:p>
    <w:p>
      <w:pPr>
        <w:pStyle w:val="Compact"/>
        <w:numPr>
          <w:ilvl w:val="0"/>
          <w:numId w:val="1001"/>
        </w:numPr>
      </w:pPr>
      <w:r>
        <w:t xml:space="preserve">The public claim says the nuts grew in Côte d’Ivoire even when they were cracked somewhere else.</w:t>
      </w:r>
    </w:p>
    <w:p>
      <w:pPr>
        <w:pStyle w:val="Compact"/>
        <w:numPr>
          <w:ilvl w:val="0"/>
          <w:numId w:val="1001"/>
        </w:numPr>
      </w:pPr>
      <w:r>
        <w:t xml:space="preserve">An over-yield, a broken mass balance, or a relabel that moves the date opens an alert and still keeps the event.</w:t>
      </w:r>
    </w:p>
    <w:p>
      <w:pPr>
        <w:pStyle w:val="Compact"/>
        <w:numPr>
          <w:ilvl w:val="0"/>
          <w:numId w:val="1001"/>
        </w:numPr>
      </w:pPr>
      <w:r>
        <w:t xml:space="preserve">The origin authority can see whether the cracking happened at home or abroad.</w:t>
      </w:r>
    </w:p>
    <w:p>
      <w:pPr>
        <w:pStyle w:val="FirstParagraph"/>
      </w:pPr>
      <w:r>
        <w:t xml:space="preserve">Settlement, payments, and an investigation graph are not part of this proof.</w:t>
      </w:r>
    </w:p>
    <w:bookmarkEnd w:id="12"/>
    <w:bookmarkEnd w:id="13"/>
    <w:bookmarkStart w:id="19" w:name="domain-model"/>
    <w:p>
      <w:pPr>
        <w:pStyle w:val="Heading1"/>
      </w:pPr>
      <w:r>
        <w:t xml:space="preserve">Domain model</w:t>
      </w:r>
    </w:p>
    <w:p>
      <w:pPr>
        <w:pStyle w:val="FirstParagraph"/>
      </w:pPr>
      <w:r>
        <w:t xml:space="preserve">Quantities are integers in grams. There are no floating-point weights.</w:t>
      </w:r>
    </w:p>
    <w:bookmarkStart w:id="14" w:name="records"/>
    <w:p>
      <w:pPr>
        <w:pStyle w:val="Heading2"/>
      </w:pPr>
      <w:r>
        <w:t xml:space="preserve">Records</w:t>
      </w:r>
    </w:p>
    <w:p>
      <w:pPr>
        <w:pStyle w:val="FirstParagraph"/>
      </w:pPr>
      <w:r>
        <w:t xml:space="preserve">The six records in the system design map to tables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Record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Table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Notes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Actor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actors</w:t>
            </w:r>
            <w:r>
              <w:rPr>
                <w:rFonts w:ascii="Calibri" w:hAnsi="Calibri"/>
                <w:b w:val="0"/>
                <w:color w:val="1F2937"/>
                <w:sz w:val="20"/>
              </w:rPr>
              <w:t xml:space="preserve">,</w:t>
            </w:r>
            <w:r>
              <w:rPr>
                <w:rFonts w:ascii="Calibri" w:hAnsi="Calibri"/>
                <w:b w:val="0"/>
                <w:color w:val="1F2937"/>
                <w:sz w:val="20"/>
              </w:rPr>
              <w:t xml:space="preserve"> </w:t>
            </w:r>
            <w:r>
              <w:rPr>
                <w:rStyle w:val="VerbatimChar"/>
                <w:rFonts w:ascii="Calibri" w:hAnsi="Calibri"/>
                <w:b w:val="0"/>
                <w:color w:val="1F2937"/>
                <w:sz w:val="20"/>
              </w:rPr>
              <w:t xml:space="preserve">memberships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 person or an organization. A clerk belongs to one organization.</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Place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places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Parcel, plant, port, or vessel. A parcel holds a season yield ceiling in grams.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Lot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One commodity.</w:t>
            </w:r>
            <w:r>
              <w:rPr>
                <w:rFonts w:ascii="Calibri" w:hAnsi="Calibri"/>
                <w:b w:val="0"/>
                <w:color w:val="1F2937"/>
                <w:sz w:val="20"/>
              </w:rPr>
              <w:t xml:space="preserve"> </w:t>
            </w:r>
            <w:r>
              <w:rPr>
                <w:rStyle w:val="VerbatimChar"/>
                <w:rFonts w:ascii="Calibri" w:hAnsi="Calibri"/>
                <w:b w:val="0"/>
                <w:color w:val="1F2937"/>
                <w:sz w:val="20"/>
              </w:rPr>
              <w:t xml:space="preserve">biological_origin_country</w:t>
            </w:r>
            <w:r>
              <w:rPr>
                <w:rFonts w:ascii="Calibri" w:hAnsi="Calibri"/>
                <w:b w:val="0"/>
                <w:color w:val="1F2937"/>
                <w:sz w:val="20"/>
              </w:rPr>
              <w:t xml:space="preserve"> </w:t>
            </w:r>
            <w:r>
              <w:rPr>
                <w:rFonts w:ascii="Calibri" w:hAnsi="Calibri"/>
                <w:b w:val="0"/>
                <w:color w:val="1F2937"/>
                <w:sz w:val="20"/>
              </w:rPr>
              <w:t xml:space="preserve">is insert-only.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Event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events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Append-only. The lot stores</w:t>
            </w:r>
            <w:r>
              <w:rPr>
                <w:rFonts w:ascii="Calibri" w:hAnsi="Calibri"/>
                <w:b w:val="0"/>
                <w:color w:val="1F2937"/>
                <w:sz w:val="20"/>
              </w:rPr>
              <w:t xml:space="preserve"> </w:t>
            </w:r>
            <w:r>
              <w:rPr>
                <w:rStyle w:val="VerbatimChar"/>
                <w:rFonts w:ascii="Calibri" w:hAnsi="Calibri"/>
                <w:b w:val="0"/>
                <w:color w:val="1F2937"/>
                <w:sz w:val="20"/>
              </w:rPr>
              <w:t xml:space="preserve">head_event_id</w:t>
            </w:r>
            <w:r>
              <w:rPr>
                <w:rFonts w:ascii="Calibri" w:hAnsi="Calibri"/>
                <w:b w:val="0"/>
                <w:color w:val="1F2937"/>
                <w:sz w:val="20"/>
              </w:rPr>
              <w:t xml:space="preserv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Claim</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claims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Rebuilt in the same transaction as the event that changed it.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Alert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alerts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Opened by a check. Never deletes the event.</w:t>
            </w:r>
          </w:p>
        </w:tc>
      </w:tr>
    </w:tbl>
    <w:p>
      <w:pPr>
        <w:pStyle w:val="BodyText"/>
      </w:pPr>
      <w:r>
        <w:t xml:space="preserve">Growers and parcels can exist before any login. A parcel stores country, area, commodity, season, and a manual yield ceiling. For the MVP that ceiling is entered by the coop from a published figure for the area. It is the number the harvest is judged against.</w:t>
      </w:r>
    </w:p>
    <w:bookmarkEnd w:id="14"/>
    <w:bookmarkStart w:id="15" w:name="event-types-in-the-mvp"/>
    <w:p>
      <w:pPr>
        <w:pStyle w:val="Heading2"/>
      </w:pPr>
      <w:r>
        <w:t xml:space="preserve">Event types in the MVP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Type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Who signs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What it does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harvest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Coop</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Creates a lot. Sets biological origin. Names parcel, grower, season, weight.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merge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Current custodian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Creates an output lot. Consumes each input lot. Output weight equals the sum of inputs.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consume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Same signer, same transaction as</w:t>
            </w:r>
            <w:r>
              <w:rPr>
                <w:rFonts w:ascii="Calibri" w:hAnsi="Calibri"/>
                <w:b w:val="0"/>
                <w:color w:val="1F2937"/>
                <w:sz w:val="20"/>
              </w:rPr>
              <w:t xml:space="preserve"> </w:t>
            </w:r>
            <w:r>
              <w:rPr>
                <w:rStyle w:val="VerbatimChar"/>
                <w:rFonts w:ascii="Calibri" w:hAnsi="Calibri"/>
                <w:b w:val="0"/>
                <w:color w:val="1F2937"/>
                <w:sz w:val="20"/>
              </w:rPr>
              <w:t xml:space="preserve">merge</w:t>
            </w:r>
            <w:r>
              <w:rPr>
                <w:rFonts w:ascii="Calibri" w:hAnsi="Calibri"/>
                <w:b w:val="0"/>
                <w:color w:val="1F2937"/>
                <w:sz w:val="20"/>
              </w:rPr>
              <w:t xml:space="preserve"> </w:t>
            </w:r>
            <w:r>
              <w:rPr>
                <w:rFonts w:ascii="Calibri" w:hAnsi="Calibri"/>
                <w:b w:val="0"/>
                <w:color w:val="1F2937"/>
                <w:sz w:val="20"/>
              </w:rPr>
              <w:t xml:space="preserve">or</w:t>
            </w:r>
            <w:r>
              <w:rPr>
                <w:rFonts w:ascii="Calibri" w:hAnsi="Calibri"/>
                <w:b w:val="0"/>
                <w:color w:val="1F2937"/>
                <w:sz w:val="20"/>
              </w:rPr>
              <w:t xml:space="preserve"> </w:t>
            </w:r>
            <w:r>
              <w:rPr>
                <w:rStyle w:val="VerbatimChar"/>
                <w:rFonts w:ascii="Calibri" w:hAnsi="Calibri"/>
                <w:b w:val="0"/>
                <w:color w:val="1F2937"/>
                <w:sz w:val="20"/>
              </w:rPr>
              <w:t xml:space="preserve">process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Closes an input lot and points at the output.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load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Custodian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Records carrier, origin port, destination port, and the country the lot is leaving.</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process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Plant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Consumes the input lot. Creates output lots. Declares additives and loss. Records the process country.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inspect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Lab or plant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Stores a pass or fail and the hash of the report. Does not store the file.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relabel</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Custodian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Proposes a new label, code, or expiry. The claim keeps the packing expiry.</w:t>
            </w:r>
          </w:p>
        </w:tc>
      </w:tr>
    </w:tbl>
    <w:p>
      <w:pPr>
        <w:pStyle w:val="BodyText"/>
      </w:pPr>
      <w:r>
        <w:rPr>
          <w:rStyle w:val="VerbatimChar"/>
        </w:rPr>
        <w:t xml:space="preserve">split</w:t>
      </w:r>
      <w:r>
        <w:t xml:space="preserve">, vessel</w:t>
      </w:r>
      <w:r>
        <w:t xml:space="preserve"> </w:t>
      </w:r>
      <w:r>
        <w:rPr>
          <w:rStyle w:val="VerbatimChar"/>
        </w:rPr>
        <w:t xml:space="preserve">call</w:t>
      </w:r>
      <w:r>
        <w:t xml:space="preserve">, and</w:t>
      </w:r>
      <w:r>
        <w:t xml:space="preserve"> </w:t>
      </w:r>
      <w:r>
        <w:rPr>
          <w:rStyle w:val="VerbatimChar"/>
        </w:rPr>
        <w:t xml:space="preserve">release</w:t>
      </w:r>
      <w:r>
        <w:t xml:space="preserve"> </w:t>
      </w:r>
      <w:r>
        <w:t xml:space="preserve">exist as names in the product model. They are not required to finish the cashew MVP. A voyage with an extra port is the first event type added when a real shipment needs it.</w:t>
      </w:r>
    </w:p>
    <w:bookmarkEnd w:id="15"/>
    <w:bookmarkStart w:id="16" w:name="canonical-event"/>
    <w:p>
      <w:pPr>
        <w:pStyle w:val="Heading2"/>
      </w:pPr>
      <w:r>
        <w:t xml:space="preserve">Canonical event</w:t>
      </w:r>
    </w:p>
    <w:p>
      <w:pPr>
        <w:pStyle w:val="FirstParagraph"/>
      </w:pPr>
      <w:r>
        <w:t xml:space="preserve">Every event is a JSON object with a fixed field order, signed as UTF-8 bytes:</w:t>
      </w:r>
    </w:p>
    <w:p>
      <w:pPr>
        <w:pStyle w:val="SourceCode"/>
        <w:shd w:val="clear" w:color="auto" w:fill="F4F7F5"/>
        <w:spacing w:before="120" w:after="200" w:line="252" w:lineRule="auto"/>
      </w:pPr>
      <w:r>
        <w:rPr>
          <w:rFonts w:ascii="Consolas" w:hAnsi="Consolas"/>
          <w:b w:val="0"/>
          <w:color w:val="1F2937"/>
          <w:sz w:val="18"/>
        </w:rPr>
        <w:t>{</w:t>
        <w:br/>
      </w:r>
      <w:r>
        <w:rPr>
          <w:rFonts w:ascii="Consolas" w:hAnsi="Consolas"/>
          <w:b w:val="0"/>
          <w:color w:val="1F2937"/>
          <w:sz w:val="18"/>
        </w:rPr>
        <w:t xml:space="preserve">  "id": "uuid",</w:t>
        <w:br/>
      </w:r>
      <w:r>
        <w:rPr>
          <w:rFonts w:ascii="Consolas" w:hAnsi="Consolas"/>
          <w:b w:val="0"/>
          <w:color w:val="1F2937"/>
          <w:sz w:val="18"/>
        </w:rPr>
        <w:t xml:space="preserve">  "lot_id": "uuid",</w:t>
        <w:br/>
      </w:r>
      <w:r>
        <w:rPr>
          <w:rFonts w:ascii="Consolas" w:hAnsi="Consolas"/>
          <w:b w:val="0"/>
          <w:color w:val="1F2937"/>
          <w:sz w:val="18"/>
        </w:rPr>
        <w:t xml:space="preserve">  "type": "harvest",</w:t>
        <w:br/>
      </w:r>
      <w:r>
        <w:rPr>
          <w:rFonts w:ascii="Consolas" w:hAnsi="Consolas"/>
          <w:b w:val="0"/>
          <w:color w:val="1F2937"/>
          <w:sz w:val="18"/>
        </w:rPr>
        <w:t xml:space="preserve">  "prev_hash": "hex or null for the first event",</w:t>
        <w:br/>
      </w:r>
      <w:r>
        <w:rPr>
          <w:rFonts w:ascii="Consolas" w:hAnsi="Consolas"/>
          <w:b w:val="0"/>
          <w:color w:val="1F2937"/>
          <w:sz w:val="18"/>
        </w:rPr>
        <w:t xml:space="preserve">  "actor_id": "uuid of the signing organization",</w:t>
        <w:br/>
      </w:r>
      <w:r>
        <w:rPr>
          <w:rFonts w:ascii="Consolas" w:hAnsi="Consolas"/>
          <w:b w:val="0"/>
          <w:color w:val="1F2937"/>
          <w:sz w:val="18"/>
        </w:rPr>
        <w:t xml:space="preserve">  "payload": {}</w:t>
        <w:br/>
      </w:r>
      <w:r>
        <w:rPr>
          <w:rFonts w:ascii="Consolas" w:hAnsi="Consolas"/>
          <w:b w:val="0"/>
          <w:color w:val="1F2937"/>
          <w:sz w:val="18"/>
        </w:rPr>
        <w:t>}</w:t>
      </w:r>
    </w:p>
    <w:p>
      <w:pPr>
        <w:pStyle w:val="FirstParagraph"/>
      </w:pPr>
      <w:r>
        <w:rPr>
          <w:rStyle w:val="VerbatimChar"/>
        </w:rPr>
        <w:t xml:space="preserve">payload_hash</w:t>
      </w:r>
      <w:r>
        <w:t xml:space="preserve"> </w:t>
      </w:r>
      <w:r>
        <w:t xml:space="preserve">is SHA-256 of the canonical JSON. The organization signs</w:t>
      </w:r>
      <w:r>
        <w:t xml:space="preserve"> </w:t>
      </w:r>
      <w:r>
        <w:rPr>
          <w:rStyle w:val="VerbatimChar"/>
        </w:rPr>
        <w:t xml:space="preserve">payload_hash</w:t>
      </w:r>
      <w:r>
        <w:t xml:space="preserve"> </w:t>
      </w:r>
      <w:r>
        <w:t xml:space="preserve">with Ed25519. The lot’s chain links</w:t>
      </w:r>
      <w:r>
        <w:t xml:space="preserve"> </w:t>
      </w:r>
      <w:r>
        <w:rPr>
          <w:rStyle w:val="VerbatimChar"/>
        </w:rPr>
        <w:t xml:space="preserve">prev_hash</w:t>
      </w:r>
      <w:r>
        <w:t xml:space="preserve"> </w:t>
      </w:r>
      <w:r>
        <w:t xml:space="preserve">to the previous event’s</w:t>
      </w:r>
      <w:r>
        <w:t xml:space="preserve"> </w:t>
      </w:r>
      <w:r>
        <w:rPr>
          <w:rStyle w:val="VerbatimChar"/>
        </w:rPr>
        <w:t xml:space="preserve">payload_hash</w:t>
      </w:r>
      <w:r>
        <w:t xml:space="preserve">. The first event on a lot uses</w:t>
      </w:r>
      <w:r>
        <w:t xml:space="preserve"> </w:t>
      </w:r>
      <w:r>
        <w:rPr>
          <w:rStyle w:val="VerbatimChar"/>
        </w:rPr>
        <w:t xml:space="preserve">prev_hash: null</w:t>
      </w:r>
      <w:r>
        <w:t xml:space="preserve">, and only one such event is allowed.</w:t>
      </w:r>
    </w:p>
    <w:p>
      <w:pPr>
        <w:pStyle w:val="BodyText"/>
      </w:pPr>
      <w:r>
        <w:t xml:space="preserve">The server rejects a body whose signature does not match the organization’s registered public key, whose</w:t>
      </w:r>
      <w:r>
        <w:t xml:space="preserve"> </w:t>
      </w:r>
      <w:r>
        <w:rPr>
          <w:rStyle w:val="VerbatimChar"/>
        </w:rPr>
        <w:t xml:space="preserve">prev_hash</w:t>
      </w:r>
      <w:r>
        <w:t xml:space="preserve"> </w:t>
      </w:r>
      <w:r>
        <w:t xml:space="preserve">is not the current head, or whose</w:t>
      </w:r>
      <w:r>
        <w:t xml:space="preserve"> </w:t>
      </w:r>
      <w:r>
        <w:rPr>
          <w:rStyle w:val="VerbatimChar"/>
        </w:rPr>
        <w:t xml:space="preserve">id</w:t>
      </w:r>
      <w:r>
        <w:t xml:space="preserve"> </w:t>
      </w:r>
      <w:r>
        <w:t xml:space="preserve">has already been stored. A retry of the same</w:t>
      </w:r>
      <w:r>
        <w:t xml:space="preserve"> </w:t>
      </w:r>
      <w:r>
        <w:rPr>
          <w:rStyle w:val="VerbatimChar"/>
        </w:rPr>
        <w:t xml:space="preserve">id</w:t>
      </w:r>
      <w:r>
        <w:t xml:space="preserve"> </w:t>
      </w:r>
      <w:r>
        <w:t xml:space="preserve">returns the stored event.</w:t>
      </w:r>
    </w:p>
    <w:bookmarkEnd w:id="16"/>
    <w:bookmarkStart w:id="17" w:name="claims-and-bands"/>
    <w:p>
      <w:pPr>
        <w:pStyle w:val="Heading2"/>
      </w:pPr>
      <w:r>
        <w:t xml:space="preserve">Claims and bands</w:t>
      </w:r>
    </w:p>
    <w:p>
      <w:pPr>
        <w:pStyle w:val="FirstParagraph"/>
      </w:pPr>
      <w:r>
        <w:t xml:space="preserve">A claim is derived. Users do not edit it.</w:t>
      </w:r>
    </w:p>
    <w:tbl>
      <w:tblPr>
        <w:tblStyle w:val="Table"/>
        <w:tblW w:type="pct" w:w="5000"/>
        <w:tblLayout w:type="fixed"/>
        <w:tblLook w:firstRow="1" w:lastRow="0" w:firstColumn="0" w:lastColumn="0" w:noHBand="0" w:noVBand="0" w:val="0020"/>
      </w:tblPr>
      <w:tblGrid>
        <w:gridCol w:w="3960"/>
        <w:gridCol w:w="396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Field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Rule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Commodity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Copied from the harvest.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Biological origin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Copied from the harvest. No later event writes this field.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Process countries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Appended by each</w:t>
            </w:r>
            <w:r>
              <w:rPr>
                <w:rFonts w:ascii="Calibri" w:hAnsi="Calibri"/>
                <w:b w:val="0"/>
                <w:color w:val="1F2937"/>
                <w:sz w:val="20"/>
              </w:rPr>
              <w:t xml:space="preserve"> </w:t>
            </w:r>
            <w:r>
              <w:rPr>
                <w:rStyle w:val="VerbatimChar"/>
                <w:rFonts w:ascii="Calibri" w:hAnsi="Calibri"/>
                <w:b w:val="0"/>
                <w:color w:val="1F2937"/>
                <w:sz w:val="20"/>
              </w:rPr>
              <w:t xml:space="preserve">process</w:t>
            </w:r>
            <w:r>
              <w:rPr>
                <w:rFonts w:ascii="Calibri" w:hAnsi="Calibri"/>
                <w:b w:val="0"/>
                <w:color w:val="1F2937"/>
                <w:sz w:val="20"/>
              </w:rPr>
              <w:t xml:space="preserve"> </w:t>
            </w:r>
            <w:r>
              <w:rPr>
                <w:rFonts w:ascii="Calibri" w:hAnsi="Calibri"/>
                <w:b w:val="0"/>
                <w:color w:val="1F2937"/>
                <w:sz w:val="20"/>
              </w:rPr>
              <w:t xml:space="preserve">event, in order.</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Status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clear</w:t>
            </w:r>
            <w:r>
              <w:rPr>
                <w:rFonts w:ascii="Calibri" w:hAnsi="Calibri"/>
                <w:b w:val="0"/>
                <w:color w:val="1F2937"/>
                <w:sz w:val="20"/>
              </w:rPr>
              <w:t xml:space="preserve"> </w:t>
            </w:r>
            <w:r>
              <w:rPr>
                <w:rFonts w:ascii="Calibri" w:hAnsi="Calibri"/>
                <w:b w:val="0"/>
                <w:color w:val="1F2937"/>
                <w:sz w:val="20"/>
              </w:rPr>
              <w:t xml:space="preserve">or</w:t>
            </w:r>
            <w:r>
              <w:rPr>
                <w:rFonts w:ascii="Calibri" w:hAnsi="Calibri"/>
                <w:b w:val="0"/>
                <w:color w:val="1F2937"/>
                <w:sz w:val="20"/>
              </w:rPr>
              <w:t xml:space="preserve"> </w:t>
            </w:r>
            <w:r>
              <w:rPr>
                <w:rStyle w:val="VerbatimChar"/>
                <w:rFonts w:ascii="Calibri" w:hAnsi="Calibri"/>
                <w:b w:val="0"/>
                <w:color w:val="1F2937"/>
                <w:sz w:val="20"/>
              </w:rPr>
              <w:t xml:space="preserve">alert</w:t>
            </w:r>
            <w:r>
              <w:rPr>
                <w:rFonts w:ascii="Calibri" w:hAnsi="Calibri"/>
                <w:b w:val="0"/>
                <w:color w:val="1F2937"/>
                <w:sz w:val="20"/>
              </w:rPr>
              <w:t xml:space="preserv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Packing expiry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Set when first known. A</w:t>
            </w:r>
            <w:r>
              <w:rPr>
                <w:rFonts w:ascii="Calibri" w:hAnsi="Calibri"/>
                <w:b w:val="0"/>
                <w:color w:val="1F2937"/>
                <w:sz w:val="20"/>
              </w:rPr>
              <w:t xml:space="preserve"> </w:t>
            </w:r>
            <w:r>
              <w:rPr>
                <w:rStyle w:val="VerbatimChar"/>
                <w:rFonts w:ascii="Calibri" w:hAnsi="Calibri"/>
                <w:b w:val="0"/>
                <w:color w:val="1F2937"/>
                <w:sz w:val="20"/>
              </w:rPr>
              <w:t xml:space="preserve">relabel</w:t>
            </w:r>
            <w:r>
              <w:rPr>
                <w:rFonts w:ascii="Calibri" w:hAnsi="Calibri"/>
                <w:b w:val="0"/>
                <w:color w:val="1F2937"/>
                <w:sz w:val="20"/>
              </w:rPr>
              <w:t xml:space="preserve"> </w:t>
            </w:r>
            <w:r>
              <w:rPr>
                <w:rFonts w:ascii="Calibri" w:hAnsi="Calibri"/>
                <w:b w:val="0"/>
                <w:color w:val="1F2937"/>
                <w:sz w:val="20"/>
              </w:rPr>
              <w:t xml:space="preserve">does not replace it.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Quantity band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A bucket, not the gram value: under 1 t, 1–5 t, 5–20 t, 20 t and over.</w:t>
            </w:r>
          </w:p>
        </w:tc>
      </w:tr>
    </w:tbl>
    <w:p>
      <w:pPr>
        <w:pStyle w:val="BodyText"/>
      </w:pPr>
      <w:r>
        <w:t xml:space="preserve">The buyer and the public page receive the band. The coop, the plant, and an opened audit receive grams.</w:t>
      </w:r>
    </w:p>
    <w:bookmarkEnd w:id="17"/>
    <w:bookmarkStart w:id="18" w:name="checks-that-open-an-alert"/>
    <w:p>
      <w:pPr>
        <w:pStyle w:val="Heading2"/>
      </w:pPr>
      <w:r>
        <w:t xml:space="preserve">Checks that open an alert</w:t>
      </w:r>
    </w:p>
    <w:p>
      <w:pPr>
        <w:pStyle w:val="FirstParagraph"/>
      </w:pPr>
      <w:r>
        <w:t xml:space="preserve">The event is still stored. The claim status becomes</w:t>
      </w:r>
      <w:r>
        <w:t xml:space="preserve"> </w:t>
      </w:r>
      <w:r>
        <w:rPr>
          <w:rStyle w:val="VerbatimChar"/>
        </w:rPr>
        <w:t xml:space="preserve">alert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Check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Rule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Yield ceiling</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Sum of harvests for that parcel and season is greater than the ceiling.</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Merge balance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Output grams differ from the sum of input grams.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Process balance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Outputs plus declared loss differ from the input. Additives are inputs.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Relabel</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The new expiry is later than the packing expiry, or the public code changes.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Origin write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Any attempt to update</w:t>
            </w:r>
            <w:r>
              <w:rPr>
                <w:rFonts w:ascii="Calibri" w:hAnsi="Calibri"/>
                <w:b w:val="0"/>
                <w:color w:val="1F2937"/>
                <w:sz w:val="20"/>
              </w:rPr>
              <w:t xml:space="preserve"> </w:t>
            </w:r>
            <w:r>
              <w:rPr>
                <w:rStyle w:val="VerbatimChar"/>
                <w:rFonts w:ascii="Calibri" w:hAnsi="Calibri"/>
                <w:b w:val="0"/>
                <w:color w:val="1F2937"/>
                <w:sz w:val="20"/>
              </w:rPr>
              <w:t xml:space="preserve">biological_origin_country</w:t>
            </w:r>
            <w:r>
              <w:rPr>
                <w:rFonts w:ascii="Calibri" w:hAnsi="Calibri"/>
                <w:b w:val="0"/>
                <w:color w:val="1F2937"/>
                <w:sz w:val="20"/>
              </w:rPr>
              <w:t xml:space="preserve"> </w:t>
            </w:r>
            <w:r>
              <w:rPr>
                <w:rFonts w:ascii="Calibri" w:hAnsi="Calibri"/>
                <w:b w:val="0"/>
                <w:color w:val="1F2937"/>
                <w:sz w:val="20"/>
              </w:rPr>
              <w:t xml:space="preserve">fails the transaction. This one does not become an alert, because the write does not land.</w:t>
            </w:r>
          </w:p>
        </w:tc>
      </w:tr>
    </w:tbl>
    <w:bookmarkEnd w:id="18"/>
    <w:bookmarkEnd w:id="19"/>
    <w:bookmarkStart w:id="25" w:name="technical-architecture"/>
    <w:p>
      <w:pPr>
        <w:pStyle w:val="Heading1"/>
        <w:pageBreakBefore/>
      </w:pPr>
      <w:r>
        <w:t xml:space="preserve">Technical architecture</w:t>
      </w:r>
    </w:p>
    <w:p>
      <w:pPr>
        <w:pStyle w:val="FirstParagraph"/>
      </w:pPr>
      <w:r>
        <w:t xml:space="preserve">One web service and one Postgres database. The browser signs. The API checks and stores. Views are queries.</w:t>
      </w:r>
    </w:p>
    <w:p>
      <w:pPr>
        <w:pStyle w:val="SourceCode"/>
        <w:shd w:val="clear" w:color="auto" w:fill="F4F7F5"/>
        <w:spacing w:before="120" w:after="200" w:line="252" w:lineRule="auto"/>
      </w:pPr>
      <w:r>
        <w:rPr>
          <w:rFonts w:ascii="Consolas" w:hAnsi="Consolas"/>
          <w:b w:val="0"/>
          <w:color w:val="1F2937"/>
          <w:sz w:val="18"/>
        </w:rPr>
        <w:t>Browser (coop, plant, buyer, authority, public claim)</w:t>
        <w:br/>
      </w:r>
      <w:r>
        <w:rPr>
          <w:rFonts w:ascii="Consolas" w:hAnsi="Consolas"/>
          <w:b w:val="0"/>
          <w:color w:val="1F2937"/>
          <w:sz w:val="18"/>
        </w:rPr>
        <w:t xml:space="preserve">        |  session cookie for staff</w:t>
        <w:br/>
      </w:r>
      <w:r>
        <w:rPr>
          <w:rFonts w:ascii="Consolas" w:hAnsi="Consolas"/>
          <w:b w:val="0"/>
          <w:color w:val="1F2937"/>
          <w:sz w:val="18"/>
        </w:rPr>
        <w:t xml:space="preserve">        |  Ed25519 signature on each event</w:t>
        <w:br/>
      </w:r>
      <w:r>
        <w:rPr>
          <w:rFonts w:ascii="Consolas" w:hAnsi="Consolas"/>
          <w:b w:val="0"/>
          <w:color w:val="1F2937"/>
          <w:sz w:val="18"/>
        </w:rPr>
        <w:t xml:space="preserve">        v</w:t>
        <w:br/>
      </w:r>
      <w:r>
        <w:rPr>
          <w:rFonts w:ascii="Consolas" w:hAnsi="Consolas"/>
          <w:b w:val="0"/>
          <w:color w:val="1F2937"/>
          <w:sz w:val="18"/>
        </w:rPr>
        <w:t>Next.js service</w:t>
        <w:br/>
      </w:r>
      <w:r>
        <w:rPr>
          <w:rFonts w:ascii="Consolas" w:hAnsi="Consolas"/>
          <w:b w:val="0"/>
          <w:color w:val="1F2937"/>
          <w:sz w:val="18"/>
        </w:rPr>
        <w:t xml:space="preserve">  UI routes</w:t>
        <w:br/>
      </w:r>
      <w:r>
        <w:rPr>
          <w:rFonts w:ascii="Consolas" w:hAnsi="Consolas"/>
          <w:b w:val="0"/>
          <w:color w:val="1F2937"/>
          <w:sz w:val="18"/>
        </w:rPr>
        <w:t xml:space="preserve">  HTTP API  /api/v1/...</w:t>
        <w:br/>
      </w:r>
      <w:r>
        <w:rPr>
          <w:rFonts w:ascii="Consolas" w:hAnsi="Consolas"/>
          <w:b w:val="0"/>
          <w:color w:val="1F2937"/>
          <w:sz w:val="18"/>
        </w:rPr>
        <w:t xml:space="preserve">        |</w:t>
        <w:br/>
      </w:r>
      <w:r>
        <w:rPr>
          <w:rFonts w:ascii="Consolas" w:hAnsi="Consolas"/>
          <w:b w:val="0"/>
          <w:color w:val="1F2937"/>
          <w:sz w:val="18"/>
        </w:rPr>
        <w:t xml:space="preserve">        v</w:t>
        <w:br/>
      </w:r>
      <w:r>
        <w:rPr>
          <w:rFonts w:ascii="Consolas" w:hAnsi="Consolas"/>
          <w:b w:val="0"/>
          <w:color w:val="1F2937"/>
          <w:sz w:val="18"/>
        </w:rPr>
        <w:t>Postgres</w:t>
        <w:br/>
      </w:r>
      <w:r>
        <w:rPr>
          <w:rFonts w:ascii="Consolas" w:hAnsi="Consolas"/>
          <w:b w:val="0"/>
          <w:color w:val="1F2937"/>
          <w:sz w:val="18"/>
        </w:rPr>
        <w:t xml:space="preserve">  actors, places, lots, events, claims, alerts</w:t>
      </w:r>
    </w:p>
    <w:p>
      <w:pPr>
        <w:pStyle w:val="FirstParagraph"/>
      </w:pPr>
      <w:r>
        <w:t xml:space="preserve">There is no worker, cache, or object store in the MVP. Document files stay with the party who holds them. The event stores the SHA-256 of the file.</w:t>
      </w:r>
    </w:p>
    <w:bookmarkStart w:id="20" w:name="stack"/>
    <w:p>
      <w:pPr>
        <w:pStyle w:val="Heading2"/>
      </w:pPr>
      <w:r>
        <w:t xml:space="preserve">Stack</w:t>
      </w:r>
    </w:p>
    <w:tbl>
      <w:tblPr>
        <w:tblStyle w:val="Table"/>
        <w:tblW w:type="pct" w:w="5000"/>
        <w:tblLayout w:type="fixed"/>
        <w:tblLook w:firstRow="1" w:lastRow="0" w:firstColumn="0" w:lastColumn="0" w:noHBand="0" w:noVBand="0" w:val="0020"/>
      </w:tblPr>
      <w:tblGrid>
        <w:gridCol w:w="3960"/>
        <w:gridCol w:w="396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Layer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Choice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Language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TypeScript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Service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Next.js (App Router). The UI and the HTTP API ship as one service.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API</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Versioned route handlers under</w:t>
            </w:r>
            <w:r>
              <w:rPr>
                <w:rFonts w:ascii="Calibri" w:hAnsi="Calibri"/>
                <w:b w:val="0"/>
                <w:color w:val="1F2937"/>
                <w:sz w:val="20"/>
              </w:rPr>
              <w:t xml:space="preserve"> </w:t>
            </w:r>
            <w:r>
              <w:rPr>
                <w:rStyle w:val="VerbatimChar"/>
                <w:rFonts w:ascii="Calibri" w:hAnsi="Calibri"/>
                <w:b w:val="0"/>
                <w:color w:val="1F2937"/>
                <w:sz w:val="20"/>
              </w:rPr>
              <w:t xml:space="preserve">/api/v1</w:t>
            </w:r>
            <w:r>
              <w:rPr>
                <w:rFonts w:ascii="Calibri" w:hAnsi="Calibri"/>
                <w:b w:val="0"/>
                <w:color w:val="1F2937"/>
                <w:sz w:val="20"/>
              </w:rPr>
              <w:t xml:space="preserve">. The UI is a client of that API.</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Database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Postgres 16</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Schema and queries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SQL migrations. Drizzle for queries.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Validation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Zod, one schema per event type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Auth</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Auth.js session cookies for staff. Organization and role live in</w:t>
            </w:r>
            <w:r>
              <w:rPr>
                <w:rFonts w:ascii="Calibri" w:hAnsi="Calibri"/>
                <w:b w:val="0"/>
                <w:color w:val="1F2937"/>
                <w:sz w:val="20"/>
              </w:rPr>
              <w:t xml:space="preserve"> </w:t>
            </w:r>
            <w:r>
              <w:rPr>
                <w:rStyle w:val="VerbatimChar"/>
                <w:rFonts w:ascii="Calibri" w:hAnsi="Calibri"/>
                <w:b w:val="0"/>
                <w:color w:val="1F2937"/>
                <w:sz w:val="20"/>
              </w:rPr>
              <w:t xml:space="preserve">memberships</w:t>
            </w:r>
            <w:r>
              <w:rPr>
                <w:rFonts w:ascii="Calibri" w:hAnsi="Calibri"/>
                <w:b w:val="0"/>
                <w:color w:val="1F2937"/>
                <w:sz w:val="20"/>
              </w:rPr>
              <w:t xml:space="preserve">, not in the auth provider.</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Signatures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Ed25519 in the browser via WebCrypto. Server stores the public key only.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Hash</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SHA-256 over the canonical JSON event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Hosting</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One region, one service, managed Postgres, daily backups</w:t>
            </w:r>
          </w:p>
        </w:tc>
      </w:tr>
    </w:tbl>
    <w:p>
      <w:pPr>
        <w:pStyle w:val="BodyText"/>
      </w:pPr>
      <w:r>
        <w:t xml:space="preserve">The private key is generated in the browser when an organization enrolls. It is encrypted with a passphrase the organization keeps. The server may store the ciphertext so a new clerk machine can download it. The server cannot decrypt it. Signing happens in the browser after the passphrase is entered.</w:t>
      </w:r>
    </w:p>
    <w:bookmarkEnd w:id="20"/>
    <w:bookmarkStart w:id="21" w:name="write-path"/>
    <w:p>
      <w:pPr>
        <w:pStyle w:val="Heading2"/>
      </w:pPr>
      <w:r>
        <w:t xml:space="preserve">Write path</w:t>
      </w:r>
    </w:p>
    <w:p>
      <w:pPr>
        <w:pStyle w:val="Compact"/>
        <w:numPr>
          <w:ilvl w:val="0"/>
          <w:numId w:val="1002"/>
        </w:numPr>
      </w:pPr>
      <w:r>
        <w:t xml:space="preserve">The clerk’s session is a member of the organization, and the role may write that event type.</w:t>
      </w:r>
    </w:p>
    <w:p>
      <w:pPr>
        <w:pStyle w:val="Compact"/>
        <w:numPr>
          <w:ilvl w:val="0"/>
          <w:numId w:val="1002"/>
        </w:numPr>
      </w:pPr>
      <w:r>
        <w:t xml:space="preserve">The browser builds the canonical event using the lot’s current</w:t>
      </w:r>
      <w:r>
        <w:t xml:space="preserve"> </w:t>
      </w:r>
      <w:r>
        <w:rPr>
          <w:rStyle w:val="VerbatimChar"/>
        </w:rPr>
        <w:t xml:space="preserve">head</w:t>
      </w:r>
      <w:r>
        <w:t xml:space="preserve"> </w:t>
      </w:r>
      <w:r>
        <w:t xml:space="preserve">hash.</w:t>
      </w:r>
    </w:p>
    <w:p>
      <w:pPr>
        <w:pStyle w:val="Compact"/>
        <w:numPr>
          <w:ilvl w:val="0"/>
          <w:numId w:val="1002"/>
        </w:numPr>
      </w:pPr>
      <w:r>
        <w:t xml:space="preserve">The browser signs</w:t>
      </w:r>
      <w:r>
        <w:t xml:space="preserve"> </w:t>
      </w:r>
      <w:r>
        <w:rPr>
          <w:rStyle w:val="VerbatimChar"/>
        </w:rPr>
        <w:t xml:space="preserve">payload_hash</w:t>
      </w:r>
      <w:r>
        <w:t xml:space="preserve"> </w:t>
      </w:r>
      <w:r>
        <w:t xml:space="preserve">and posts the event.</w:t>
      </w:r>
    </w:p>
    <w:p>
      <w:pPr>
        <w:pStyle w:val="Compact"/>
        <w:numPr>
          <w:ilvl w:val="0"/>
          <w:numId w:val="1002"/>
        </w:numPr>
      </w:pPr>
      <w:r>
        <w:t xml:space="preserve">The API checks the session, the signature, the payload schema, and the head.</w:t>
      </w:r>
    </w:p>
    <w:p>
      <w:pPr>
        <w:pStyle w:val="Compact"/>
        <w:numPr>
          <w:ilvl w:val="0"/>
          <w:numId w:val="1002"/>
        </w:numPr>
      </w:pPr>
      <w:r>
        <w:t xml:space="preserve">One database transaction inserts the event, moves the head, writes any</w:t>
      </w:r>
      <w:r>
        <w:t xml:space="preserve"> </w:t>
      </w:r>
      <w:r>
        <w:rPr>
          <w:rStyle w:val="VerbatimChar"/>
        </w:rPr>
        <w:t xml:space="preserve">consume</w:t>
      </w:r>
      <w:r>
        <w:t xml:space="preserve"> </w:t>
      </w:r>
      <w:r>
        <w:t xml:space="preserve">events, rebuilds the claim, and inserts alerts.</w:t>
      </w:r>
    </w:p>
    <w:p>
      <w:pPr>
        <w:pStyle w:val="Compact"/>
        <w:numPr>
          <w:ilvl w:val="0"/>
          <w:numId w:val="1002"/>
        </w:numPr>
      </w:pPr>
      <w:r>
        <w:t xml:space="preserve">The response is the new head and the claim status.</w:t>
      </w:r>
    </w:p>
    <w:p>
      <w:pPr>
        <w:pStyle w:val="FirstParagraph"/>
      </w:pPr>
      <w:r>
        <w:t xml:space="preserve">Two clerks racing on the same lot: the second insert fails the unique constraint on</w:t>
      </w:r>
      <w:r>
        <w:t xml:space="preserve"> </w:t>
      </w:r>
      <w:r>
        <w:rPr>
          <w:rStyle w:val="VerbatimChar"/>
        </w:rPr>
        <w:t xml:space="preserve">(lot_id, prev_hash)</w:t>
      </w:r>
      <w:r>
        <w:t xml:space="preserve">. The client reloads the head and asks the clerk to submit again.</w:t>
      </w:r>
    </w:p>
    <w:bookmarkEnd w:id="21"/>
    <w:bookmarkStart w:id="22" w:name="read-path"/>
    <w:p>
      <w:pPr>
        <w:pStyle w:val="Heading2"/>
      </w:pPr>
      <w:r>
        <w:t xml:space="preserve">Read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Route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Caller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20"/>
              </w:rPr>
              <w:t xml:space="preserve">Returns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GET /api/v1/claims/:code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Public</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Claim projection and quantity band.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GET /api/v1/lots/:id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Holder organization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Lots they signed or currently hold, with gram weights.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Style w:val="VerbatimChar"/>
                <w:rFonts w:ascii="Calibri" w:hAnsi="Calibri"/>
                <w:b w:val="0"/>
                <w:color w:val="1F2937"/>
                <w:sz w:val="20"/>
              </w:rPr>
              <w:t xml:space="preserve">GET /api/v1/authority/retention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Origin authority for that country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20"/>
              </w:rPr>
              <w:t xml:space="preserve">Weight leaving, and the share of process events in that country.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Style w:val="VerbatimChar"/>
                <w:rFonts w:ascii="Calibri" w:hAnsi="Calibri"/>
                <w:b w:val="0"/>
                <w:color w:val="1F2937"/>
                <w:sz w:val="20"/>
              </w:rPr>
              <w:t xml:space="preserve">GET /api/v1/lots/:id/audit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Auditor, and only when the lot has an open alert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20"/>
              </w:rPr>
              <w:t xml:space="preserve">Full events, facility ids, gram weights, document hashes.</w:t>
            </w:r>
          </w:p>
        </w:tc>
      </w:tr>
    </w:tbl>
    <w:p>
      <w:pPr>
        <w:pStyle w:val="BodyText"/>
      </w:pPr>
      <w:r>
        <w:t xml:space="preserve">The audit read is written to an</w:t>
      </w:r>
      <w:r>
        <w:t xml:space="preserve"> </w:t>
      </w:r>
      <w:r>
        <w:rPr>
          <w:rStyle w:val="VerbatimChar"/>
        </w:rPr>
        <w:t xml:space="preserve">audit_opens</w:t>
      </w:r>
      <w:r>
        <w:t xml:space="preserve"> </w:t>
      </w:r>
      <w:r>
        <w:t xml:space="preserve">row: who, when, and which lot.</w:t>
      </w:r>
    </w:p>
    <w:bookmarkEnd w:id="22"/>
    <w:bookmarkStart w:id="23" w:name="database-rules"/>
    <w:p>
      <w:pPr>
        <w:pStyle w:val="Heading2"/>
      </w:pPr>
      <w:r>
        <w:t xml:space="preserve">Database rules</w:t>
      </w:r>
    </w:p>
    <w:p>
      <w:pPr>
        <w:pStyle w:val="Compact"/>
        <w:numPr>
          <w:ilvl w:val="0"/>
          <w:numId w:val="1003"/>
        </w:numPr>
      </w:pPr>
      <w:r>
        <w:t xml:space="preserve">The application role may</w:t>
      </w:r>
      <w:r>
        <w:t xml:space="preserve"> </w:t>
      </w:r>
      <w:r>
        <w:rPr>
          <w:rStyle w:val="VerbatimChar"/>
        </w:rPr>
        <w:t xml:space="preserve">INSERT</w:t>
      </w:r>
      <w:r>
        <w:t xml:space="preserve"> </w:t>
      </w:r>
      <w:r>
        <w:t xml:space="preserve">into</w:t>
      </w:r>
      <w:r>
        <w:t xml:space="preserve"> </w:t>
      </w:r>
      <w:r>
        <w:rPr>
          <w:rStyle w:val="VerbatimChar"/>
        </w:rPr>
        <w:t xml:space="preserve">events</w:t>
      </w:r>
      <w:r>
        <w:t xml:space="preserve"> </w:t>
      </w:r>
      <w:r>
        <w:t xml:space="preserve">and may not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them.</w:t>
      </w:r>
    </w:p>
    <w:p>
      <w:pPr>
        <w:pStyle w:val="Compact"/>
        <w:numPr>
          <w:ilvl w:val="0"/>
          <w:numId w:val="1003"/>
        </w:numPr>
      </w:pPr>
      <w:r>
        <w:t xml:space="preserve">A trigger rejects updates to</w:t>
      </w:r>
      <w:r>
        <w:t xml:space="preserve"> </w:t>
      </w:r>
      <w:r>
        <w:rPr>
          <w:rStyle w:val="VerbatimChar"/>
        </w:rPr>
        <w:t xml:space="preserve">lots.biological_origin_country</w:t>
      </w:r>
      <w:r>
        <w:t xml:space="preserve">.</w:t>
      </w:r>
    </w:p>
    <w:p>
      <w:pPr>
        <w:pStyle w:val="Compact"/>
        <w:numPr>
          <w:ilvl w:val="0"/>
          <w:numId w:val="1003"/>
        </w:numPr>
      </w:pPr>
      <w:r>
        <w:rPr>
          <w:rStyle w:val="VerbatimChar"/>
        </w:rPr>
        <w:t xml:space="preserve">events.id</w:t>
      </w:r>
      <w:r>
        <w:t xml:space="preserve"> </w:t>
      </w:r>
      <w:r>
        <w:t xml:space="preserve">is unique.</w:t>
      </w:r>
    </w:p>
    <w:p>
      <w:pPr>
        <w:pStyle w:val="Compact"/>
        <w:numPr>
          <w:ilvl w:val="0"/>
          <w:numId w:val="1003"/>
        </w:numPr>
      </w:pPr>
      <w:r>
        <w:rPr>
          <w:rStyle w:val="VerbatimChar"/>
        </w:rPr>
        <w:t xml:space="preserve">(lot_id, prev_hash)</w:t>
      </w:r>
      <w:r>
        <w:t xml:space="preserve"> </w:t>
      </w:r>
      <w:r>
        <w:t xml:space="preserve">is unique.</w:t>
      </w:r>
      <w:r>
        <w:t xml:space="preserve"> </w:t>
      </w:r>
      <w:r>
        <w:rPr>
          <w:rStyle w:val="VerbatimChar"/>
        </w:rPr>
        <w:t xml:space="preserve">prev_hash</w:t>
      </w:r>
      <w:r>
        <w:t xml:space="preserve"> </w:t>
      </w:r>
      <w:r>
        <w:t xml:space="preserve">null is allowed once per lot.</w:t>
      </w:r>
    </w:p>
    <w:p>
      <w:pPr>
        <w:pStyle w:val="Compact"/>
        <w:numPr>
          <w:ilvl w:val="0"/>
          <w:numId w:val="1003"/>
        </w:numPr>
      </w:pPr>
      <w:r>
        <w:rPr>
          <w:rStyle w:val="VerbatimChar"/>
        </w:rPr>
        <w:t xml:space="preserve">claims</w:t>
      </w:r>
      <w:r>
        <w:t xml:space="preserve"> </w:t>
      </w:r>
      <w:r>
        <w:t xml:space="preserve">is updated only by the transaction that inserted the event.</w:t>
      </w:r>
    </w:p>
    <w:bookmarkEnd w:id="23"/>
    <w:bookmarkStart w:id="24" w:name="authorization"/>
    <w:p>
      <w:pPr>
        <w:pStyle w:val="Heading2"/>
      </w:pPr>
      <w:r>
        <w:t xml:space="preserve">Authorization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18"/>
              </w:rPr>
              <w:t xml:space="preserve">Role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18"/>
              </w:rPr>
              <w:t xml:space="preserve">Harvest and merge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18"/>
              </w:rPr>
              <w:t xml:space="preserve">Process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18"/>
              </w:rPr>
              <w:t xml:space="preserve">Read grams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18"/>
              </w:rPr>
              <w:t xml:space="preserve">Read claim</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line="259" w:lineRule="auto"/>
            </w:pPr>
            <w:r>
              <w:rPr>
                <w:rFonts w:ascii="Calibri" w:hAnsi="Calibri"/>
                <w:b/>
                <w:color w:val="FFFFFF"/>
                <w:sz w:val="18"/>
              </w:rPr>
              <w:t xml:space="preserve">Open audit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Coop clerk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Own 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Own 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No</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Plant clerk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Lots the plant holds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Those 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No</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Buyer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Yes, plus last inspection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No</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Origin authority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Country aggregates only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line="259" w:lineRule="auto"/>
            </w:pPr>
            <w:r>
              <w:rPr>
                <w:rFonts w:ascii="Calibri" w:hAnsi="Calibri"/>
                <w:b w:val="0"/>
                <w:color w:val="1F2937"/>
                <w:sz w:val="18"/>
              </w:rPr>
              <w:t xml:space="preserve">No</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Auditor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Alerted 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line="259" w:lineRule="auto"/>
            </w:pPr>
            <w:r>
              <w:rPr>
                <w:rFonts w:ascii="Calibri" w:hAnsi="Calibri"/>
                <w:b w:val="0"/>
                <w:color w:val="1F2937"/>
                <w:sz w:val="18"/>
              </w:rPr>
              <w:t xml:space="preserve">Yes</w:t>
            </w:r>
          </w:p>
        </w:tc>
      </w:tr>
    </w:tbl>
    <w:p>
      <w:pPr>
        <w:pStyle w:val="BodyText"/>
      </w:pPr>
      <w:r>
        <w:t xml:space="preserve">A clerk can sign only with the key of their own organization, and only for a lot that organization currently holds. Harvest is the exception: it creates the lot.</w:t>
      </w:r>
    </w:p>
    <w:bookmarkEnd w:id="24"/>
    <w:bookmarkEnd w:id="25"/>
    <w:bookmarkStart w:id="32" w:name="mvp-roadmap"/>
    <w:p>
      <w:pPr>
        <w:pStyle w:val="Heading1"/>
        <w:pageBreakBefore/>
      </w:pPr>
      <w:r>
        <w:t xml:space="preserve">MVP roadmap</w:t>
      </w:r>
    </w:p>
    <w:p>
      <w:pPr>
        <w:pStyle w:val="FirstParagraph"/>
      </w:pPr>
      <w:r>
        <w:t xml:space="preserve">Phases are sequential. A phase is done when its exit checks pass, not when the screens exist. Dates wait until a pilot coop and a plant are named.</w:t>
      </w:r>
    </w:p>
    <w:bookmarkStart w:id="26" w:name="phase-1-parcel-and-harvest"/>
    <w:p>
      <w:pPr>
        <w:pStyle w:val="Heading2"/>
      </w:pPr>
      <w:r>
        <w:t xml:space="preserve">Phase 1 — Parcel and harvest</w:t>
      </w:r>
    </w:p>
    <w:p>
      <w:pPr>
        <w:pStyle w:val="FirstParagraph"/>
      </w:pPr>
      <w:r>
        <w:t xml:space="preserve">Enroll a coop organization, register a parcel with a ceiling, and record a harvest signed in the browser.</w:t>
      </w:r>
    </w:p>
    <w:p>
      <w:pPr>
        <w:pStyle w:val="BodyText"/>
      </w:pPr>
      <w:r>
        <w:t xml:space="preserve">Exit checks:</w:t>
      </w:r>
    </w:p>
    <w:p>
      <w:pPr>
        <w:pStyle w:val="Compact"/>
        <w:numPr>
          <w:ilvl w:val="0"/>
          <w:numId w:val="1004"/>
        </w:numPr>
      </w:pPr>
      <w:r>
        <w:t xml:space="preserve">A harvest from an unknown key is rejected.</w:t>
      </w:r>
    </w:p>
    <w:p>
      <w:pPr>
        <w:pStyle w:val="Compact"/>
        <w:numPr>
          <w:ilvl w:val="0"/>
          <w:numId w:val="1004"/>
        </w:numPr>
      </w:pPr>
      <w:r>
        <w:t xml:space="preserve">A second harvest that pushes the parcel over its ceiling is stored, and the lot’s claim is</w:t>
      </w:r>
      <w:r>
        <w:t xml:space="preserve"> </w:t>
      </w:r>
      <w:r>
        <w:rPr>
          <w:rStyle w:val="VerbatimChar"/>
        </w:rPr>
        <w:t xml:space="preserve">alert</w:t>
      </w:r>
      <w:r>
        <w:t xml:space="preserve">.</w:t>
      </w:r>
    </w:p>
    <w:p>
      <w:pPr>
        <w:pStyle w:val="Compact"/>
        <w:numPr>
          <w:ilvl w:val="0"/>
          <w:numId w:val="1004"/>
        </w:numPr>
      </w:pPr>
      <w:r>
        <w:rPr>
          <w:rStyle w:val="VerbatimChar"/>
        </w:rPr>
        <w:t xml:space="preserve">biological_origin_country</w:t>
      </w:r>
      <w:r>
        <w:t xml:space="preserve"> </w:t>
      </w:r>
      <w:r>
        <w:t xml:space="preserve">cannot be updated.</w:t>
      </w:r>
    </w:p>
    <w:p>
      <w:pPr>
        <w:pStyle w:val="Compact"/>
        <w:numPr>
          <w:ilvl w:val="0"/>
          <w:numId w:val="1004"/>
        </w:numPr>
      </w:pPr>
      <w:r>
        <w:t xml:space="preserve">The grower has no user account.</w:t>
      </w:r>
    </w:p>
    <w:bookmarkEnd w:id="26"/>
    <w:bookmarkStart w:id="27" w:name="phase-2-named-merges"/>
    <w:p>
      <w:pPr>
        <w:pStyle w:val="Heading2"/>
      </w:pPr>
      <w:r>
        <w:t xml:space="preserve">Phase 2 — Named merges</w:t>
      </w:r>
    </w:p>
    <w:p>
      <w:pPr>
        <w:pStyle w:val="FirstParagraph"/>
      </w:pPr>
      <w:r>
        <w:t xml:space="preserve">A clerk merges several harvest lots into one intake lot.</w:t>
      </w:r>
    </w:p>
    <w:p>
      <w:pPr>
        <w:pStyle w:val="BodyText"/>
      </w:pPr>
      <w:r>
        <w:t xml:space="preserve">Exit checks:</w:t>
      </w:r>
    </w:p>
    <w:p>
      <w:pPr>
        <w:pStyle w:val="Compact"/>
        <w:numPr>
          <w:ilvl w:val="0"/>
          <w:numId w:val="1005"/>
        </w:numPr>
      </w:pPr>
      <w:r>
        <w:t xml:space="preserve">Every input lot has a</w:t>
      </w:r>
      <w:r>
        <w:t xml:space="preserve"> </w:t>
      </w:r>
      <w:r>
        <w:rPr>
          <w:rStyle w:val="VerbatimChar"/>
        </w:rPr>
        <w:t xml:space="preserve">consume</w:t>
      </w:r>
      <w:r>
        <w:t xml:space="preserve"> </w:t>
      </w:r>
      <w:r>
        <w:t xml:space="preserve">event pointing at the output.</w:t>
      </w:r>
    </w:p>
    <w:p>
      <w:pPr>
        <w:pStyle w:val="Compact"/>
        <w:numPr>
          <w:ilvl w:val="0"/>
          <w:numId w:val="1005"/>
        </w:numPr>
      </w:pPr>
      <w:r>
        <w:t xml:space="preserve">A consumed lot cannot be merged again.</w:t>
      </w:r>
    </w:p>
    <w:p>
      <w:pPr>
        <w:pStyle w:val="Compact"/>
        <w:numPr>
          <w:ilvl w:val="0"/>
          <w:numId w:val="1005"/>
        </w:numPr>
      </w:pPr>
      <w:r>
        <w:t xml:space="preserve">Output grams must equal the sum of inputs, or an alert opens.</w:t>
      </w:r>
    </w:p>
    <w:p>
      <w:pPr>
        <w:pStyle w:val="Compact"/>
        <w:numPr>
          <w:ilvl w:val="0"/>
          <w:numId w:val="1005"/>
        </w:numPr>
      </w:pPr>
      <w:r>
        <w:t xml:space="preserve">The output lot’s biological origin is Côte d’Ivoire, copied from the inputs. Mixed-origin merges are rejected in the MVP.</w:t>
      </w:r>
    </w:p>
    <w:bookmarkEnd w:id="27"/>
    <w:bookmarkStart w:id="28" w:name="phase-3-load-and-process"/>
    <w:p>
      <w:pPr>
        <w:pStyle w:val="Heading2"/>
      </w:pPr>
      <w:r>
        <w:t xml:space="preserve">Phase 3 — Load and process</w:t>
      </w:r>
    </w:p>
    <w:p>
      <w:pPr>
        <w:pStyle w:val="FirstParagraph"/>
      </w:pPr>
      <w:r>
        <w:t xml:space="preserve">Record the lot leaving the country and the plant turning raw nuts into outputs plus a declared loss.</w:t>
      </w:r>
    </w:p>
    <w:p>
      <w:pPr>
        <w:pStyle w:val="BodyText"/>
      </w:pPr>
      <w:r>
        <w:t xml:space="preserve">Exit checks:</w:t>
      </w:r>
    </w:p>
    <w:p>
      <w:pPr>
        <w:pStyle w:val="Compact"/>
        <w:numPr>
          <w:ilvl w:val="0"/>
          <w:numId w:val="1006"/>
        </w:numPr>
      </w:pPr>
      <w:r>
        <w:t xml:space="preserve">The process country is stored and is different from biological origin when the plant is abroad.</w:t>
      </w:r>
    </w:p>
    <w:p>
      <w:pPr>
        <w:pStyle w:val="Compact"/>
        <w:numPr>
          <w:ilvl w:val="0"/>
          <w:numId w:val="1006"/>
        </w:numPr>
      </w:pPr>
      <w:r>
        <w:t xml:space="preserve">Outputs plus loss must equal the input, or an alert opens.</w:t>
      </w:r>
    </w:p>
    <w:p>
      <w:pPr>
        <w:pStyle w:val="Compact"/>
        <w:numPr>
          <w:ilvl w:val="0"/>
          <w:numId w:val="1006"/>
        </w:numPr>
      </w:pPr>
      <w:r>
        <w:t xml:space="preserve">The plant cannot process a lot it does not hold.</w:t>
      </w:r>
    </w:p>
    <w:bookmarkEnd w:id="28"/>
    <w:bookmarkStart w:id="29" w:name="phase-4-claim"/>
    <w:p>
      <w:pPr>
        <w:pStyle w:val="Heading2"/>
      </w:pPr>
      <w:r>
        <w:t xml:space="preserve">Phase 4 — Claim</w:t>
      </w:r>
    </w:p>
    <w:p>
      <w:pPr>
        <w:pStyle w:val="FirstParagraph"/>
      </w:pPr>
      <w:r>
        <w:t xml:space="preserve">Publish the derived claim, including the public code a bag can carry.</w:t>
      </w:r>
    </w:p>
    <w:p>
      <w:pPr>
        <w:pStyle w:val="BodyText"/>
      </w:pPr>
      <w:r>
        <w:t xml:space="preserve">Exit checks:</w:t>
      </w:r>
    </w:p>
    <w:p>
      <w:pPr>
        <w:pStyle w:val="Compact"/>
        <w:numPr>
          <w:ilvl w:val="0"/>
          <w:numId w:val="1007"/>
        </w:numPr>
      </w:pPr>
      <w:r>
        <w:t xml:space="preserve">The public route returns origin, process countries, status, and a quantity band.</w:t>
      </w:r>
    </w:p>
    <w:p>
      <w:pPr>
        <w:pStyle w:val="Compact"/>
        <w:numPr>
          <w:ilvl w:val="0"/>
          <w:numId w:val="1007"/>
        </w:numPr>
      </w:pPr>
      <w:r>
        <w:t xml:space="preserve">The public route does not return grams, parcel coordinates, grower name, or document hashes.</w:t>
      </w:r>
    </w:p>
    <w:p>
      <w:pPr>
        <w:pStyle w:val="Compact"/>
        <w:numPr>
          <w:ilvl w:val="0"/>
          <w:numId w:val="1007"/>
        </w:numPr>
      </w:pPr>
      <w:r>
        <w:t xml:space="preserve">A relabel with a later expiry leaves the packing expiry on the claim and opens an alert.</w:t>
      </w:r>
    </w:p>
    <w:bookmarkEnd w:id="29"/>
    <w:bookmarkStart w:id="30" w:name="phase-5-authority-and-audit"/>
    <w:p>
      <w:pPr>
        <w:pStyle w:val="Heading2"/>
      </w:pPr>
      <w:r>
        <w:t xml:space="preserve">Phase 5 — Authority and audit</w:t>
      </w:r>
    </w:p>
    <w:p>
      <w:pPr>
        <w:pStyle w:val="FirstParagraph"/>
      </w:pPr>
      <w:r>
        <w:t xml:space="preserve">This is the end of the MVP.</w:t>
      </w:r>
    </w:p>
    <w:p>
      <w:pPr>
        <w:pStyle w:val="BodyText"/>
      </w:pPr>
      <w:r>
        <w:t xml:space="preserve">Exit checks:</w:t>
      </w:r>
    </w:p>
    <w:p>
      <w:pPr>
        <w:pStyle w:val="Compact"/>
        <w:numPr>
          <w:ilvl w:val="0"/>
          <w:numId w:val="1008"/>
        </w:numPr>
      </w:pPr>
      <w:r>
        <w:t xml:space="preserve">The origin-authority page shows weight leaving Côte d’Ivoire and the share of process events that happened there.</w:t>
      </w:r>
    </w:p>
    <w:p>
      <w:pPr>
        <w:pStyle w:val="Compact"/>
        <w:numPr>
          <w:ilvl w:val="0"/>
          <w:numId w:val="1008"/>
        </w:numPr>
      </w:pPr>
      <w:r>
        <w:t xml:space="preserve">An auditor can open a lot only when it has an alert, and the open is logged.</w:t>
      </w:r>
    </w:p>
    <w:p>
      <w:pPr>
        <w:pStyle w:val="Compact"/>
        <w:numPr>
          <w:ilvl w:val="0"/>
          <w:numId w:val="1008"/>
        </w:numPr>
      </w:pPr>
      <w:r>
        <w:t xml:space="preserve">A buyer sees the claim, the last inspection result, and the band.</w:t>
      </w:r>
    </w:p>
    <w:bookmarkEnd w:id="30"/>
    <w:bookmarkStart w:id="31" w:name="after-the-mvp"/>
    <w:p>
      <w:pPr>
        <w:pStyle w:val="Heading2"/>
      </w:pPr>
      <w:r>
        <w:t xml:space="preserve">After the MVP</w:t>
      </w:r>
    </w:p>
    <w:p>
      <w:pPr>
        <w:pStyle w:val="FirstParagraph"/>
      </w:pPr>
      <w:r>
        <w:t xml:space="preserve">In this order, and only when the pilot asks for them:</w:t>
      </w:r>
    </w:p>
    <w:p>
      <w:pPr>
        <w:pStyle w:val="Compact"/>
        <w:numPr>
          <w:ilvl w:val="0"/>
          <w:numId w:val="1009"/>
        </w:numPr>
      </w:pPr>
      <w:r>
        <w:t xml:space="preserve">Fertilizer or seed attestation that lowers a parcel ceiling when the attestation is missing.</w:t>
      </w:r>
    </w:p>
    <w:p>
      <w:pPr>
        <w:pStyle w:val="Compact"/>
        <w:numPr>
          <w:ilvl w:val="0"/>
          <w:numId w:val="1009"/>
        </w:numPr>
      </w:pPr>
      <w:r>
        <w:t xml:space="preserve">Vessel calls, so an undeclared port opens an alert.</w:t>
      </w:r>
    </w:p>
    <w:p>
      <w:pPr>
        <w:pStyle w:val="Compact"/>
        <w:numPr>
          <w:ilvl w:val="0"/>
          <w:numId w:val="1009"/>
        </w:numPr>
      </w:pPr>
      <w:r>
        <w:t xml:space="preserve">An export bundle for an external investigation graph: lot path, hashes, and organization ids. No KYC dossier in this database.</w:t>
      </w:r>
    </w:p>
    <w:p>
      <w:pPr>
        <w:pStyle w:val="Compact"/>
        <w:numPr>
          <w:ilvl w:val="0"/>
          <w:numId w:val="1009"/>
        </w:numPr>
      </w:pPr>
      <w:r>
        <w:t xml:space="preserve">Honey as a second commodity, where the fraud is content and a price premium.</w:t>
      </w:r>
    </w:p>
    <w:p>
      <w:pPr>
        <w:pStyle w:val="Compact"/>
        <w:numPr>
          <w:ilvl w:val="0"/>
          <w:numId w:val="1009"/>
        </w:numPr>
      </w:pPr>
      <w:r>
        <w:t xml:space="preserve">Fish only with a lab attestation required before a species claim.</w:t>
      </w:r>
    </w:p>
    <w:p>
      <w:pPr>
        <w:pStyle w:val="Compact"/>
        <w:numPr>
          <w:ilvl w:val="0"/>
          <w:numId w:val="1009"/>
        </w:numPr>
      </w:pPr>
      <w:r>
        <w:t xml:space="preserve">Settlement and retained-value sharing.</w:t>
      </w:r>
    </w:p>
    <w:p>
      <w:pPr>
        <w:pStyle w:val="Compact"/>
        <w:numPr>
          <w:ilvl w:val="0"/>
          <w:numId w:val="1009"/>
        </w:numPr>
      </w:pPr>
      <w:r>
        <w:t xml:space="preserve">An offline client, if buying points have no signal.</w:t>
      </w:r>
    </w:p>
    <w:p>
      <w:pPr>
        <w:pStyle w:val="Compact"/>
        <w:numPr>
          <w:ilvl w:val="0"/>
          <w:numId w:val="1009"/>
        </w:numPr>
      </w:pPr>
      <w:r>
        <w:t xml:space="preserve">A permissioned ledger for the hash chain, if a second operator refuses this database. The event JSON stays the same so the log can move.</w:t>
      </w:r>
    </w:p>
    <w:bookmarkEnd w:id="31"/>
    <w:bookmarkEnd w:id="32"/>
    <w:bookmarkStart w:id="33" w:name="out-of-scope"/>
    <w:p>
      <w:pPr>
        <w:pStyle w:val="Heading1"/>
      </w:pPr>
      <w:r>
        <w:t xml:space="preserve">Out of scope</w:t>
      </w:r>
    </w:p>
    <w:p>
      <w:pPr>
        <w:pStyle w:val="Compact"/>
        <w:numPr>
          <w:ilvl w:val="0"/>
          <w:numId w:val="1010"/>
        </w:numPr>
      </w:pPr>
      <w:r>
        <w:t xml:space="preserve">A token, a coin, or tokenized inventory.</w:t>
      </w:r>
    </w:p>
    <w:p>
      <w:pPr>
        <w:pStyle w:val="Compact"/>
        <w:numPr>
          <w:ilvl w:val="0"/>
          <w:numId w:val="1010"/>
        </w:numPr>
      </w:pPr>
      <w:r>
        <w:t xml:space="preserve">Full KYC, crew identities, and beneficial-ownership graphs.</w:t>
      </w:r>
    </w:p>
    <w:p>
      <w:pPr>
        <w:pStyle w:val="Compact"/>
        <w:numPr>
          <w:ilvl w:val="0"/>
          <w:numId w:val="1010"/>
        </w:numPr>
      </w:pPr>
      <w:r>
        <w:t xml:space="preserve">Public prices and public parcel coordinates.</w:t>
      </w:r>
    </w:p>
    <w:p>
      <w:pPr>
        <w:pStyle w:val="Compact"/>
        <w:numPr>
          <w:ilvl w:val="0"/>
          <w:numId w:val="1010"/>
        </w:numPr>
      </w:pPr>
      <w:r>
        <w:t xml:space="preserve">A grantor or donor portal.</w:t>
      </w:r>
    </w:p>
    <w:p>
      <w:pPr>
        <w:pStyle w:val="Compact"/>
        <w:numPr>
          <w:ilvl w:val="0"/>
          <w:numId w:val="1010"/>
        </w:numPr>
      </w:pPr>
      <w:r>
        <w:t xml:space="preserve">A model that writes events or invents an origin.</w:t>
      </w:r>
    </w:p>
    <w:p>
      <w:pPr>
        <w:pStyle w:val="Compact"/>
        <w:numPr>
          <w:ilvl w:val="0"/>
          <w:numId w:val="1010"/>
        </w:numPr>
      </w:pPr>
      <w:r>
        <w:t xml:space="preserve">Storing scans of shipping documents. Hashes only.</w:t>
      </w:r>
    </w:p>
    <w:p>
      <w:pPr>
        <w:pStyle w:val="Compact"/>
        <w:numPr>
          <w:ilvl w:val="0"/>
          <w:numId w:val="1010"/>
        </w:numPr>
      </w:pPr>
      <w:r>
        <w:t xml:space="preserve">Multi-region deployment and a mobile app.</w:t>
      </w:r>
    </w:p>
    <w:bookmarkEnd w:id="33"/>
    <w:bookmarkStart w:id="34" w:name="how-this-stays-honest"/>
    <w:p>
      <w:pPr>
        <w:pStyle w:val="Heading1"/>
      </w:pPr>
      <w:r>
        <w:t xml:space="preserve">How this stays honest</w:t>
      </w:r>
    </w:p>
    <w:p>
      <w:pPr>
        <w:pStyle w:val="FirstParagraph"/>
      </w:pPr>
      <w:r>
        <w:t xml:space="preserve">The operator can refuse to publish, and can go offline. The operator cannot silently rewrite a history that other parties have already verified, because those parties hold the signatures and the hashes. That is the custody property this MVP owes. It is not a claim that a cartel is inside the database. When an alert fires, the trail leaves this system and goes to people who investigate companies and accounts.</w:t>
      </w:r>
    </w:p>
    <w:bookmarkEnd w:id="34"/>
    <w:sectPr>
      <w:headerReference w:type="default" r:id="rId9"/>
      <w:footerReference w:type="default" r:id="rId10"/>
      <w:headerReference w:type="first" r:id="rId11"/>
      <w:footerReference w:type="first" r:id="rId12"/>
      <w:footnotePr>
        <w:numRestart w:val="eachSect"/>
      </w:footnotePr>
      <w:pgSz w:w="11906" w:h="16838"/>
      <w:pgMar w:left="1304" w:right="1304" w:top="1247" w:bottom="1247" w:header="567" w:footer="56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40"/>
      <w:jc w:val="left"/>
      <w:tabs>
        <w:tab w:val="right" w:pos="9280"/>
      </w:tabs>
      <w:pBdr>
        <w:bottom w:val="single" w:sz="12" w:space="1" w:color="D8E3DE"/>
      </w:pBdr>
    </w:pPr>
    <w:r>
      <w:rPr>
        <w:rFonts w:ascii="Calibri" w:hAnsi="Calibri"/>
        <w:b w:val="0"/>
        <w:color w:val="143228"/>
        <w:sz w:val="18"/>
      </w:rPr>
      <w:t>First version  ·  16 October 2026</w:t>
    </w:r>
    <w:r>
      <w:rPr>
        <w:rFonts w:ascii="Calibri" w:hAnsi="Calibri"/>
        <w:b w:val="0"/>
        <w:color w:val="52636B"/>
        <w:sz w:val="18"/>
      </w:rPr>
      <w:tab/>
    </w:r>
    <w:r>
      <w:rPr>
        <w:rFonts w:ascii="Calibri" w:hAnsi="Calibri"/>
        <w:b w:val="0"/>
        <w:color w:val="52636B"/>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right" w:pos="9280"/>
      </w:tabs>
      <w:pBdr>
        <w:bottom w:val="single" w:sz="12" w:space="1" w:color="D8E3DE"/>
      </w:pBdr>
    </w:pPr>
    <w:r>
      <w:rPr>
        <w:rFonts w:ascii="Calibri" w:hAnsi="Calibri"/>
        <w:b w:val="0"/>
        <w:color w:val="143228"/>
        <w:sz w:val="18"/>
      </w:rPr>
      <w:t>agriChain</w:t>
    </w:r>
    <w:r>
      <w:rPr>
        <w:rFonts w:ascii="Calibri" w:hAnsi="Calibri"/>
        <w:b w:val="0"/>
        <w:color w:val="52636B"/>
        <w:sz w:val="18"/>
      </w:rPr>
      <w:tab/>
    </w:r>
    <w:r>
      <w:rPr>
        <w:rFonts w:ascii="Calibri" w:hAnsi="Calibri"/>
        <w:b w:val="0"/>
        <w:color w:val="52636B"/>
        <w:sz w:val="18"/>
      </w:rPr>
      <w:t>Solution blueprint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libri" w:cs="Calibri" w:eastAsia="Calibri" w:hAnsi="Calibri"/>
      <w:color w:val="1F2937"/>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64" w:lineRule="auto"/>
      <w:contextualSpacing/>
      <w:jc w:val="center"/>
    </w:pPr>
    <w:rPr>
      <w:rFonts w:ascii="Calibri" w:asciiTheme="majorHAnsi" w:cs="Calibri" w:cstheme="majorBidi" w:eastAsia="Calibri" w:eastAsiaTheme="majorEastAsia" w:hAnsi="Calibri" w:hAnsiTheme="majorHAnsi"/>
      <w:b/>
      <w:color w:val="1432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64" w:lineRule="auto"/>
    </w:pPr>
    <w:rPr>
      <w:rFonts w:ascii="Calibri" w:cs="Calibri" w:cstheme="majorBidi" w:eastAsia="Calibri" w:eastAsiaTheme="majorEastAsia" w:hAnsi="Calibri"/>
      <w:b w:val="0"/>
      <w:color w:val="2D6A4F"/>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line="264" w:lineRule="auto"/>
      <w:outlineLvl w:val="0"/>
    </w:pPr>
    <w:rPr>
      <w:rFonts w:ascii="Calibri" w:asciiTheme="majorHAnsi" w:cs="Calibri" w:cstheme="majorBidi" w:eastAsia="Calibri" w:eastAsiaTheme="majorEastAsia" w:hAnsi="Calibri" w:hAnsiTheme="majorHAnsi"/>
      <w:b/>
      <w:color w:val="143228"/>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320" w:line="264" w:lineRule="auto"/>
      <w:outlineLvl w:val="1"/>
    </w:pPr>
    <w:rPr>
      <w:rFonts w:ascii="Calibri" w:asciiTheme="majorHAnsi" w:cs="Calibri" w:cstheme="majorBidi" w:eastAsia="Calibri" w:eastAsiaTheme="majorEastAsia" w:hAnsi="Calibri" w:hAnsiTheme="majorHAnsi"/>
      <w:b/>
      <w:color w:val="1B43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40" w:line="264" w:lineRule="auto"/>
      <w:outlineLvl w:val="2"/>
    </w:pPr>
    <w:rPr>
      <w:rFonts w:ascii="Calibri" w:cs="Calibri" w:cstheme="majorBidi" w:eastAsia="Calibri" w:eastAsiaTheme="majorEastAsia" w:hAnsi="Calibri"/>
      <w:b/>
      <w:color w:val="2D6A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2937"/>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200" w:before="0" w:line="264" w:lineRule="auto"/>
      <w:outlineLvl w:val="9"/>
    </w:pPr>
    <w:rPr>
      <w:rFonts w:ascii="Calibri" w:asciiTheme="majorHAnsi" w:cs="Calibri" w:cstheme="majorBidi" w:eastAsia="Calibri" w:eastAsiaTheme="majorEastAsia" w:hAnsi="Calibri" w:hAnsiTheme="majorHAnsi"/>
      <w:b/>
      <w:bCs w:val="0"/>
      <w:color w:val="143228"/>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Technical Architecture &amp; MVP Roadmap</dc:title>
  <dc:creator/>
  <cp:keywords>agriChain; custody; cashew; MVP</cp:keywords>
  <dcterms:created xsi:type="dcterms:W3CDTF">2026-10-16T23:24:08Z</dcterms:created>
  <dcterms:modified xsi:type="dcterms:W3CDTF">2026-10-16T23:24:08Z</dcterms:modified>
  <dc:subject>agriChain first version, cashew corridor</dc:subject>
  <cp:category>Design</cp:category>
</cp:coreProperties>
</file>

<file path=docProps/custom.xml><?xml version="1.0" encoding="utf-8"?>
<Properties xmlns="http://schemas.openxmlformats.org/officeDocument/2006/custom-properties" xmlns:vt="http://schemas.openxmlformats.org/officeDocument/2006/docPropsVTypes"/>
</file>