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EB3DB" w14:textId="7AD85D8D" w:rsidR="003932E6" w:rsidRDefault="00657C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C04">
        <w:rPr>
          <w:rFonts w:ascii="Times New Roman" w:hAnsi="Times New Roman" w:cs="Times New Roman"/>
          <w:b/>
          <w:bCs/>
          <w:sz w:val="28"/>
          <w:szCs w:val="28"/>
        </w:rPr>
        <w:t>3. Концептуальная модель базы данных (ER-диаграмма) и её обоснование</w:t>
      </w:r>
    </w:p>
    <w:p w14:paraId="4F981326" w14:textId="31F97497" w:rsidR="00657C04" w:rsidRPr="00657C04" w:rsidRDefault="00657C04" w:rsidP="00657C04">
      <w:pPr>
        <w:rPr>
          <w:rFonts w:ascii="Times New Roman" w:hAnsi="Times New Roman" w:cs="Times New Roman"/>
          <w:sz w:val="24"/>
          <w:szCs w:val="24"/>
        </w:rPr>
      </w:pPr>
      <w:r w:rsidRPr="00657C04">
        <w:rPr>
          <w:rFonts w:ascii="Times New Roman" w:hAnsi="Times New Roman" w:cs="Times New Roman"/>
          <w:sz w:val="24"/>
          <w:szCs w:val="24"/>
        </w:rPr>
        <w:t>Концептуальная модель представляет собой ER-диаграмму (</w:t>
      </w:r>
      <w:proofErr w:type="spellStart"/>
      <w:r w:rsidRPr="00657C04">
        <w:rPr>
          <w:rFonts w:ascii="Times New Roman" w:hAnsi="Times New Roman" w:cs="Times New Roman"/>
          <w:sz w:val="24"/>
          <w:szCs w:val="24"/>
        </w:rPr>
        <w:t>Entity-Relationship</w:t>
      </w:r>
      <w:proofErr w:type="spellEnd"/>
      <w:r w:rsidRPr="00657C04">
        <w:rPr>
          <w:rFonts w:ascii="Times New Roman" w:hAnsi="Times New Roman" w:cs="Times New Roman"/>
          <w:sz w:val="24"/>
          <w:szCs w:val="24"/>
        </w:rPr>
        <w:t xml:space="preserve">), которая была построена в </w:t>
      </w:r>
      <w:proofErr w:type="spellStart"/>
      <w:r w:rsidRPr="00657C04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657C04">
        <w:rPr>
          <w:rFonts w:ascii="Times New Roman" w:hAnsi="Times New Roman" w:cs="Times New Roman"/>
          <w:sz w:val="24"/>
          <w:szCs w:val="24"/>
        </w:rPr>
        <w:t xml:space="preserve"> (см. рисунок 2). Модель включает все выделенные сущности и связи между ними.</w:t>
      </w:r>
    </w:p>
    <w:p w14:paraId="18238335" w14:textId="77777777" w:rsidR="00657C04" w:rsidRPr="00657C04" w:rsidRDefault="00657C04" w:rsidP="00657C04">
      <w:pPr>
        <w:rPr>
          <w:rFonts w:ascii="Times New Roman" w:hAnsi="Times New Roman" w:cs="Times New Roman"/>
          <w:sz w:val="26"/>
          <w:szCs w:val="26"/>
        </w:rPr>
      </w:pPr>
      <w:r w:rsidRPr="00657C04">
        <w:rPr>
          <w:rFonts w:ascii="Times New Roman" w:hAnsi="Times New Roman" w:cs="Times New Roman"/>
          <w:sz w:val="26"/>
          <w:szCs w:val="26"/>
        </w:rPr>
        <w:t>Описание связей (мощность, обязательность)</w:t>
      </w:r>
    </w:p>
    <w:tbl>
      <w:tblPr>
        <w:tblStyle w:val="a3"/>
        <w:tblW w:w="9642" w:type="dxa"/>
        <w:tblLook w:val="04A0" w:firstRow="1" w:lastRow="0" w:firstColumn="1" w:lastColumn="0" w:noHBand="0" w:noVBand="1"/>
      </w:tblPr>
      <w:tblGrid>
        <w:gridCol w:w="3214"/>
        <w:gridCol w:w="3214"/>
        <w:gridCol w:w="3214"/>
      </w:tblGrid>
      <w:tr w:rsidR="00657C04" w:rsidRPr="00657C04" w14:paraId="14005B02" w14:textId="77777777" w:rsidTr="00657C04">
        <w:trPr>
          <w:trHeight w:val="320"/>
        </w:trPr>
        <w:tc>
          <w:tcPr>
            <w:tcW w:w="3214" w:type="dxa"/>
          </w:tcPr>
          <w:p w14:paraId="104D2046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  <w:tc>
          <w:tcPr>
            <w:tcW w:w="3214" w:type="dxa"/>
          </w:tcPr>
          <w:p w14:paraId="79DBD925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214" w:type="dxa"/>
          </w:tcPr>
          <w:p w14:paraId="022657BB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Пояснение</w:t>
            </w:r>
          </w:p>
        </w:tc>
      </w:tr>
      <w:tr w:rsidR="00657C04" w:rsidRPr="00657C04" w14:paraId="35EA7C54" w14:textId="77777777" w:rsidTr="00657C04">
        <w:trPr>
          <w:trHeight w:val="1299"/>
        </w:trPr>
        <w:tc>
          <w:tcPr>
            <w:tcW w:w="3214" w:type="dxa"/>
          </w:tcPr>
          <w:p w14:paraId="6CB00670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Клиент – Договор</w:t>
            </w:r>
          </w:p>
        </w:tc>
        <w:tc>
          <w:tcPr>
            <w:tcW w:w="3214" w:type="dxa"/>
          </w:tcPr>
          <w:p w14:paraId="37F3D5B3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1 : N</w:t>
            </w:r>
          </w:p>
        </w:tc>
        <w:tc>
          <w:tcPr>
            <w:tcW w:w="3214" w:type="dxa"/>
          </w:tcPr>
          <w:p w14:paraId="2059F3CB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Один клиент может иметь несколько договоров. Договор принадлежит ровно одному клиенту.</w:t>
            </w:r>
          </w:p>
        </w:tc>
      </w:tr>
      <w:tr w:rsidR="00657C04" w:rsidRPr="00657C04" w14:paraId="52CAE016" w14:textId="77777777" w:rsidTr="00657C04">
        <w:trPr>
          <w:trHeight w:val="979"/>
        </w:trPr>
        <w:tc>
          <w:tcPr>
            <w:tcW w:w="3214" w:type="dxa"/>
          </w:tcPr>
          <w:p w14:paraId="7FB06439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Клиент – Заявка</w:t>
            </w:r>
          </w:p>
        </w:tc>
        <w:tc>
          <w:tcPr>
            <w:tcW w:w="3214" w:type="dxa"/>
          </w:tcPr>
          <w:p w14:paraId="2D01EA60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1 : N</w:t>
            </w:r>
          </w:p>
        </w:tc>
        <w:tc>
          <w:tcPr>
            <w:tcW w:w="3214" w:type="dxa"/>
          </w:tcPr>
          <w:p w14:paraId="3D892E88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Один клиент создаёт много заявок. Заявка создаётся одним клиентом.</w:t>
            </w:r>
          </w:p>
        </w:tc>
      </w:tr>
      <w:tr w:rsidR="00657C04" w:rsidRPr="00657C04" w14:paraId="2092F4A2" w14:textId="77777777" w:rsidTr="00657C04">
        <w:trPr>
          <w:trHeight w:val="2297"/>
        </w:trPr>
        <w:tc>
          <w:tcPr>
            <w:tcW w:w="3214" w:type="dxa"/>
          </w:tcPr>
          <w:p w14:paraId="4C038D2C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Договор – Заявка</w:t>
            </w:r>
          </w:p>
        </w:tc>
        <w:tc>
          <w:tcPr>
            <w:tcW w:w="3214" w:type="dxa"/>
          </w:tcPr>
          <w:p w14:paraId="3F4BC161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0..1 : N</w:t>
            </w:r>
          </w:p>
        </w:tc>
        <w:tc>
          <w:tcPr>
            <w:tcW w:w="3214" w:type="dxa"/>
          </w:tcPr>
          <w:p w14:paraId="58466B65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Один договор может быть привязан к нескольким заявкам (например, в рамках одного договора много доработок). Заявка может не иметь договора (разовая услуга).</w:t>
            </w:r>
          </w:p>
        </w:tc>
      </w:tr>
      <w:tr w:rsidR="00657C04" w:rsidRPr="00657C04" w14:paraId="70071557" w14:textId="77777777" w:rsidTr="00657C04">
        <w:trPr>
          <w:trHeight w:val="1299"/>
        </w:trPr>
        <w:tc>
          <w:tcPr>
            <w:tcW w:w="3214" w:type="dxa"/>
          </w:tcPr>
          <w:p w14:paraId="40BFB6C1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Исполнитель – Заявка</w:t>
            </w:r>
          </w:p>
        </w:tc>
        <w:tc>
          <w:tcPr>
            <w:tcW w:w="3214" w:type="dxa"/>
          </w:tcPr>
          <w:p w14:paraId="15D2E408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1 : N</w:t>
            </w:r>
          </w:p>
        </w:tc>
        <w:tc>
          <w:tcPr>
            <w:tcW w:w="3214" w:type="dxa"/>
          </w:tcPr>
          <w:p w14:paraId="5682B92F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Один исполнитель ведёт много заявок. Заявка закреплена за одним исполнителем.</w:t>
            </w:r>
          </w:p>
        </w:tc>
      </w:tr>
      <w:tr w:rsidR="00657C04" w:rsidRPr="00657C04" w14:paraId="6DC0B51E" w14:textId="77777777" w:rsidTr="00657C04">
        <w:trPr>
          <w:trHeight w:val="1638"/>
        </w:trPr>
        <w:tc>
          <w:tcPr>
            <w:tcW w:w="3214" w:type="dxa"/>
          </w:tcPr>
          <w:p w14:paraId="5ACA9F91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Заявка – История статусов</w:t>
            </w:r>
          </w:p>
        </w:tc>
        <w:tc>
          <w:tcPr>
            <w:tcW w:w="3214" w:type="dxa"/>
          </w:tcPr>
          <w:p w14:paraId="2A586C59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1 : N</w:t>
            </w:r>
          </w:p>
        </w:tc>
        <w:tc>
          <w:tcPr>
            <w:tcW w:w="3214" w:type="dxa"/>
          </w:tcPr>
          <w:p w14:paraId="1D4150AD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Одна заявка имеет множество записей в истории изменений. Каждая запись относится к одной заявке.</w:t>
            </w:r>
          </w:p>
        </w:tc>
      </w:tr>
      <w:tr w:rsidR="00657C04" w:rsidRPr="00657C04" w14:paraId="423852DC" w14:textId="77777777" w:rsidTr="00657C04">
        <w:trPr>
          <w:trHeight w:val="2599"/>
        </w:trPr>
        <w:tc>
          <w:tcPr>
            <w:tcW w:w="3214" w:type="dxa"/>
          </w:tcPr>
          <w:p w14:paraId="14F1298D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Пользователь – Исполнитель</w:t>
            </w:r>
          </w:p>
        </w:tc>
        <w:tc>
          <w:tcPr>
            <w:tcW w:w="3214" w:type="dxa"/>
          </w:tcPr>
          <w:p w14:paraId="02D3BE33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1 : 1</w:t>
            </w:r>
          </w:p>
        </w:tc>
        <w:tc>
          <w:tcPr>
            <w:tcW w:w="3214" w:type="dxa"/>
          </w:tcPr>
          <w:p w14:paraId="103451F1" w14:textId="77777777" w:rsidR="00657C04" w:rsidRPr="00657C04" w:rsidRDefault="00657C04" w:rsidP="002E5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C04">
              <w:rPr>
                <w:rFonts w:ascii="Times New Roman" w:hAnsi="Times New Roman" w:cs="Times New Roman"/>
                <w:sz w:val="24"/>
                <w:szCs w:val="24"/>
              </w:rPr>
              <w:t>Каждый исполнитель является пользователем системы (имеет логин/пароль). Исполнитель может не быть пользователем (теоретически, но по заданию – связь 1:1).</w:t>
            </w:r>
          </w:p>
        </w:tc>
      </w:tr>
    </w:tbl>
    <w:p w14:paraId="5D8272B2" w14:textId="77777777" w:rsidR="00657C04" w:rsidRDefault="00657C04" w:rsidP="00657C04">
      <w:pPr>
        <w:rPr>
          <w:rFonts w:ascii="Times New Roman" w:hAnsi="Times New Roman" w:cs="Times New Roman"/>
          <w:sz w:val="24"/>
          <w:szCs w:val="24"/>
        </w:rPr>
      </w:pPr>
    </w:p>
    <w:p w14:paraId="222E25E9" w14:textId="77777777" w:rsidR="00657C04" w:rsidRDefault="00657C04" w:rsidP="00657C04">
      <w:pPr>
        <w:rPr>
          <w:rFonts w:ascii="Times New Roman" w:hAnsi="Times New Roman" w:cs="Times New Roman"/>
          <w:sz w:val="24"/>
          <w:szCs w:val="24"/>
        </w:rPr>
      </w:pPr>
    </w:p>
    <w:p w14:paraId="12D3421B" w14:textId="77777777" w:rsidR="00657C04" w:rsidRDefault="00657C04" w:rsidP="00657C04">
      <w:pPr>
        <w:rPr>
          <w:rFonts w:ascii="Times New Roman" w:hAnsi="Times New Roman" w:cs="Times New Roman"/>
          <w:sz w:val="24"/>
          <w:szCs w:val="24"/>
        </w:rPr>
      </w:pPr>
    </w:p>
    <w:p w14:paraId="673D0844" w14:textId="77777777" w:rsidR="00657C04" w:rsidRDefault="00657C04" w:rsidP="00657C04">
      <w:pPr>
        <w:rPr>
          <w:rFonts w:ascii="Times New Roman" w:hAnsi="Times New Roman" w:cs="Times New Roman"/>
          <w:sz w:val="24"/>
          <w:szCs w:val="24"/>
        </w:rPr>
      </w:pPr>
    </w:p>
    <w:p w14:paraId="51E6E167" w14:textId="7E38E1D8" w:rsidR="00657C04" w:rsidRPr="00657C04" w:rsidRDefault="00657C04" w:rsidP="00657C04">
      <w:pPr>
        <w:rPr>
          <w:rFonts w:ascii="Times New Roman" w:hAnsi="Times New Roman" w:cs="Times New Roman"/>
          <w:sz w:val="24"/>
          <w:szCs w:val="24"/>
        </w:rPr>
      </w:pPr>
      <w:r w:rsidRPr="00657C04">
        <w:rPr>
          <w:rFonts w:ascii="Times New Roman" w:hAnsi="Times New Roman" w:cs="Times New Roman"/>
          <w:sz w:val="24"/>
          <w:szCs w:val="24"/>
        </w:rPr>
        <w:lastRenderedPageBreak/>
        <w:t>Обоснование концептуальной модели</w:t>
      </w:r>
    </w:p>
    <w:p w14:paraId="4BEC9D3D" w14:textId="2B72F431" w:rsidR="00657C04" w:rsidRPr="00657C04" w:rsidRDefault="00657C04" w:rsidP="00657C04">
      <w:pPr>
        <w:pStyle w:val="a4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657C04">
        <w:rPr>
          <w:rFonts w:ascii="Times New Roman" w:hAnsi="Times New Roman" w:cs="Times New Roman"/>
          <w:sz w:val="24"/>
          <w:szCs w:val="24"/>
        </w:rPr>
        <w:t>Полнота – модель охватывает все информационные потребности бизнес-процессов, выявленные в анализе предметной области: клиенты, договоры, исполнители, заявки, история статусов, пользователи.</w:t>
      </w:r>
    </w:p>
    <w:p w14:paraId="25E9F71D" w14:textId="740ECD52" w:rsidR="00657C04" w:rsidRPr="00657C04" w:rsidRDefault="00657C04" w:rsidP="00657C04">
      <w:pPr>
        <w:pStyle w:val="a4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657C04">
        <w:rPr>
          <w:rFonts w:ascii="Times New Roman" w:hAnsi="Times New Roman" w:cs="Times New Roman"/>
          <w:sz w:val="24"/>
          <w:szCs w:val="24"/>
        </w:rPr>
        <w:t>Непротиворечивость – исключены дублирования: например, информация о клиенте хранится только в одной таблице «Клиенты», а в «Заявках» стоит только ссылка. Это соответствует третьей нормальной форме (3НФ).</w:t>
      </w:r>
    </w:p>
    <w:p w14:paraId="4333D752" w14:textId="76E7B49A" w:rsidR="00657C04" w:rsidRPr="00657C04" w:rsidRDefault="00657C04" w:rsidP="00657C04">
      <w:pPr>
        <w:pStyle w:val="a4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657C04">
        <w:rPr>
          <w:rFonts w:ascii="Times New Roman" w:hAnsi="Times New Roman" w:cs="Times New Roman"/>
          <w:sz w:val="24"/>
          <w:szCs w:val="24"/>
        </w:rPr>
        <w:t>Гибкость – наличие таблицы «История статусов» позволяет отслеживать весь жизненный цикл заявки, что необходимо для контроля качества и анализа работы.</w:t>
      </w:r>
    </w:p>
    <w:p w14:paraId="1F18ACFC" w14:textId="320874DA" w:rsidR="00657C04" w:rsidRPr="00657C04" w:rsidRDefault="00657C04" w:rsidP="00657C04">
      <w:pPr>
        <w:pStyle w:val="a4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657C04">
        <w:rPr>
          <w:rFonts w:ascii="Times New Roman" w:hAnsi="Times New Roman" w:cs="Times New Roman"/>
          <w:sz w:val="24"/>
          <w:szCs w:val="24"/>
        </w:rPr>
        <w:t xml:space="preserve">Безопасность – отдельная таблица «Пользователи» с ролями и </w:t>
      </w:r>
      <w:proofErr w:type="spellStart"/>
      <w:r w:rsidRPr="00657C04">
        <w:rPr>
          <w:rFonts w:ascii="Times New Roman" w:hAnsi="Times New Roman" w:cs="Times New Roman"/>
          <w:sz w:val="24"/>
          <w:szCs w:val="24"/>
        </w:rPr>
        <w:t>хешем</w:t>
      </w:r>
      <w:proofErr w:type="spellEnd"/>
      <w:r w:rsidRPr="00657C04">
        <w:rPr>
          <w:rFonts w:ascii="Times New Roman" w:hAnsi="Times New Roman" w:cs="Times New Roman"/>
          <w:sz w:val="24"/>
          <w:szCs w:val="24"/>
        </w:rPr>
        <w:t xml:space="preserve"> пароля даёт основу для разграничения доступа (ПК 11.6). Связь «Пользователь – Исполнитель» позволяет идентифицировать, кто именно из сотрудников выполняет заявку.</w:t>
      </w:r>
    </w:p>
    <w:p w14:paraId="7108CC19" w14:textId="0977A13F" w:rsidR="00657C04" w:rsidRPr="00657C04" w:rsidRDefault="00657C04" w:rsidP="00657C04">
      <w:pPr>
        <w:pStyle w:val="a4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657C04">
        <w:rPr>
          <w:rFonts w:ascii="Times New Roman" w:hAnsi="Times New Roman" w:cs="Times New Roman"/>
          <w:sz w:val="24"/>
          <w:szCs w:val="24"/>
        </w:rPr>
        <w:t>Реализуемость в 1С – выбранная модель без проблем отображается на объекты 1С: справочники (Клиенты, Исполнители, Договоры), документы (Заявка), регистры сведений (История статусов). Типы данных ENUM в 1С реализуются через перечисления или справочники.</w:t>
      </w:r>
    </w:p>
    <w:p w14:paraId="5989EEC5" w14:textId="798AC4BA" w:rsidR="00657C04" w:rsidRPr="00657C04" w:rsidRDefault="00657C04" w:rsidP="00657C04">
      <w:pPr>
        <w:rPr>
          <w:rFonts w:ascii="Times New Roman" w:hAnsi="Times New Roman" w:cs="Times New Roman"/>
          <w:sz w:val="24"/>
          <w:szCs w:val="24"/>
        </w:rPr>
      </w:pPr>
      <w:r w:rsidRPr="00657C04">
        <w:rPr>
          <w:rFonts w:ascii="Times New Roman" w:hAnsi="Times New Roman" w:cs="Times New Roman"/>
          <w:sz w:val="24"/>
          <w:szCs w:val="24"/>
        </w:rPr>
        <w:t>Концептуальная модель служит основой для логического и физического проектирования базы данных. Далее она будет нормализована (фактически уже находится в 3НФ) и реализована в СУБД (1С:Предприятие).</w:t>
      </w:r>
    </w:p>
    <w:sectPr w:rsidR="00657C04" w:rsidRPr="00657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11AAF"/>
    <w:multiLevelType w:val="hybridMultilevel"/>
    <w:tmpl w:val="D1F89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19"/>
    <w:rsid w:val="000D4D7D"/>
    <w:rsid w:val="003932E6"/>
    <w:rsid w:val="00462B19"/>
    <w:rsid w:val="006022A0"/>
    <w:rsid w:val="0065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14672"/>
  <w15:chartTrackingRefBased/>
  <w15:docId w15:val="{FF0418CD-8948-4EFD-AA4D-7CAE8B23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57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57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9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2026-05-23T15:07:00Z</dcterms:created>
  <dcterms:modified xsi:type="dcterms:W3CDTF">2026-05-23T15:09:00Z</dcterms:modified>
</cp:coreProperties>
</file>