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tabs>
          <w:tab w:val="clear" w:pos="720"/>
          <w:tab w:val="left" w:pos="1440" w:leader="none"/>
        </w:tabs>
        <w:jc w:val="both"/>
        <w:rPr>
          <w:rFonts w:ascii="Century" w:hAnsi="Century" w:cs="Century"/>
          <w:b w:val="false"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</w:rPr>
        <w:t>Nobuyuki Hanaki</w:t>
      </w:r>
    </w:p>
    <w:p>
      <w:pPr>
        <w:pStyle w:val="Normal"/>
        <w:jc w:val="both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  <w:t>Professor, Director</w:t>
      </w:r>
    </w:p>
    <w:p>
      <w:pPr>
        <w:pStyle w:val="Normal"/>
        <w:jc w:val="both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  <w:t>Institute of Social and Economic Research</w:t>
      </w:r>
    </w:p>
    <w:p>
      <w:pPr>
        <w:pStyle w:val="Normal"/>
        <w:jc w:val="both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  <w:t>The University of Osaka</w:t>
      </w:r>
    </w:p>
    <w:p>
      <w:pPr>
        <w:pStyle w:val="Normal"/>
        <w:jc w:val="both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</w:r>
    </w:p>
    <w:p>
      <w:pPr>
        <w:pStyle w:val="Heading5"/>
        <w:ind w:hanging="0" w:start="0"/>
        <w:rPr>
          <w:rFonts w:ascii="Century" w:hAnsi="Century" w:cs="Century"/>
          <w:sz w:val="21"/>
          <w:szCs w:val="21"/>
        </w:rPr>
      </w:pPr>
      <w:r>
        <w:rPr>
          <w:rFonts w:cs="Century" w:ascii="Century" w:hAnsi="Century"/>
          <w:sz w:val="21"/>
          <w:szCs w:val="21"/>
        </w:rPr>
        <w:t>Professional Position</w:t>
      </w:r>
    </w:p>
    <w:p>
      <w:pPr>
        <w:pStyle w:val="Normal"/>
        <w:rPr>
          <w:rFonts w:ascii="Century" w:hAnsi="Century" w:cs="Century"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  <w:lang w:eastAsia="ja-JP"/>
        </w:rPr>
        <w:t>2019 (Sep.) – Current</w:t>
      </w:r>
    </w:p>
    <w:p>
      <w:pPr>
        <w:pStyle w:val="Normal"/>
        <w:ind w:firstLine="720" w:end="0"/>
        <w:jc w:val="both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  <w:lang w:eastAsia="ja-JP"/>
        </w:rPr>
        <w:t xml:space="preserve">Professor: </w:t>
      </w:r>
      <w:r>
        <w:rPr>
          <w:rFonts w:cs="Century" w:ascii="Century" w:hAnsi="Century"/>
          <w:bCs/>
          <w:sz w:val="21"/>
          <w:szCs w:val="21"/>
          <w:lang w:eastAsia="ja-JP"/>
        </w:rPr>
        <w:t>Institute of Social and Economic Research, University of Osaka</w:t>
      </w:r>
    </w:p>
    <w:p>
      <w:pPr>
        <w:pStyle w:val="Normal"/>
        <w:ind w:firstLine="720" w:end="0"/>
        <w:jc w:val="both"/>
        <w:rPr/>
      </w:pPr>
      <w:r>
        <w:rPr>
          <w:rFonts w:cs="Century" w:ascii="Century" w:hAnsi="Century"/>
          <w:bCs/>
          <w:sz w:val="21"/>
          <w:szCs w:val="21"/>
          <w:lang w:eastAsia="ja-JP"/>
        </w:rPr>
        <w:t>April 2025-current: Director, the Institute of Social and Economic Research</w:t>
      </w:r>
    </w:p>
    <w:p>
      <w:pPr>
        <w:pStyle w:val="Normal"/>
        <w:ind w:firstLine="720" w:end="0"/>
        <w:jc w:val="both"/>
        <w:rPr/>
      </w:pPr>
      <w:r>
        <w:rPr>
          <w:rFonts w:cs="Century" w:ascii="Century" w:hAnsi="Century"/>
          <w:bCs/>
          <w:sz w:val="21"/>
          <w:szCs w:val="21"/>
          <w:lang w:eastAsia="ja-JP"/>
        </w:rPr>
        <w:t>April 2020-March 2025: Director,  Research Center for Behavioral Economics</w:t>
      </w:r>
    </w:p>
    <w:p>
      <w:pPr>
        <w:pStyle w:val="Normal"/>
        <w:rPr>
          <w:rFonts w:ascii="Century" w:hAnsi="Century" w:cs="Century"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  <w:lang w:eastAsia="ja-JP"/>
        </w:rPr>
        <w:t>2015 (Sep.) – 2019 (Aug.)</w:t>
      </w:r>
    </w:p>
    <w:p>
      <w:pPr>
        <w:pStyle w:val="Normal"/>
        <w:rPr>
          <w:rFonts w:ascii="Century" w:hAnsi="Century" w:cs="Century"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  <w:lang w:eastAsia="ja-JP"/>
        </w:rPr>
        <w:tab/>
        <w:t>Professor: GREDEG (UMR 7321) and University of Nice, Sophia-Antipolis</w:t>
      </w:r>
    </w:p>
    <w:p>
      <w:pPr>
        <w:pStyle w:val="Normal"/>
        <w:rPr/>
      </w:pPr>
      <w:r>
        <w:rPr>
          <w:rFonts w:cs="Century" w:ascii="Century" w:hAnsi="Century"/>
          <w:sz w:val="21"/>
          <w:szCs w:val="21"/>
          <w:lang w:eastAsia="ja-JP"/>
        </w:rPr>
        <w:t xml:space="preserve">2009 (Sep.) – 2015 (Aug.): </w:t>
      </w:r>
    </w:p>
    <w:p>
      <w:pPr>
        <w:pStyle w:val="Normal"/>
        <w:ind w:firstLine="720" w:end="0"/>
        <w:rPr/>
      </w:pPr>
      <w:r>
        <w:rPr>
          <w:rFonts w:cs="Century" w:ascii="Century" w:hAnsi="Century"/>
          <w:sz w:val="21"/>
          <w:szCs w:val="21"/>
          <w:lang w:eastAsia="ja-JP"/>
        </w:rPr>
        <w:t xml:space="preserve">Professor: </w:t>
      </w:r>
      <w:r>
        <w:rPr>
          <w:rFonts w:cs="Century" w:ascii="Century" w:hAnsi="Century"/>
          <w:sz w:val="21"/>
          <w:szCs w:val="21"/>
        </w:rPr>
        <w:t xml:space="preserve">GREQAM (UMR 7316) and </w:t>
      </w:r>
      <w:r>
        <w:rPr>
          <w:rFonts w:cs="Century" w:ascii="Century" w:hAnsi="Century"/>
          <w:sz w:val="21"/>
          <w:szCs w:val="21"/>
          <w:lang w:eastAsia="ja-JP"/>
        </w:rPr>
        <w:t>Aix-Marseille University</w:t>
      </w:r>
    </w:p>
    <w:p>
      <w:pPr>
        <w:pStyle w:val="Normal"/>
        <w:rPr>
          <w:rFonts w:ascii="Century" w:hAnsi="Century" w:cs="Century"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  <w:lang w:eastAsia="ja-JP"/>
        </w:rPr>
        <w:t>2005 (Jun.)-2011 (Mar.): leave between April 2009-March 2011</w:t>
      </w:r>
    </w:p>
    <w:p>
      <w:pPr>
        <w:pStyle w:val="Normal"/>
        <w:ind w:hangingChars="300" w:startChars="0" w:start="0" w:endChars="0" w:end="0"/>
        <w:rPr>
          <w:rFonts w:ascii="Century" w:hAnsi="Century" w:cs="Century"/>
          <w:sz w:val="21"/>
          <w:szCs w:val="21"/>
          <w:lang w:eastAsia="ja-JP"/>
        </w:rPr>
      </w:pPr>
      <w:r>
        <w:rPr>
          <w:rFonts w:cs="Century" w:ascii="Century" w:hAnsi="Century"/>
          <w:sz w:val="21"/>
          <w:szCs w:val="21"/>
          <w:lang w:eastAsia="ja-JP"/>
        </w:rPr>
        <w:tab/>
        <w:t xml:space="preserve">Assistant Professor in Economics </w:t>
      </w:r>
    </w:p>
    <w:p>
      <w:pPr>
        <w:pStyle w:val="Normal"/>
        <w:ind w:hangingChars="300" w:startChars="0" w:start="0" w:endChars="0" w:end="0"/>
        <w:rPr/>
      </w:pPr>
      <w:r>
        <w:rPr>
          <w:rFonts w:cs="Century" w:ascii="Century" w:hAnsi="Century"/>
          <w:sz w:val="21"/>
          <w:szCs w:val="21"/>
          <w:lang w:eastAsia="ja-JP"/>
        </w:rPr>
        <w:tab/>
        <w:t>Graduate School of Huminites and Social Sciences, University of Tsukuba</w:t>
      </w:r>
    </w:p>
    <w:p>
      <w:pPr>
        <w:pStyle w:val="Normal"/>
        <w:ind w:hanging="720" w:start="720" w:end="0"/>
        <w:rPr/>
      </w:pPr>
      <w:r>
        <w:rPr>
          <w:rFonts w:cs="Century" w:ascii="Century" w:hAnsi="Century"/>
          <w:bCs/>
          <w:sz w:val="21"/>
          <w:szCs w:val="21"/>
          <w:lang w:eastAsia="ja-JP"/>
        </w:rPr>
        <w:t>2003 (Jun)-2005 (May)</w:t>
      </w:r>
    </w:p>
    <w:p>
      <w:pPr>
        <w:pStyle w:val="Normal"/>
        <w:ind w:hangingChars="300" w:startChars="0" w:start="0" w:endChars="0" w:end="0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  <w:tab/>
        <w:t>Post-doctoral Fellow, Earth Institute, Columbia University</w:t>
      </w:r>
    </w:p>
    <w:p>
      <w:pPr>
        <w:pStyle w:val="Normal"/>
        <w:ind w:hangingChars="300" w:startChars="0" w:start="0" w:endChars="0" w:end="0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</w:r>
    </w:p>
    <w:p>
      <w:pPr>
        <w:pStyle w:val="Heading5"/>
        <w:ind w:hanging="0" w:start="0"/>
        <w:rPr>
          <w:rFonts w:ascii="Century" w:hAnsi="Century" w:cs="Century"/>
          <w:bCs w:val="false"/>
          <w:sz w:val="21"/>
          <w:szCs w:val="21"/>
          <w:lang w:eastAsia="en-US"/>
        </w:rPr>
      </w:pPr>
      <w:r>
        <w:rPr>
          <w:rFonts w:cs="Century" w:ascii="Century" w:hAnsi="Century"/>
          <w:bCs w:val="false"/>
          <w:sz w:val="21"/>
          <w:szCs w:val="21"/>
          <w:lang w:eastAsia="en-US"/>
        </w:rPr>
        <w:t>Education</w:t>
      </w:r>
    </w:p>
    <w:p>
      <w:pPr>
        <w:pStyle w:val="Normal"/>
        <w:rPr>
          <w:rFonts w:ascii="Century" w:hAnsi="Century" w:cs="Century"/>
          <w:bCs/>
          <w:sz w:val="21"/>
          <w:szCs w:val="21"/>
          <w:lang w:eastAsia="ja-JP"/>
        </w:rPr>
      </w:pPr>
      <w:r>
        <w:rPr>
          <w:rFonts w:cs="Century" w:ascii="Century" w:hAnsi="Century"/>
          <w:bCs/>
          <w:sz w:val="21"/>
          <w:szCs w:val="21"/>
          <w:lang w:eastAsia="ja-JP"/>
        </w:rPr>
        <w:t>2003</w:t>
        <w:tab/>
        <w:t xml:space="preserve">Ph.D., Economics, </w:t>
      </w:r>
      <w:r>
        <w:rPr>
          <w:rFonts w:cs="Century" w:ascii="Century" w:hAnsi="Century"/>
          <w:bCs/>
          <w:sz w:val="21"/>
          <w:szCs w:val="21"/>
        </w:rPr>
        <w:t>Columbia University, New York</w:t>
      </w:r>
      <w:r>
        <w:rPr>
          <w:rFonts w:cs="Century" w:ascii="Century" w:hAnsi="Century"/>
          <w:bCs/>
          <w:sz w:val="21"/>
          <w:szCs w:val="21"/>
          <w:lang w:eastAsia="ja-JP"/>
        </w:rPr>
        <w:t xml:space="preserve"> </w:t>
      </w:r>
    </w:p>
    <w:p>
      <w:pPr>
        <w:pStyle w:val="Normal"/>
        <w:rPr>
          <w:rFonts w:ascii="Century" w:hAnsi="Century" w:cs="Century"/>
          <w:b/>
          <w:bCs/>
          <w:sz w:val="21"/>
          <w:szCs w:val="21"/>
          <w:lang w:eastAsia="ja-JP"/>
        </w:rPr>
      </w:pPr>
      <w:r>
        <w:rPr>
          <w:rFonts w:cs="Century" w:ascii="Century" w:hAnsi="Century"/>
          <w:b/>
          <w:bCs/>
          <w:sz w:val="21"/>
          <w:szCs w:val="21"/>
          <w:lang w:eastAsia="ja-JP"/>
        </w:rPr>
      </w:r>
    </w:p>
    <w:p>
      <w:pPr>
        <w:pStyle w:val="Heading5"/>
        <w:ind w:hanging="0" w:start="0"/>
        <w:rPr>
          <w:rFonts w:ascii="Century" w:hAnsi="Century" w:cs="Century"/>
          <w:sz w:val="21"/>
          <w:szCs w:val="21"/>
        </w:rPr>
      </w:pPr>
      <w:r>
        <w:rPr>
          <w:rFonts w:cs="Century" w:ascii="Century" w:hAnsi="Century"/>
          <w:sz w:val="21"/>
          <w:szCs w:val="21"/>
        </w:rPr>
        <w:t>Selected Journal Publications since 2023</w:t>
      </w:r>
    </w:p>
    <w:p>
      <w:pPr>
        <w:pStyle w:val="zfr3q"/>
        <w:numPr>
          <w:ilvl w:val="0"/>
          <w:numId w:val="3"/>
        </w:numPr>
        <w:spacing w:before="0" w:after="0"/>
        <w:rPr>
          <w:rStyle w:val="c9dxtc"/>
          <w:rFonts w:ascii="Century" w:hAnsi="Century" w:cs="Arial"/>
          <w:color w:val="212121"/>
          <w:sz w:val="21"/>
          <w:szCs w:val="21"/>
        </w:rPr>
      </w:pPr>
      <w:r>
        <w:rPr>
          <w:rStyle w:val="c9dxtc"/>
          <w:rFonts w:cs="Century" w:ascii="Century" w:hAnsi="Century"/>
          <w:color w:val="000000"/>
          <w:sz w:val="22"/>
          <w:szCs w:val="22"/>
          <w:u w:val="single"/>
        </w:rPr>
        <w:t>N. Hanaki</w:t>
      </w:r>
      <w:r>
        <w:rPr>
          <w:rStyle w:val="c9dxtc"/>
          <w:rFonts w:cs="Century" w:ascii="Century" w:hAnsi="Century"/>
          <w:color w:val="000000"/>
          <w:sz w:val="22"/>
          <w:szCs w:val="22"/>
        </w:rPr>
        <w:t xml:space="preserve"> and Y. Takahashi "An experiment on a multi-period beauty contest game", forthcoming in </w:t>
      </w:r>
      <w:r>
        <w:rPr>
          <w:rStyle w:val="c9dxtc"/>
          <w:rFonts w:cs="Century" w:ascii="Century" w:hAnsi="Century"/>
          <w:i/>
          <w:iCs/>
          <w:color w:val="000000"/>
          <w:sz w:val="22"/>
          <w:szCs w:val="22"/>
        </w:rPr>
        <w:t>Experimental Economics</w:t>
      </w:r>
    </w:p>
    <w:p>
      <w:pPr>
        <w:pStyle w:val="zfr3q"/>
        <w:numPr>
          <w:ilvl w:val="0"/>
          <w:numId w:val="3"/>
        </w:numPr>
        <w:spacing w:before="0" w:after="0"/>
        <w:rPr>
          <w:rFonts w:ascii="Century" w:hAnsi="Century" w:cs="Arial"/>
          <w:color w:val="212121"/>
          <w:sz w:val="21"/>
          <w:szCs w:val="21"/>
        </w:rPr>
      </w:pPr>
      <w:r>
        <w:rPr>
          <w:rStyle w:val="c9dxtc"/>
          <w:rFonts w:cs="Arial" w:ascii="Century" w:hAnsi="Century"/>
          <w:color w:val="000000"/>
          <w:sz w:val="21"/>
          <w:szCs w:val="21"/>
        </w:rPr>
        <w:t xml:space="preserve">Eugene Malthouse et al. "Assessing private solutions to collective action problems in a 34-nation study", </w:t>
      </w:r>
      <w:r>
        <w:rPr>
          <w:rStyle w:val="c9dxtc"/>
          <w:rFonts w:cs="Arial" w:ascii="Century" w:hAnsi="Century"/>
          <w:i/>
          <w:iCs/>
          <w:color w:val="000000"/>
          <w:sz w:val="21"/>
          <w:szCs w:val="21"/>
        </w:rPr>
        <w:t>Proceedings of the National Academy of Sciences</w:t>
      </w:r>
      <w:r>
        <w:rPr>
          <w:rStyle w:val="c9dxtc"/>
          <w:rFonts w:cs="Arial" w:ascii="Century" w:hAnsi="Century"/>
          <w:color w:val="000000"/>
          <w:sz w:val="21"/>
          <w:szCs w:val="21"/>
        </w:rPr>
        <w:t xml:space="preserve">, </w:t>
      </w:r>
      <w:r>
        <w:rPr>
          <w:rStyle w:val="c9dxtc"/>
          <w:rFonts w:cs="Arial" w:ascii="Century" w:hAnsi="Century"/>
          <w:color w:val="0B0B0B"/>
          <w:sz w:val="21"/>
          <w:szCs w:val="21"/>
        </w:rPr>
        <w:t>123 (12) e2504632123, 2026</w:t>
      </w:r>
    </w:p>
    <w:p>
      <w:pPr>
        <w:pStyle w:val="zfr3q"/>
        <w:numPr>
          <w:ilvl w:val="0"/>
          <w:numId w:val="3"/>
        </w:numPr>
        <w:spacing w:before="0" w:after="0"/>
        <w:rPr>
          <w:rFonts w:ascii="Century" w:hAnsi="Century" w:cs="Arial"/>
          <w:color w:val="212121"/>
          <w:sz w:val="21"/>
          <w:szCs w:val="21"/>
        </w:rPr>
      </w:pPr>
      <w:r>
        <w:rPr>
          <w:rStyle w:val="c9dxtc"/>
          <w:rFonts w:cs="Arial" w:ascii="Century" w:hAnsi="Century"/>
          <w:color w:val="000000"/>
          <w:sz w:val="21"/>
          <w:szCs w:val="21"/>
        </w:rPr>
        <w:t xml:space="preserve">T. Aoyama and </w:t>
      </w:r>
      <w:r>
        <w:rPr>
          <w:rStyle w:val="c9dxtc"/>
          <w:rFonts w:cs="Arial" w:ascii="Century" w:hAnsi="Century"/>
          <w:color w:val="000000"/>
          <w:sz w:val="21"/>
          <w:szCs w:val="21"/>
          <w:u w:val="single"/>
        </w:rPr>
        <w:t>N. Hanaki</w:t>
      </w:r>
      <w:r>
        <w:rPr>
          <w:rStyle w:val="c9dxtc"/>
          <w:rFonts w:cs="Arial" w:ascii="Century" w:hAnsi="Century"/>
          <w:color w:val="000000"/>
          <w:sz w:val="21"/>
          <w:szCs w:val="21"/>
        </w:rPr>
        <w:t xml:space="preserve"> "Experimental Evaluation of Random Incentive System under Ambiguity" forthcoming in </w:t>
      </w:r>
      <w:r>
        <w:rPr>
          <w:rStyle w:val="c9dxtc"/>
          <w:rFonts w:cs="Arial" w:ascii="Century" w:hAnsi="Century"/>
          <w:i/>
          <w:iCs/>
          <w:color w:val="000000"/>
          <w:sz w:val="21"/>
          <w:szCs w:val="21"/>
        </w:rPr>
        <w:t>Journal of Political Economy: Microeconomics</w:t>
      </w:r>
    </w:p>
    <w:p>
      <w:pPr>
        <w:pStyle w:val="zfr3q"/>
        <w:numPr>
          <w:ilvl w:val="0"/>
          <w:numId w:val="3"/>
        </w:numPr>
        <w:spacing w:before="0" w:after="0"/>
        <w:rPr>
          <w:rFonts w:ascii="Century" w:hAnsi="Century" w:cs="Arial"/>
          <w:color w:val="212121"/>
          <w:sz w:val="21"/>
          <w:szCs w:val="21"/>
        </w:rPr>
      </w:pP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M. Chessa, </w:t>
      </w:r>
      <w:r>
        <w:rPr>
          <w:rStyle w:val="c9dxtc"/>
          <w:rFonts w:cs="Century" w:ascii="Century" w:hAnsi="Century"/>
          <w:color w:val="000000"/>
          <w:sz w:val="21"/>
          <w:szCs w:val="21"/>
          <w:u w:val="single"/>
        </w:rPr>
        <w:t>N. Hanaki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, A. Lardon, T. Yamada "An experimental Nash program: A comparison of structured versus semi-structured bargaining experiments", </w:t>
      </w:r>
      <w:r>
        <w:rPr>
          <w:rStyle w:val="c9dxtc"/>
          <w:rFonts w:cs="Century" w:ascii="Century" w:hAnsi="Century"/>
          <w:i/>
          <w:iCs/>
          <w:color w:val="000000"/>
          <w:sz w:val="21"/>
          <w:szCs w:val="21"/>
        </w:rPr>
        <w:t>Experimental Economics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, </w:t>
      </w:r>
      <w:r>
        <w:rPr>
          <w:rFonts w:cs="Century" w:ascii="Century" w:hAnsi="Century"/>
          <w:sz w:val="21"/>
          <w:szCs w:val="21"/>
        </w:rPr>
        <w:t>28(3):409-429. 2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>025</w:t>
      </w:r>
    </w:p>
    <w:p>
      <w:pPr>
        <w:pStyle w:val="zfr3q"/>
        <w:numPr>
          <w:ilvl w:val="0"/>
          <w:numId w:val="3"/>
        </w:numPr>
        <w:spacing w:before="0" w:after="280"/>
        <w:rPr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J. Ferreira, </w:t>
      </w:r>
      <w:r>
        <w:rPr>
          <w:rStyle w:val="c9dxtc"/>
          <w:rFonts w:cs="Century" w:ascii="Century" w:hAnsi="Century"/>
          <w:color w:val="000000"/>
          <w:sz w:val="21"/>
          <w:szCs w:val="21"/>
          <w:u w:val="single"/>
        </w:rPr>
        <w:t>N. Hanaki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, F. Le Lec, E. Schokkaert, B. Tarroux "Freedom counts: Cross country empirical evidence" </w:t>
      </w:r>
      <w:r>
        <w:rPr>
          <w:rStyle w:val="c9dxtc"/>
          <w:rFonts w:cs="Century" w:ascii="Century" w:hAnsi="Century"/>
          <w:i/>
          <w:iCs/>
          <w:sz w:val="21"/>
          <w:szCs w:val="21"/>
        </w:rPr>
        <w:t xml:space="preserve">European Economic Review, </w:t>
      </w:r>
      <w:r>
        <w:rPr>
          <w:rStyle w:val="c9dxtc"/>
          <w:rFonts w:cs="Century" w:ascii="Century" w:hAnsi="Century"/>
          <w:sz w:val="21"/>
          <w:szCs w:val="21"/>
        </w:rPr>
        <w:t>Vol. 176, 105022, 2025</w:t>
      </w:r>
    </w:p>
    <w:p>
      <w:pPr>
        <w:pStyle w:val="zfr3q"/>
        <w:numPr>
          <w:ilvl w:val="0"/>
          <w:numId w:val="3"/>
        </w:numPr>
        <w:spacing w:before="0" w:after="280"/>
        <w:rPr>
          <w:rFonts w:ascii="Century" w:hAnsi="Century" w:cs="Century"/>
          <w:sz w:val="21"/>
          <w:szCs w:val="21"/>
        </w:rPr>
      </w:pPr>
      <w:r>
        <w:rPr>
          <w:rStyle w:val="c9dxtc"/>
          <w:rFonts w:eastAsia="ＭＳ ゴシック;MS Gothic" w:cs="Century" w:ascii="Century" w:hAnsi="Century"/>
          <w:color w:val="000000"/>
          <w:sz w:val="21"/>
          <w:szCs w:val="21"/>
        </w:rPr>
        <w:t xml:space="preserve">R. Mori, </w:t>
      </w:r>
      <w:r>
        <w:rPr>
          <w:rStyle w:val="c9dxtc"/>
          <w:rFonts w:eastAsia="ＭＳ ゴシック;MS Gothic" w:cs="Century" w:ascii="Century" w:hAnsi="Century"/>
          <w:color w:val="000000"/>
          <w:sz w:val="21"/>
          <w:szCs w:val="21"/>
          <w:u w:val="single"/>
        </w:rPr>
        <w:t>N. Hanaki</w:t>
      </w:r>
      <w:r>
        <w:rPr>
          <w:rStyle w:val="c9dxtc"/>
          <w:rFonts w:eastAsia="ＭＳ ゴシック;MS Gothic" w:cs="Century" w:ascii="Century" w:hAnsi="Century"/>
          <w:color w:val="000000"/>
          <w:sz w:val="21"/>
          <w:szCs w:val="21"/>
        </w:rPr>
        <w:t xml:space="preserve">, T. Kameda "An outside individual option increases optimism and facilitates collaboration with groups form flexibly" </w:t>
      </w:r>
      <w:r>
        <w:rPr>
          <w:rStyle w:val="c9dxtc"/>
          <w:rFonts w:eastAsia="ＭＳ ゴシック;MS Gothic" w:cs="Century" w:ascii="Century" w:hAnsi="Century"/>
          <w:i/>
          <w:iCs/>
          <w:color w:val="000000"/>
          <w:sz w:val="21"/>
          <w:szCs w:val="21"/>
        </w:rPr>
        <w:t xml:space="preserve">Nature Communications, </w:t>
      </w:r>
      <w:r>
        <w:rPr>
          <w:rStyle w:val="c9dxtc"/>
          <w:rFonts w:eastAsia="ＭＳ ゴシック;MS Gothic" w:cs="Arial" w:ascii="Century" w:hAnsi="Century"/>
          <w:b/>
          <w:bCs/>
          <w:color w:val="000000"/>
          <w:sz w:val="21"/>
          <w:szCs w:val="21"/>
        </w:rPr>
        <w:t>15</w:t>
      </w:r>
      <w:r>
        <w:rPr>
          <w:rStyle w:val="c9dxtc"/>
          <w:rFonts w:eastAsia="ＭＳ ゴシック;MS Gothic" w:cs="Arial" w:ascii="Century" w:hAnsi="Century"/>
          <w:color w:val="000000"/>
          <w:sz w:val="21"/>
          <w:szCs w:val="21"/>
        </w:rPr>
        <w:t>, 5520, 2024</w:t>
      </w:r>
      <w:r>
        <w:rPr>
          <w:rStyle w:val="c9dxtc"/>
          <w:rFonts w:eastAsia="ＭＳ ゴシック;MS Gothic" w:cs="Century" w:ascii="Century" w:hAnsi="Century"/>
          <w:color w:val="000000"/>
          <w:sz w:val="21"/>
          <w:szCs w:val="21"/>
        </w:rPr>
        <w:t xml:space="preserve"> </w:t>
      </w:r>
    </w:p>
    <w:p>
      <w:pPr>
        <w:pStyle w:val="zfr3q"/>
        <w:numPr>
          <w:ilvl w:val="0"/>
          <w:numId w:val="3"/>
        </w:numPr>
        <w:spacing w:before="0" w:after="280"/>
        <w:rPr>
          <w:rStyle w:val="c9dxtc"/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color w:val="000000"/>
          <w:sz w:val="21"/>
          <w:szCs w:val="21"/>
          <w:u w:val="single"/>
        </w:rPr>
        <w:t>N. Hanaki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, Y. Kayaba, J. Maekawa, H. Matsushima "Two Experiments on Trading Information Goods in a Network" </w:t>
      </w:r>
      <w:r>
        <w:rPr>
          <w:rStyle w:val="c9dxtc"/>
          <w:rFonts w:cs="Century" w:ascii="Century" w:hAnsi="Century"/>
          <w:i/>
          <w:iCs/>
          <w:color w:val="000000"/>
          <w:sz w:val="21"/>
          <w:szCs w:val="21"/>
        </w:rPr>
        <w:t xml:space="preserve">Games and Economic Behavior, 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>145, 1-18, 2024</w:t>
      </w:r>
    </w:p>
    <w:p>
      <w:pPr>
        <w:pStyle w:val="zfr3q"/>
        <w:numPr>
          <w:ilvl w:val="0"/>
          <w:numId w:val="3"/>
        </w:numPr>
        <w:spacing w:before="0" w:after="0"/>
        <w:rPr>
          <w:rStyle w:val="c9dxtc"/>
          <w:rFonts w:ascii="Century" w:hAnsi="Century" w:eastAsia="ＭＳ ゴシック;MS Gothic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</w:rPr>
        <w:t xml:space="preserve">B. Corgnet, C. Cornand, </w:t>
      </w:r>
      <w:r>
        <w:rPr>
          <w:rStyle w:val="c9dxtc"/>
          <w:rFonts w:cs="Century" w:ascii="Century" w:hAnsi="Century"/>
          <w:sz w:val="21"/>
          <w:szCs w:val="21"/>
          <w:u w:val="single"/>
        </w:rPr>
        <w:t>N. Hanaki</w:t>
      </w:r>
      <w:r>
        <w:rPr>
          <w:rStyle w:val="c9dxtc"/>
          <w:rFonts w:cs="Century" w:ascii="Century" w:hAnsi="Century"/>
          <w:sz w:val="21"/>
          <w:szCs w:val="21"/>
        </w:rPr>
        <w:t xml:space="preserve"> "Negative tail events, emotions, &amp; risk taking," </w:t>
      </w:r>
      <w:r>
        <w:rPr>
          <w:rStyle w:val="c9dxtc"/>
          <w:rFonts w:cs="Century" w:ascii="Century" w:hAnsi="Century"/>
          <w:i/>
          <w:iCs/>
          <w:sz w:val="21"/>
          <w:szCs w:val="21"/>
        </w:rPr>
        <w:t>Economic Journal</w:t>
      </w:r>
      <w:r>
        <w:rPr>
          <w:rStyle w:val="c9dxtc"/>
          <w:rFonts w:cs="Century" w:ascii="Century" w:hAnsi="Century"/>
          <w:sz w:val="21"/>
          <w:szCs w:val="21"/>
        </w:rPr>
        <w:t>, 134, 538-578, 2024</w:t>
      </w:r>
    </w:p>
    <w:p>
      <w:pPr>
        <w:pStyle w:val="zfr3q"/>
        <w:numPr>
          <w:ilvl w:val="0"/>
          <w:numId w:val="3"/>
        </w:numPr>
        <w:spacing w:before="0" w:after="0"/>
        <w:rPr>
          <w:rStyle w:val="c9dxtc"/>
          <w:rFonts w:ascii="Century" w:hAnsi="Century" w:eastAsia="ＭＳ ゴシック;MS Gothic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  <w:u w:val="single"/>
        </w:rPr>
        <w:t>N. Hanaki</w:t>
      </w:r>
      <w:r>
        <w:rPr>
          <w:rStyle w:val="c9dxtc"/>
          <w:rFonts w:cs="Century" w:ascii="Century" w:hAnsi="Century"/>
          <w:sz w:val="21"/>
          <w:szCs w:val="21"/>
        </w:rPr>
        <w:t>, C. Hommes D. Kopányi, A. Kopányi-Peuker, J. Tuinstra "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>Forecasting returns instead of prices exacerbates financial bubbles,</w:t>
      </w:r>
      <w:r>
        <w:rPr>
          <w:rStyle w:val="c9dxtc"/>
          <w:rFonts w:cs="Century" w:ascii="Century" w:hAnsi="Century"/>
          <w:sz w:val="21"/>
          <w:szCs w:val="21"/>
        </w:rPr>
        <w:t xml:space="preserve">" </w:t>
      </w:r>
      <w:r>
        <w:rPr>
          <w:rStyle w:val="c9dxtc"/>
          <w:rFonts w:cs="Century" w:ascii="Century" w:hAnsi="Century"/>
          <w:i/>
          <w:iCs/>
          <w:sz w:val="21"/>
          <w:szCs w:val="21"/>
        </w:rPr>
        <w:t xml:space="preserve">Experimental Economics, </w:t>
      </w:r>
      <w:r>
        <w:rPr>
          <w:rStyle w:val="c9dxtc"/>
          <w:rFonts w:cs="Century" w:ascii="Century" w:hAnsi="Century"/>
          <w:sz w:val="21"/>
          <w:szCs w:val="21"/>
        </w:rPr>
        <w:t>26, 1185-1213, 2023</w:t>
      </w:r>
    </w:p>
    <w:p>
      <w:pPr>
        <w:pStyle w:val="zfr3q"/>
        <w:numPr>
          <w:ilvl w:val="0"/>
          <w:numId w:val="3"/>
        </w:numPr>
        <w:spacing w:before="0" w:after="0"/>
        <w:rPr>
          <w:rStyle w:val="c9dxtc"/>
          <w:rFonts w:ascii="Century" w:hAnsi="Century" w:eastAsia="ＭＳ ゴシック;MS Gothic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</w:rPr>
        <w:t xml:space="preserve">M. Chessa, </w:t>
      </w:r>
      <w:r>
        <w:rPr>
          <w:rStyle w:val="c9dxtc"/>
          <w:rFonts w:cs="Century" w:ascii="Century" w:hAnsi="Century"/>
          <w:sz w:val="21"/>
          <w:szCs w:val="21"/>
          <w:u w:val="single"/>
        </w:rPr>
        <w:t>N.Hanaki</w:t>
      </w:r>
      <w:r>
        <w:rPr>
          <w:rStyle w:val="c9dxtc"/>
          <w:rFonts w:cs="Century" w:ascii="Century" w:hAnsi="Century"/>
          <w:sz w:val="21"/>
          <w:szCs w:val="21"/>
        </w:rPr>
        <w:t xml:space="preserve">, A. Lardon, T. Yamada "An Experiment on the Nash Program: Comparing Two Strategic Mechanisms Implementing the Shapley Value" </w:t>
      </w:r>
      <w:r>
        <w:rPr>
          <w:rStyle w:val="c9dxtc"/>
          <w:rFonts w:cs="Century" w:ascii="Century" w:hAnsi="Century"/>
          <w:i/>
          <w:iCs/>
          <w:sz w:val="21"/>
          <w:szCs w:val="21"/>
        </w:rPr>
        <w:t>Games and Economic Behavior</w:t>
      </w:r>
      <w:r>
        <w:rPr>
          <w:rStyle w:val="c9dxtc"/>
          <w:rFonts w:cs="Century" w:ascii="Century" w:hAnsi="Century"/>
          <w:sz w:val="21"/>
          <w:szCs w:val="21"/>
        </w:rPr>
        <w:t xml:space="preserve">, 141, 88-104, 2023 </w:t>
      </w:r>
    </w:p>
    <w:p>
      <w:pPr>
        <w:pStyle w:val="zfr3q"/>
        <w:numPr>
          <w:ilvl w:val="0"/>
          <w:numId w:val="3"/>
        </w:numPr>
        <w:spacing w:before="0" w:after="0"/>
        <w:ind w:hanging="348" w:start="348" w:end="0"/>
        <w:rPr>
          <w:rStyle w:val="c9dxtc"/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  <w:u w:val="single"/>
        </w:rPr>
        <w:t xml:space="preserve">N. Hanaki </w:t>
      </w:r>
      <w:r>
        <w:rPr>
          <w:rStyle w:val="c9dxtc"/>
          <w:rFonts w:cs="Century" w:ascii="Century" w:hAnsi="Century"/>
          <w:sz w:val="21"/>
          <w:szCs w:val="21"/>
        </w:rPr>
        <w:t xml:space="preserve">and A. I. Ozkes “Strategic Environment Effect and Communication” </w:t>
      </w:r>
      <w:r>
        <w:rPr>
          <w:rStyle w:val="c9dxtc"/>
          <w:rFonts w:cs="Century" w:ascii="Century" w:hAnsi="Century"/>
          <w:i/>
          <w:iCs/>
          <w:sz w:val="21"/>
          <w:szCs w:val="21"/>
        </w:rPr>
        <w:t xml:space="preserve">Experimental Economics, </w:t>
      </w:r>
      <w:r>
        <w:rPr>
          <w:rStyle w:val="c9dxtc"/>
          <w:rFonts w:cs="Century" w:ascii="Century" w:hAnsi="Century"/>
          <w:sz w:val="21"/>
          <w:szCs w:val="21"/>
        </w:rPr>
        <w:t>26, 588-621, 2023</w:t>
      </w:r>
    </w:p>
    <w:p>
      <w:pPr>
        <w:pStyle w:val="Heading2"/>
        <w:rPr>
          <w:b/>
          <w:bCs/>
          <w:i w:val="false"/>
          <w:iCs w:val="false"/>
          <w:sz w:val="36"/>
          <w:szCs w:val="36"/>
        </w:rPr>
      </w:pPr>
      <w:r>
        <w:rPr>
          <w:rStyle w:val="c9dxtc"/>
          <w:b/>
          <w:bCs/>
          <w:i/>
          <w:iCs/>
        </w:rPr>
        <w:t>Honors, Distinctions, and Grants since 2016</w:t>
      </w:r>
    </w:p>
    <w:p>
      <w:pPr>
        <w:pStyle w:val="zfr3q"/>
        <w:numPr>
          <w:ilvl w:val="0"/>
          <w:numId w:val="2"/>
        </w:numPr>
        <w:spacing w:before="280" w:after="0"/>
        <w:ind w:hanging="426" w:start="426" w:end="0"/>
        <w:rPr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</w:rPr>
        <w:t xml:space="preserve">2024-2027 </w:t>
        <w:tab/>
        <w:t>JSPS Houga "</w:t>
      </w:r>
      <w:r>
        <w:rPr>
          <w:rStyle w:val="c9dxtc"/>
          <w:rFonts w:cs="Century" w:ascii="Century" w:hAnsi="Century"/>
          <w:color w:val="000000"/>
          <w:sz w:val="21"/>
          <w:szCs w:val="21"/>
        </w:rPr>
        <w:t xml:space="preserve">International comparison of the intrinsic value of participatory decision making </w:t>
      </w:r>
      <w:r>
        <w:rPr>
          <w:rStyle w:val="c9dxtc"/>
          <w:rFonts w:cs="Century" w:ascii="Century" w:hAnsi="Century"/>
          <w:sz w:val="21"/>
          <w:szCs w:val="21"/>
        </w:rPr>
        <w:t>" (PI)</w:t>
      </w:r>
    </w:p>
    <w:p>
      <w:pPr>
        <w:pStyle w:val="zfr3q"/>
        <w:numPr>
          <w:ilvl w:val="0"/>
          <w:numId w:val="2"/>
        </w:numPr>
        <w:spacing w:before="0" w:after="280"/>
        <w:rPr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</w:rPr>
        <w:t xml:space="preserve">2023-2027 </w:t>
        <w:tab/>
        <w:t>JSPS Kaken A "Experimental Analyses of Expectation Formation" (PI)</w:t>
      </w:r>
    </w:p>
    <w:p>
      <w:pPr>
        <w:pStyle w:val="zfr3q"/>
        <w:numPr>
          <w:ilvl w:val="0"/>
          <w:numId w:val="2"/>
        </w:numPr>
        <w:spacing w:before="0" w:after="280"/>
        <w:rPr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</w:rPr>
        <w:t xml:space="preserve">2019-2022 </w:t>
        <w:tab/>
        <w:t xml:space="preserve">JSPS. </w:t>
      </w:r>
      <w:r>
        <w:rPr>
          <w:rFonts w:cs="Century" w:ascii="Century" w:hAnsi="Century"/>
          <w:color w:val="000000"/>
          <w:sz w:val="21"/>
          <w:szCs w:val="21"/>
          <w:shd w:fill="FFFFFF" w:val="clear"/>
        </w:rPr>
        <w:t>Promotion of Joint International Research (Returning Researcher Development Research</w:t>
      </w:r>
      <w:r>
        <w:rPr>
          <w:rFonts w:ascii="Century" w:hAnsi="Century" w:cs="Century"/>
          <w:color w:val="000000"/>
          <w:sz w:val="21"/>
          <w:szCs w:val="21"/>
          <w:shd w:fill="FFFFFF" w:val="clear"/>
        </w:rPr>
        <w:t>）</w:t>
      </w:r>
      <w:r>
        <w:rPr>
          <w:rStyle w:val="c9dxtc"/>
          <w:rFonts w:cs="Century" w:ascii="Century" w:hAnsi="Century"/>
          <w:sz w:val="21"/>
          <w:szCs w:val="21"/>
        </w:rPr>
        <w:t>"Experimental and Behavioral Analyses for re-thinking Macroeconomics" (PI)</w:t>
      </w:r>
    </w:p>
    <w:p>
      <w:pPr>
        <w:pStyle w:val="zfr3q"/>
        <w:numPr>
          <w:ilvl w:val="0"/>
          <w:numId w:val="2"/>
        </w:numPr>
        <w:spacing w:before="0" w:after="280"/>
        <w:rPr>
          <w:rFonts w:ascii="Century" w:hAnsi="Century" w:cs="Century"/>
          <w:sz w:val="21"/>
          <w:szCs w:val="21"/>
        </w:rPr>
      </w:pPr>
      <w:r>
        <w:rPr>
          <w:rStyle w:val="c9dxtc"/>
          <w:rFonts w:cs="Century" w:ascii="Century" w:hAnsi="Century"/>
          <w:sz w:val="21"/>
          <w:szCs w:val="21"/>
        </w:rPr>
        <w:t xml:space="preserve">2016-2019 </w:t>
        <w:tab/>
        <w:t>ORA-Plus project: “Behavioral and Experimental Analyses on Macro-finance (BEAM)” (PI of the consortium of teams from FR, DL, NL, JP)</w:t>
      </w:r>
    </w:p>
    <w:p>
      <w:pPr>
        <w:pStyle w:val="zfr3q"/>
        <w:spacing w:before="280" w:after="280"/>
        <w:rPr>
          <w:rFonts w:ascii="Century" w:hAnsi="Century" w:cs="Century"/>
          <w:sz w:val="21"/>
          <w:szCs w:val="21"/>
        </w:rPr>
      </w:pPr>
      <w:r>
        <w:rPr>
          <w:rFonts w:cs="Century" w:ascii="Century" w:hAnsi="Century"/>
          <w:sz w:val="21"/>
          <w:szCs w:val="21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ＭＳ 明朝">
    <w:altName w:val="MS Mincho"/>
    <w:charset w:val="80"/>
    <w:family w:val="modern"/>
    <w:pitch w:val="default"/>
  </w:font>
  <w:font w:name="Wingdings">
    <w:charset w:val="00"/>
    <w:family w:val="decorative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ＭＳ Ｐゴシック">
    <w:charset w:val="80"/>
    <w:family w:val="swiss"/>
    <w:pitch w:val="variable"/>
  </w:font>
  <w:font w:name="Century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40" w:hanging="44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40" w:hanging="44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2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ＭＳ 明朝;MS Mincho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1440" w:start="1440" w:end="0"/>
      <w:outlineLvl w:val="0"/>
    </w:pPr>
    <w:rPr>
      <w:b/>
      <w:bCs/>
      <w:u w:val="single"/>
      <w:lang w:eastAsia="ja-JP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40" w:start="1440" w:end="0"/>
      <w:outlineLvl w:val="1"/>
    </w:pPr>
    <w:rPr>
      <w:i/>
      <w:iCs/>
      <w:lang w:eastAsia="ja-JP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  <w:sz w:val="22"/>
      <w:lang w:eastAsia="ja-JP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2"/>
      <w:lang w:eastAsia="ja-JP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lang w:eastAsia="ja-JP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Cs/>
      <w:i/>
      <w:iCs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720" w:start="0" w:end="0"/>
      <w:outlineLvl w:val="6"/>
    </w:pPr>
    <w:rPr>
      <w:i/>
      <w:iCs/>
    </w:rPr>
  </w:style>
  <w:style w:type="character" w:styleId="WW8Num2z0">
    <w:name w:val="WW8Num2z0"/>
    <w:qFormat/>
    <w:rPr/>
  </w:style>
  <w:style w:type="character" w:styleId="WW8Num6z1">
    <w:name w:val="WW8Num6z1"/>
    <w:qFormat/>
    <w:rPr>
      <w:rFonts w:ascii="ＭＳ 明朝;MS Mincho" w:hAnsi="ＭＳ 明朝;MS Mincho" w:eastAsia="ＭＳ 明朝;MS Mincho" w:cs="ＭＳ 明朝;MS Mincho"/>
    </w:rPr>
  </w:style>
  <w:style w:type="character" w:styleId="WW8Num8z0">
    <w:name w:val="WW8Num8z0"/>
    <w:qFormat/>
    <w:rPr>
      <w:rFonts w:ascii="Wingdings" w:hAnsi="Wingdings" w:cs="Wingdings"/>
      <w:sz w:val="20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21z0">
    <w:name w:val="WW8Num21z0"/>
    <w:qFormat/>
    <w:rPr/>
  </w:style>
  <w:style w:type="character" w:styleId="Style7">
    <w:name w:val="段落フォント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Style8">
    <w:name w:val="吹き出し (文字)"/>
    <w:qFormat/>
    <w:rPr>
      <w:rFonts w:ascii="ＭＳ 明朝;MS Mincho" w:hAnsi="ＭＳ 明朝;MS Mincho" w:eastAsia="ＭＳ 明朝;MS Mincho"/>
      <w:sz w:val="18"/>
      <w:szCs w:val="18"/>
    </w:rPr>
  </w:style>
  <w:style w:type="character" w:styleId="publication-collection">
    <w:name w:val="publication-collection"/>
    <w:qFormat/>
    <w:rPr/>
  </w:style>
  <w:style w:type="character" w:styleId="Style9">
    <w:name w:val="未解決のメンション"/>
    <w:qFormat/>
    <w:rPr>
      <w:color w:val="605E5C"/>
      <w:shd w:fill="E1DFDD" w:val="clear"/>
    </w:rPr>
  </w:style>
  <w:style w:type="character" w:styleId="c9dxtc">
    <w:name w:val="c9dxtc"/>
    <w:basedOn w:val="Style7"/>
    <w:qFormat/>
    <w:rPr/>
  </w:style>
  <w:style w:type="character" w:styleId="apple-tab-span">
    <w:name w:val="apple-tab-span"/>
    <w:basedOn w:val="Style7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Indent">
    <w:name w:val="Body Text Indent"/>
    <w:basedOn w:val="Normal"/>
    <w:pPr>
      <w:ind w:hanging="1440" w:start="1440" w:end="0"/>
    </w:pPr>
    <w:rPr>
      <w:sz w:val="22"/>
      <w:lang w:eastAsia="ja-JP"/>
    </w:rPr>
  </w:style>
  <w:style w:type="paragraph" w:styleId="2">
    <w:name w:val="本文インデント 2"/>
    <w:basedOn w:val="Normal"/>
    <w:qFormat/>
    <w:pPr>
      <w:ind w:hanging="1440" w:start="1440" w:end="0"/>
    </w:pPr>
    <w:rPr>
      <w:lang w:eastAsia="ja-JP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ＭＳ 明朝;MS Mincho" w:cs="Times New Roman"/>
      <w:color w:val="000000"/>
      <w:sz w:val="24"/>
      <w:szCs w:val="24"/>
      <w:lang w:eastAsia="ja-JP" w:bidi="ar-SA" w:val="en-US"/>
    </w:rPr>
  </w:style>
  <w:style w:type="paragraph" w:styleId="Style10">
    <w:name w:val="吹き出し"/>
    <w:basedOn w:val="Normal"/>
    <w:qFormat/>
    <w:pPr/>
    <w:rPr>
      <w:rFonts w:ascii="ＭＳ 明朝;MS Mincho" w:hAnsi="ＭＳ 明朝;MS Mincho" w:eastAsia="ＭＳ 明朝;MS Mincho"/>
      <w:sz w:val="18"/>
      <w:szCs w:val="18"/>
    </w:rPr>
  </w:style>
  <w:style w:type="paragraph" w:styleId="Web">
    <w:name w:val="標準 (Web)"/>
    <w:basedOn w:val="Normal"/>
    <w:qFormat/>
    <w:pPr>
      <w:spacing w:before="280" w:after="280"/>
    </w:pPr>
    <w:rPr>
      <w:rFonts w:ascii="ＭＳ Ｐゴシック" w:hAnsi="ＭＳ Ｐゴシック" w:eastAsia="ＭＳ Ｐゴシック" w:cs="ＭＳ Ｐゴシック"/>
      <w:lang w:eastAsia="ja-JP"/>
    </w:rPr>
  </w:style>
  <w:style w:type="paragraph" w:styleId="cdt4ke">
    <w:name w:val="cdt4ke"/>
    <w:basedOn w:val="Normal"/>
    <w:qFormat/>
    <w:pPr>
      <w:spacing w:before="280" w:after="280"/>
    </w:pPr>
    <w:rPr>
      <w:rFonts w:ascii="ＭＳ Ｐゴシック" w:hAnsi="ＭＳ Ｐゴシック" w:eastAsia="ＭＳ Ｐゴシック" w:cs="ＭＳ Ｐゴシック"/>
      <w:lang w:eastAsia="ja-JP"/>
    </w:rPr>
  </w:style>
  <w:style w:type="paragraph" w:styleId="zfr3q">
    <w:name w:val="zfr3q"/>
    <w:basedOn w:val="Normal"/>
    <w:qFormat/>
    <w:pPr>
      <w:spacing w:before="280" w:after="280"/>
    </w:pPr>
    <w:rPr>
      <w:rFonts w:ascii="ＭＳ Ｐゴシック" w:hAnsi="ＭＳ Ｐゴシック" w:eastAsia="ＭＳ Ｐゴシック" w:cs="ＭＳ Ｐゴシック"/>
      <w:lang w:eastAsia="ja-JP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2026-07-30T09:34:00Z</dcterms:created>
  <dc:creator>oscarpapa</dc:creator>
  <dc:description/>
  <cp:keywords/>
  <dc:language>en-US</dc:language>
  <cp:lastModifiedBy>花木　伸行</cp:lastModifiedBy>
  <cp:lastPrinted>2023-07-20T18:22:00Z</cp:lastPrinted>
  <dcterms:modified xsi:type="dcterms:W3CDTF">2026-08-24T05:38:00Z</dcterms:modified>
  <cp:revision>11</cp:revision>
  <dc:subject/>
  <dc:title>Nobuyuki Hanaki</dc:title>
</cp:coreProperties>
</file>