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E3470"/>
          <w:sz w:val="36"/>
          <w:szCs w:val="36"/>
        </w:rPr>
        <w:t xml:space="preserve">REPRIME GROUP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BC9C45"/>
          <w:sz w:val="28"/>
          <w:szCs w:val="28"/>
        </w:rPr>
        <w:t xml:space="preserve">API Folder — Complete Inventory &amp; Summary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Confidential — June 2026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E3470"/>
          <w:sz w:val="32"/>
          <w:szCs w:val="32"/>
        </w:rPr>
        <w:t xml:space="preserve">1. What This Folder Is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This folder is the complete research library and data engineering backbone for the RePrime Terminal — an institutional-grade CRE deal intelligence platform. It contains 40 markdown files, 1 Word document, 1 Excel workbook, and a full ETL extraction pipeline subfolder. Collectively, these files catalog 233+ tools, APIs, data feeds, connectors, and intelligence sources across every dimension of US commercial real estate acquisition, due diligence, underwriting, and distress surveillance.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folder represents months of deep research into free, freemium, and paid data sources that power (or will power) the Terminal's four-stage deal processing pipeline: CAPTURE → ANALYZE → CHALLENGE → DELIVER. It is the single canonical reference for what data exists, where it lives, how to call it, what it costs, and how it maps into the Terminal's architecture.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E3470"/>
          <w:sz w:val="32"/>
          <w:szCs w:val="32"/>
        </w:rPr>
        <w:t xml:space="preserve">2. File-by-File Inventory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E3470"/>
          <w:sz w:val="26"/>
          <w:szCs w:val="26"/>
        </w:rPr>
        <w:t xml:space="preserve">2A. Core Inventory &amp; Strategy Documents (5 files)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Terminal_Intelligence_Brief.md (108 lines) — </w:t>
      </w:r>
      <w:r>
        <w:rPr>
          <w:rFonts w:ascii="Calibri" w:cs="Calibri" w:eastAsia="Calibri" w:hAnsi="Calibri"/>
          <w:sz w:val="20"/>
          <w:szCs w:val="20"/>
        </w:rPr>
        <w:t xml:space="preserve">The executive overview of Terminal. Describes what Terminal is, lists 22 live connected data sources, 59 methodology files, the four-stage pipeline (Capture/Analyze/Challenge/Deliver), and the roadmap to 233 tools. This is the pitch document. Use it for investor presentations and internal alignment.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RePrime_Terminal_Master_Tools_APIs_Inventory (1).md (377 lines) — </w:t>
      </w:r>
      <w:r>
        <w:rPr>
          <w:rFonts w:ascii="Calibri" w:cs="Calibri" w:eastAsia="Calibri" w:hAnsi="Calibri"/>
          <w:sz w:val="20"/>
          <w:szCs w:val="20"/>
        </w:rPr>
        <w:t xml:space="preserve">The master ranked inventory of all 233 tools across three lists: List 1 = 138 AI tools &amp; platforms (Claude, Supabase, Dealpath, Trepp, CRED iQ, etc.), List 2 = 50 free/low-cost APIs under $1K/year, List 3 = 45 paid APIs over $1K/year. Each entry has DD Score (due diligence value 1-1000) and OPS Score (operational automation value 1-1000). The Top 50 master ranking combines both scores. This is the strategic priority list for integration sequencing.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Terminal_Master_Tool_Inventory (2).md (1,787 lines) — </w:t>
      </w:r>
      <w:r>
        <w:rPr>
          <w:rFonts w:ascii="Calibri" w:cs="Calibri" w:eastAsia="Calibri" w:hAnsi="Calibri"/>
          <w:sz w:val="20"/>
          <w:szCs w:val="20"/>
        </w:rPr>
        <w:t xml:space="preserve">A deeper version of the master inventory organized into 12 operational categories: Distress &amp; CMBS Surveillance, Property &amp; Ownership Intelligence, Market &amp; Demand Signals, Risk/Environmental/Safety, Zoning/Physical/Local Infrastructure, Underwriting &amp; Financial Modeling, Lease Abstraction &amp; Document Intelligence, Outreach/CRM, Investor Management &amp; Closing, Public Data APIs, Competitive Intelligence, and Connectors &amp; Data Pipes. 118 verified entries with full feature lists, URLs, API availability, and pricing.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Terminal_Master_Tool_Intelligence_Inventory.md (275 lines) — </w:t>
      </w:r>
      <w:r>
        <w:rPr>
          <w:rFonts w:ascii="Calibri" w:cs="Calibri" w:eastAsia="Calibri" w:hAnsi="Calibri"/>
          <w:sz w:val="20"/>
          <w:szCs w:val="20"/>
        </w:rPr>
        <w:t xml:space="preserve">A condensed version of the 118-tool inventory with summary tables per category. Use as a quick-reference companion to the larger file.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RePrime_Teams_Connector_Strategy.docx — </w:t>
      </w:r>
      <w:r>
        <w:rPr>
          <w:rFonts w:ascii="Calibri" w:cs="Calibri" w:eastAsia="Calibri" w:hAnsi="Calibri"/>
          <w:sz w:val="20"/>
          <w:szCs w:val="20"/>
        </w:rPr>
        <w:t xml:space="preserve">The Claude Teams connector activation plan. Stage 1: 17 directory connectors (Gmail, Drive, Calendar, Slack, DocuSign, Zapier, Apollo, Clay, FactSet, Moody's, PitchBook, etc.) with priority rankings. Stage 2: 10+ custom MCP connectors (Pipedrive, HubSpot, CoStar, CRED iQ, Aircall, n8n, etc.) with build-effort estimates. Maps every connector to a specific RePrime workflow. Critical planning document for operationalizing Claude across the team.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E3470"/>
          <w:sz w:val="26"/>
          <w:szCs w:val="26"/>
        </w:rPr>
        <w:t xml:space="preserve">2B. Sector-Specific Data Source Maps (20 files)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Each file below is a deep-dive reference cataloging every free or freemium data source for a specific CRE intelligence domain. Files include exact API endpoints, authentication requirements, CORS status, rate limits, update cadence, geographic granularity, and specific Terminal tile/widget mappings.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E3470" w:color="0E347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pct" w:w="25%"/>
            <w:shd w:fill="0E3470" w:color="0E347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pct" w:w="25%"/>
            <w:shd w:fill="0E3470" w:color="0E347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 Covered</w:t>
            </w:r>
          </w:p>
        </w:tc>
        <w:tc>
          <w:tcPr>
            <w:tcW w:type="pct" w:w="25%"/>
            <w:shd w:fill="0E3470" w:color="0E347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Sources Inside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Agency Multifamily &amp; Government Housing Data Layer (×2 copies)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406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Fannie/Freddie/HUD/FHA multifamily loan and housing data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MFLPD, DUS Disclose, AIMI, PMMS, HUD CHAS, HUD FMR, FHA insured mortgages, REAC scores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 Macro &amp; Sentiment Indicator Layer (×2 copies)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552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Daily/weekly/monthly/quarterly macro indicators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SOFR, Treasury yields, GDPNow, WEI, ISM PMI, JOLTS, CPI, UMich Sentiment, CFNAI, all Fed regional surveys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 CRE Capital Markets &amp; CMBS Data Source Map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388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CMBS surveillance, debt markets, capital flows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Trepp, CRED iQ, FRED CRE delinquency, MBA CREF, SLOOS, SEC EDGAR 8-K/10-K for REITs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Free &amp; Low-Cost CRE Market Intelligence Data Sources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685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Vacancy, rent, absorption proxies without CoStar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Census HVS, HUD USPS Vacancy, CBP, BPS, Zillow ZHVI/ZORI, RentCast, FRED CRE series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Free &amp; Freemium US Cap Rate Data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690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 rates, NOI, yield proxies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NCREIF NPI press releases, FRED Z.1 CRE price index, SLOOS, Green Street free reports, academic datasets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 Zoning, Entitlement &amp; Parcel Data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555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Zoning, parcels, entitlements for top 50 MSAs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Regrid, Zoneomics, NZA, FEMA NFHL, HUD OZ, city GIS portals (NYC/LA/Chicago/Dallas/Phoenix/Miami/etc.)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Free &amp; Freemium US Migration, Demographics &amp; Labor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420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Population flows, demographics, labor at MSA/ZIP level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Census ACS, IRS SOI migration, ACS PUMS, BLS QCEW, LEHD LODES, USPS change-of-address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Insurance Shock Intelligence Stack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489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Property insurance risk, climate hazard, premium data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First Street, FEMA NFIP, NOAA SLR, state DOI rate filings, Citizens Property Insurance, FAIR Plans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Industrial &amp; Logistics CRE Demand-Signal Layer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373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Warehouse/logistics demand signals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BTS freight, Census trade, EIA diesel, port TEU data, USDA cold storage, Amazon facility tracker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 Retail Pulse &amp; Office Return-to-Work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382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Retail foot traffic, RTO metrics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Census MARTS, Placer.ai (paid), Google Mobility (archived), Kastle BRI, BLS CES leisure sector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 Hospitality &amp; Travel Demand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383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Hotel, lodging, STR analytics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 (paid), AirDNA, TSA throughput, BTS T-100 air traffic, Census services survey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Healthcare CRE Datasources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186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Medical office, senior housing, healthcare RE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 MAP (paid), CMS Provider data, HRSA shortage areas, CDC PLACES, state CON databases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Power-Constrained Markets &amp; Data-Center Site Selection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459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center power, grid capacity, utility data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EIA 860/923 generators, FERC Form 1, ISO queue data (PJM/ERCOT/CAISO), utility rate schedules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 Economic Development Incentives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435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Tax incentives, OZ, NMTC, TIF, enterprise zones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HUD QCT/OZ, CDFI NMTC, state incentive databases, Good Jobs First subsidy tracker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Global Institutional Capital Flows Into US CRE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547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Cross-border capital tracking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BEA FDIUS, Treasury TIC, CFIUS, IMF CDIS, OECD FDI, MSCI RCA cross-border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Israeli Capital in US Real Estate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613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Israel-specific capital tracking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 20-F/13F filings, TASE disclosures, ISA filings, BOI data, Israeli pension/insurance allocations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Israeli Financial Data Engine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361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Israeli rates, FX, equities for investor context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BOI SDMX, TASE OpenAPI, CBS Lamas, data.gov.il CKAN, ILS-denominated bond yields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Free &amp; Freemium US Tenant Distress + CMBS Watchlist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312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Tenant credit, bankruptcy, CMBS loan watchlists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PACER, Inforuptcy, SEC EDGAR, BankruptcyWatch, Socrata municipal violations, Yelp Fusion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 Commercial Construction Pipeline &amp; Cost Data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549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Construction starts, permits, material costs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Census BPS, Dodge (paid), BLS PPI materials, ENR cost indices, OSHA inspection data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 Data Acquisition Cost Model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322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Build vs. buy cost analysis for scraping vs. API vs. vendor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Apify actors, Bright Data proxy costs, Fivetran ELT, Supabase storage, CoStar/ATTOM/Trepp pricing comparison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E3470"/>
          <w:sz w:val="26"/>
          <w:szCs w:val="26"/>
        </w:rPr>
        <w:t xml:space="preserve">2C. Technical Implementation &amp; Recipe Files (8 files)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E3470" w:color="0E347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pct" w:w="25%"/>
            <w:shd w:fill="0E3470" w:color="0E347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pct" w:w="25%"/>
            <w:shd w:fill="0E3470" w:color="0E347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pct" w:w="25%"/>
            <w:shd w:fill="0E3470" w:color="0E347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What's Inside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 API Endpoint Catalog: 100-Endpoint Master Reference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1,966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Copy-paste-ready API call reference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 exact API endpoints across 8 categories with full parameter schemas, JSON field names, auth, CORS, rate limits, and CRE use cases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 Intelligence Terminal — Production-Ready API Recipe Book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805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Working code recipes for live data feeds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GDELT news queries, Federal Register monitoring, SEC EDGAR REIT scraping, FOMC calendar parsing — with Python code examples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 Investment Platform Financial Ticker API Reference Guide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747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Bloomberg-style ticker bar endpoints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 live-tested financial data points: SOFR, EFFR, Treasury yields, USD/ILS, VIX, S&amp;P 500, Gold, BTC — with confirmed JSON field names and CORS status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RePrime Terminal — Global Capital Context Bridge Layer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559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FX, equities, REIT indices, rates API source book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Master reference table for FX (12 sources), equities/ETFs (11 sources), REIT indices, Treasury yields, SOFR, Israeli data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 Intelligence Terminal: Complete API Data Map (May 2026)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390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RapidAPI + direct vendor API marketplace scan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50+ APIs across property records, valuation, rent/lease, distress, demographics, rates — with pricing and free-tier limits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 Intelligence Terminal: Complete RSS/API/Regulatory Feed Directory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News ticker feed catalog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60+ RSS feeds, regulatory feeds, SEC/FDIC/Fed/FOMC feeds, brokerage research workarounds, CRE trade press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 Platform UI Library Guide: 12-Category Visual Widget Stack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468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 JavaScript library guide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40+ React/JS libraries for tickers, financial charts, gauges, maps, tables, countdowns, notifications — all MIT/Apache licensed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Open-Source GitHub Arsenal for a US CRE Intelligence Terminal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275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GitHub repo catalog for backend/frontend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Curated repos: fredapi, pygris, osmnx, MS Building Footprints, Overture Maps, lightweight-charts, deck.gl, Mapbox wrappers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E3470"/>
          <w:sz w:val="26"/>
          <w:szCs w:val="26"/>
        </w:rPr>
        <w:t xml:space="preserve">2D. Research Prompt &amp; Compass Files (2 files)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Terminal_Research_Prompts_May2026.md (950 lines) — </w:t>
      </w:r>
      <w:r>
        <w:rPr>
          <w:rFonts w:ascii="Calibri" w:cs="Calibri" w:eastAsia="Calibri" w:hAnsi="Calibri"/>
          <w:sz w:val="20"/>
          <w:szCs w:val="20"/>
        </w:rPr>
        <w:t xml:space="preserve">Five copy-paste-ready research prompts designed for Perplexity Pro Search, Claude Deep Research, and Gemini Advanced. Each prompt targets a specific data need: (1) Bloomberg-style ticker endpoint verification, (2) REIT/index data sources, (3) Israeli financial data integration, (4) CRE news/regulatory feed architecture, (5) UI widget library benchmarking. These prompts generated many of the other files in this folder.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compass_artifact (628 lines) — </w:t>
      </w:r>
      <w:r>
        <w:rPr>
          <w:rFonts w:ascii="Calibri" w:cs="Calibri" w:eastAsia="Calibri" w:hAnsi="Calibri"/>
          <w:sz w:val="20"/>
          <w:szCs w:val="20"/>
        </w:rPr>
        <w:t xml:space="preserve">A comprehensive US &amp; Israel Government API developer reference. 80+ free or freemium endpoints organized by category (economic, demographic, environmental, infrastructure, housing, energy, zoning, Israel-specific). Includes CORS status for browser-direct vs. server-proxy architecture decisions. Key finding: Census API is the single most important source, ArcGIS REST is the CORS-friendly best friend.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E3470"/>
          <w:sz w:val="26"/>
          <w:szCs w:val="26"/>
        </w:rPr>
        <w:t xml:space="preserve">2E. Extraction Pipeline (_extraction subfolder)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This subfolder contains a complete ETL (Extract-Transform-Load) pipeline that was built to systematically extract every data source mentioned across all 39 markdown files into a structured, deduplicated Excel registry.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EXTRACTION_PROTOCOL.md (170 lines) — </w:t>
      </w:r>
      <w:r>
        <w:rPr>
          <w:rFonts w:ascii="Calibri" w:cs="Calibri" w:eastAsia="Calibri" w:hAnsi="Calibri"/>
          <w:sz w:val="20"/>
          <w:szCs w:val="20"/>
        </w:rPr>
        <w:t xml:space="preserve">The governing protocol document. Defines a rigid 7-step extraction process with mandatory assertion gates at each step. Non-negotiable rules: no synthesis from memory, no external lookups, no sampling, fixed schema with 18 columns, conservation law (every record must land in Master/Raw/Review/Gaps — zero drops). This protocol is designed to ensure zero-loss extraction with full provenance.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Pipeline Scripts (11 .js files) — </w:t>
      </w:r>
      <w:r>
        <w:rPr>
          <w:rFonts w:ascii="Calibri" w:cs="Calibri" w:eastAsia="Calibri" w:hAnsi="Calibri"/>
          <w:sz w:val="20"/>
          <w:szCs w:val="20"/>
        </w:rPr>
        <w:t xml:space="preserve">Node.js scripts implementing each step: step0_manifest.js (file inventory), step0_5_detect.js (record structure detection), step1_extract_code.js (per-file extraction), step1_merge_subagent.js (merge parallel extractions), step2_reconcile.js (conservation proof), step3_classify.js (enum classification), step4_dedup.js (deduplication with provenance), step5_workbook.js (Excel generation), step5b_export_csvs.js (CSV exports), step6_slim_master.js (top-300 slim output), split_b64.js (base64 chunking for large files).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Output Data Files — </w:t>
      </w:r>
      <w:r>
        <w:rPr>
          <w:rFonts w:ascii="Calibri" w:cs="Calibri" w:eastAsia="Calibri" w:hAnsi="Calibri"/>
          <w:sz w:val="20"/>
          <w:szCs w:val="20"/>
        </w:rPr>
        <w:t xml:space="preserve">raw_extraction.csv (3,355 rows — every occurrence of every data source from every file), master.csv (2,717 unique deduplicated sources), review.csv (127 ambiguous records needing human review), gaps.csv (17,024 missing-field entries — the enrichment worklist), manifest.csv (39 files with SHA256 hashes and extraction counts). Plus 5 subagent CSVs from parallel extraction runs.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data_sources_registry.xlsx — </w:t>
      </w:r>
      <w:r>
        <w:rPr>
          <w:rFonts w:ascii="Calibri" w:cs="Calibri" w:eastAsia="Calibri" w:hAnsi="Calibri"/>
          <w:sz w:val="20"/>
          <w:szCs w:val="20"/>
        </w:rPr>
        <w:t xml:space="preserve">The final deliverable workbook with 5 tabs: Master (deduplicated), Raw (audit trail), Review (ambiguous), Gaps (enrichment worklist), and Manifest (coverage ledger). This is the structured, queryable version of everything in the markdown files. A copy also exists at the root level.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E3470"/>
          <w:sz w:val="32"/>
          <w:szCs w:val="32"/>
        </w:rPr>
        <w:t xml:space="preserve">3. How to Utilize This Folder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E3470"/>
          <w:sz w:val="26"/>
          <w:szCs w:val="26"/>
        </w:rPr>
        <w:t xml:space="preserve">3A. Immediate Operational Uses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Build the Terminal ticker bar: </w:t>
      </w:r>
      <w:r>
        <w:rPr>
          <w:rFonts w:ascii="Calibri" w:cs="Calibri" w:eastAsia="Calibri" w:hAnsi="Calibri"/>
          <w:sz w:val="20"/>
          <w:szCs w:val="20"/>
        </w:rPr>
        <w:t xml:space="preserve">Use the Financial Ticker API Reference Guide + Global Capital Context Bridge Layer to wire up the 15-20 live-updating data points (SOFR, Treasury curve, USD/ILS, VIX, S&amp;P 500, Gold, BTC) for the scrolling ticker on info.reprimeterminal.com.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Stand up the news feed: </w:t>
      </w:r>
      <w:r>
        <w:rPr>
          <w:rFonts w:ascii="Calibri" w:cs="Calibri" w:eastAsia="Calibri" w:hAnsi="Calibri"/>
          <w:sz w:val="20"/>
          <w:szCs w:val="20"/>
        </w:rPr>
        <w:t xml:space="preserve">Use the RSS/API/Regulatory Feed Directory to configure 30+ RSS feeds into the Terminal's news tile — CRE trade press, SEC filings, FOMC calendar, Federal Register alerts.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Activate Claude connectors: </w:t>
      </w:r>
      <w:r>
        <w:rPr>
          <w:rFonts w:ascii="Calibri" w:cs="Calibri" w:eastAsia="Calibri" w:hAnsi="Calibri"/>
          <w:sz w:val="20"/>
          <w:szCs w:val="20"/>
        </w:rPr>
        <w:t xml:space="preserve">Use the Teams Connector Strategy document to prioritize connector activation — Gmail/Drive/Calendar first (30 seconds each), then DocuSign and Zapier, then the custom MCP builds for Pipedrive and CRED iQ.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Sequence API integrations: </w:t>
      </w:r>
      <w:r>
        <w:rPr>
          <w:rFonts w:ascii="Calibri" w:cs="Calibri" w:eastAsia="Calibri" w:hAnsi="Calibri"/>
          <w:sz w:val="20"/>
          <w:szCs w:val="20"/>
        </w:rPr>
        <w:t xml:space="preserve">Use the Master Tools Inventory DD/OPS scores to prioritize which of the 233 tools to integrate next. Highest combined scores: CRED iQ (1800), Trepp (1700), CompStak (1600), ATTOM (1650), First Street (1500).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E3470"/>
          <w:sz w:val="26"/>
          <w:szCs w:val="26"/>
        </w:rPr>
        <w:t xml:space="preserve">3B. Development Uses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Copy-paste API calls: </w:t>
      </w:r>
      <w:r>
        <w:rPr>
          <w:rFonts w:ascii="Calibri" w:cs="Calibri" w:eastAsia="Calibri" w:hAnsi="Calibri"/>
          <w:sz w:val="20"/>
          <w:szCs w:val="20"/>
        </w:rPr>
        <w:t xml:space="preserve">The 100-Endpoint Catalog and Recipe Book contain exact, parameterized URLs that a developer can paste directly into fetch() calls. No guessing at field names or auth patterns.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Frontend widget selection: </w:t>
      </w:r>
      <w:r>
        <w:rPr>
          <w:rFonts w:ascii="Calibri" w:cs="Calibri" w:eastAsia="Calibri" w:hAnsi="Calibri"/>
          <w:sz w:val="20"/>
          <w:szCs w:val="20"/>
        </w:rPr>
        <w:t xml:space="preserve">The UI Library Guide benchmarks 40+ React libraries with bundle sizes, license types, and RTL support — critical for the Hebrew/English dual-language platform.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Backend repo selection: </w:t>
      </w:r>
      <w:r>
        <w:rPr>
          <w:rFonts w:ascii="Calibri" w:cs="Calibri" w:eastAsia="Calibri" w:hAnsi="Calibri"/>
          <w:sz w:val="20"/>
          <w:szCs w:val="20"/>
        </w:rPr>
        <w:t xml:space="preserve">The GitHub Arsenal catalogs battle-tested open-source repos (fredapi, osmnx, pygris, lightweight-charts) with star counts and last-commit dates.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Cost modeling: </w:t>
      </w:r>
      <w:r>
        <w:rPr>
          <w:rFonts w:ascii="Calibri" w:cs="Calibri" w:eastAsia="Calibri" w:hAnsi="Calibri"/>
          <w:sz w:val="20"/>
          <w:szCs w:val="20"/>
        </w:rPr>
        <w:t xml:space="preserve">The Data Acquisition Cost Model provides a detailed build-vs-buy analysis: scraping 300K listings via Apify + Bright Data proxies = $20K+/month vs. ATTOM API at $10K/year. The file proves the vendor API path is cheaper than DIY scraping for most data vectors.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E3470"/>
          <w:sz w:val="26"/>
          <w:szCs w:val="26"/>
        </w:rPr>
        <w:t xml:space="preserve">3C. Strategic &amp; Investor Uses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Investor pitch material: </w:t>
      </w:r>
      <w:r>
        <w:rPr>
          <w:rFonts w:ascii="Calibri" w:cs="Calibri" w:eastAsia="Calibri" w:hAnsi="Calibri"/>
          <w:sz w:val="20"/>
          <w:szCs w:val="20"/>
        </w:rPr>
        <w:t xml:space="preserve">The Terminal Intelligence Brief is a ready-made investor-facing document showing 22 live sources, 59 analytical models, $6.92/deal processing cost, and the roadmap to 233 tools.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Competitive moat documentation: </w:t>
      </w:r>
      <w:r>
        <w:rPr>
          <w:rFonts w:ascii="Calibri" w:cs="Calibri" w:eastAsia="Calibri" w:hAnsi="Calibri"/>
          <w:sz w:val="20"/>
          <w:szCs w:val="20"/>
        </w:rPr>
        <w:t xml:space="preserve">The sector-specific data source maps demonstrate depth of research that no competing platform has published. Each file shows that Terminal's architecture is grounded in verified, endpoint-level data access — not marketing claims.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3470"/>
          <w:sz w:val="20"/>
          <w:szCs w:val="20"/>
        </w:rPr>
        <w:t xml:space="preserve">Israeli investor context: </w:t>
      </w:r>
      <w:r>
        <w:rPr>
          <w:rFonts w:ascii="Calibri" w:cs="Calibri" w:eastAsia="Calibri" w:hAnsi="Calibri"/>
          <w:sz w:val="20"/>
          <w:szCs w:val="20"/>
        </w:rPr>
        <w:t xml:space="preserve">Three files specifically address the Israeli investor audience: Israeli capital tracking, Israeli financial data engine, and the Global Capital Bridge Layer with BOI/TASE/ILS data sources.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E3470"/>
          <w:sz w:val="32"/>
          <w:szCs w:val="32"/>
        </w:rPr>
        <w:t xml:space="preserve">4. Key Numbers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E3470" w:color="0E347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50%"/>
            <w:shd w:fill="0E3470" w:color="0E347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files in folder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 (40 .md + 1 .docx + 1 .xlsx)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lines of markdown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~20,800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data sources extracted (master.csv)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2,717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Raw source occurrences across all files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3,355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Records needing human review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127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Missing-field gaps to enrich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17,024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Tools in master ranked inventory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233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connected sources (today)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Extraction pipeline scripts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 Node.js files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 trade press RSS feeds cataloged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22+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City/county GIS portals documented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15+ (top MSAs)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Exact API endpoints documented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100+ (in endpoint catalog alone)</w:t>
            </w:r>
          </w:p>
        </w:tc>
      </w:tr>
    </w:tbl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0E3470"/>
          <w:sz w:val="32"/>
          <w:szCs w:val="32"/>
        </w:rPr>
        <w:t xml:space="preserve">5. Duplicates &amp; Cleanup Notes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Two files appear twice with identical SHA256 hashes: 'Agency Multifamily &amp; Government Housing Data Layer' and 'US Macro &amp; Sentiment Indicator Layer' each have a base version and a '(1)' copy. These are exact duplicates — one copy of each can be deleted. The data_sources_registry.xlsx exists at both the root and inside _extraction/ — the root copy is the final deliverable; the _extraction copy is the build artifact.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2026-06-01T14:22:41.603Z</dcterms:created>
  <dcterms:modified xsi:type="dcterms:W3CDTF">2026-06-01T14:22:41.603Z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