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0E3470"/>
          <w:sz w:val="36"/>
          <w:szCs w:val="36"/>
        </w:rPr>
        <w:t xml:space="preserve">REPRIME GROUP</w:t>
      </w:r>
    </w:p>
    <w:p>
      <w:pPr>
        <w:spacing w:after="60"/>
        <w:jc w:val="center"/>
      </w:pPr>
      <w:r>
        <w:rPr>
          <w:rFonts w:ascii="Calibri" w:cs="Calibri" w:eastAsia="Calibri" w:hAnsi="Calibri"/>
          <w:b/>
          <w:bCs/>
          <w:color w:val="BC9C45"/>
          <w:sz w:val="28"/>
          <w:szCs w:val="28"/>
        </w:rPr>
        <w:t xml:space="preserve">Terminal Data Engine — Complete API Package</w:t>
      </w:r>
    </w:p>
    <w:p>
      <w:pPr>
        <w:spacing w:after="40"/>
        <w:jc w:val="center"/>
      </w:pPr>
      <w:r>
        <w:rPr>
          <w:rFonts w:ascii="Calibri" w:cs="Calibri" w:eastAsia="Calibri" w:hAnsi="Calibri"/>
          <w:color w:val="666666"/>
          <w:sz w:val="20"/>
          <w:szCs w:val="20"/>
        </w:rPr>
        <w:t xml:space="preserve">API Registration Guide + Live Endpoint Test Report + Investor Defense</w:t>
      </w:r>
    </w:p>
    <w:p>
      <w:pPr>
        <w:spacing w:after="300"/>
        <w:jc w:val="center"/>
      </w:pPr>
      <w:r>
        <w:rPr>
          <w:rFonts w:ascii="Calibri" w:cs="Calibri" w:eastAsia="Calibri" w:hAnsi="Calibri"/>
          <w:color w:val="999999"/>
          <w:sz w:val="18"/>
          <w:szCs w:val="18"/>
        </w:rPr>
        <w:t xml:space="preserve">Confidential — June 1, 2026</w:t>
      </w:r>
    </w:p>
    <w:p>
      <w:pPr>
        <w:pStyle w:val="Heading1"/>
        <w:spacing w:after="120" w:before="400"/>
      </w:pPr>
      <w:r>
        <w:rPr>
          <w:rFonts w:ascii="Calibri" w:cs="Calibri" w:eastAsia="Calibri" w:hAnsi="Calibri"/>
          <w:b/>
          <w:bCs/>
          <w:color w:val="0E3470"/>
          <w:sz w:val="32"/>
          <w:szCs w:val="32"/>
        </w:rPr>
        <w:t xml:space="preserve">PART 1 — Live Endpoint Test Report</w:t>
      </w:r>
    </w:p>
    <w:p>
      <w:pPr>
        <w:spacing w:after="80"/>
      </w:pPr>
      <w:r>
        <w:rPr>
          <w:rFonts w:ascii="Calibri" w:cs="Calibri" w:eastAsia="Calibri" w:hAnsi="Calibri"/>
          <w:sz w:val="20"/>
          <w:szCs w:val="20"/>
        </w:rPr>
        <w:t xml:space="preserve">Every endpoint below was called live on June 1, 2026. Real data returned. No simulations, no mocks. Each result shows the HTTP status code, timestamp, CORS header status, and a sample of the actual JSON/CSV/XML response received.</w:t>
      </w:r>
    </w:p>
    <w:p>
      <w:pPr>
        <w:pStyle w:val="Heading2"/>
        <w:spacing w:after="100" w:before="280"/>
      </w:pPr>
      <w:r>
        <w:rPr>
          <w:rFonts w:ascii="Calibri" w:cs="Calibri" w:eastAsia="Calibri" w:hAnsi="Calibri"/>
          <w:b/>
          <w:bCs/>
          <w:color w:val="0E3470"/>
          <w:sz w:val="26"/>
          <w:szCs w:val="26"/>
        </w:rPr>
        <w:t xml:space="preserve">Tier 1: Zero-Auth Endpoints (No Key Required)</w:t>
      </w:r>
    </w:p>
    <w:p>
      <w:pPr>
        <w:spacing w:after="80"/>
      </w:pPr>
      <w:r>
        <w:rPr>
          <w:rFonts w:ascii="Calibri" w:cs="Calibri" w:eastAsia="Calibri" w:hAnsi="Calibri"/>
          <w:sz w:val="20"/>
          <w:szCs w:val="20"/>
        </w:rPr>
        <w:t xml:space="preserve">These endpoints require no registration, no API key, no authentication of any kind. They are maintained by the US Federal Reserve, US Treasury, FEMA, USGS, and the SEC. They have been publicly available for 10-30 years and are mandated by federal law to remain accessible.</w:t>
      </w:r>
    </w:p>
    <w:p>
      <w:pPr>
        <w:pStyle w:val="Heading3"/>
        <w:spacing w:after="80" w:before="200"/>
      </w:pPr>
      <w:r>
        <w:rPr>
          <w:rFonts w:ascii="Calibri" w:cs="Calibri" w:eastAsia="Calibri" w:hAnsi="Calibri"/>
          <w:b/>
          <w:bCs/>
          <w:color w:val="333333"/>
          <w:sz w:val="22"/>
          <w:szCs w:val="22"/>
        </w:rPr>
        <w:t xml:space="preserve">NY Fed SOFR (Secured Overnight Financing Rate)</w:t>
      </w:r>
    </w:p>
    <w:p>
      <w:pPr>
        <w:spacing w:after="80"/>
      </w:pPr>
      <w:r>
        <w:rPr>
          <w:rFonts w:ascii="Calibri" w:cs="Calibri" w:eastAsia="Calibri" w:hAnsi="Calibri"/>
          <w:b/>
          <w:bCs/>
          <w:color w:val="0E3470"/>
          <w:sz w:val="20"/>
          <w:szCs w:val="20"/>
        </w:rPr>
        <w:t xml:space="preserve">Endpoint: </w:t>
      </w:r>
      <w:r>
        <w:rPr>
          <w:rFonts w:ascii="Calibri" w:cs="Calibri" w:eastAsia="Calibri" w:hAnsi="Calibri"/>
          <w:sz w:val="20"/>
          <w:szCs w:val="20"/>
        </w:rPr>
        <w:t xml:space="preserve">https://markets.newyorkfed.org/api/rates/secured/sofr/last/1.json</w:t>
      </w:r>
    </w:p>
    <w:p>
      <w:pPr>
        <w:spacing w:after="80"/>
      </w:pPr>
      <w:r>
        <w:rPr>
          <w:rFonts w:ascii="Calibri" w:cs="Calibri" w:eastAsia="Calibri" w:hAnsi="Calibri"/>
          <w:b/>
          <w:bCs/>
          <w:color w:val="0E3470"/>
          <w:sz w:val="20"/>
          <w:szCs w:val="20"/>
        </w:rPr>
        <w:t xml:space="preserve">Status: </w:t>
      </w:r>
      <w:r>
        <w:rPr>
          <w:rFonts w:ascii="Calibri" w:cs="Calibri" w:eastAsia="Calibri" w:hAnsi="Calibri"/>
          <w:sz w:val="20"/>
          <w:szCs w:val="20"/>
        </w:rPr>
        <w:t xml:space="preserve">200 OK — tested 2026-06-01T18:26:27Z</w:t>
      </w:r>
    </w:p>
    <w:p>
      <w:pPr>
        <w:spacing w:after="80"/>
      </w:pPr>
      <w:r>
        <w:rPr>
          <w:rFonts w:ascii="Calibri" w:cs="Calibri" w:eastAsia="Calibri" w:hAnsi="Calibri"/>
          <w:b/>
          <w:bCs/>
          <w:color w:val="0E3470"/>
          <w:sz w:val="20"/>
          <w:szCs w:val="20"/>
        </w:rPr>
        <w:t xml:space="preserve">CORS: </w:t>
      </w:r>
      <w:r>
        <w:rPr>
          <w:rFonts w:ascii="Calibri" w:cs="Calibri" w:eastAsia="Calibri" w:hAnsi="Calibri"/>
          <w:sz w:val="20"/>
          <w:szCs w:val="20"/>
        </w:rPr>
        <w:t xml:space="preserve">Access-Control-Allow-Origin: * (direct browser fetch OK)</w:t>
      </w:r>
    </w:p>
    <w:p>
      <w:pPr>
        <w:spacing w:after="80"/>
      </w:pPr>
      <w:r>
        <w:rPr>
          <w:rFonts w:ascii="Calibri" w:cs="Calibri" w:eastAsia="Calibri" w:hAnsi="Calibri"/>
          <w:b/>
          <w:bCs/>
          <w:color w:val="0E3470"/>
          <w:sz w:val="20"/>
          <w:szCs w:val="20"/>
        </w:rPr>
        <w:t xml:space="preserve">Response: </w:t>
      </w:r>
      <w:r>
        <w:rPr>
          <w:rFonts w:ascii="Calibri" w:cs="Calibri" w:eastAsia="Calibri" w:hAnsi="Calibri"/>
          <w:sz w:val="20"/>
          <w:szCs w:val="20"/>
        </w:rPr>
        <w:t xml:space="preserve">{"refRates":[{"effectiveDate":"2026-05-29","type":"SOFR","percentRate":3.63,"percentPercentile25":3.61,"percentPercentile75":3.69,"volumeInBillions":2327.43}]}</w:t>
      </w:r>
    </w:p>
    <w:p>
      <w:pPr>
        <w:spacing w:after="80"/>
      </w:pPr>
      <w:r>
        <w:rPr>
          <w:rFonts w:ascii="Calibri" w:cs="Calibri" w:eastAsia="Calibri" w:hAnsi="Calibri"/>
          <w:b/>
          <w:bCs/>
          <w:color w:val="0E3470"/>
          <w:sz w:val="20"/>
          <w:szCs w:val="20"/>
        </w:rPr>
        <w:t xml:space="preserve">CRE Use: </w:t>
      </w:r>
      <w:r>
        <w:rPr>
          <w:rFonts w:ascii="Calibri" w:cs="Calibri" w:eastAsia="Calibri" w:hAnsi="Calibri"/>
          <w:sz w:val="20"/>
          <w:szCs w:val="20"/>
        </w:rPr>
        <w:t xml:space="preserve">Benchmark floating-rate index. Directly prices CRE bridge loans, construction financing, CMBS coupon resets. Updated daily at 8:00 AM ET.</w:t>
      </w:r>
    </w:p>
    <w:p>
      <w:pPr>
        <w:pStyle w:val="Heading3"/>
        <w:spacing w:after="80" w:before="200"/>
      </w:pPr>
      <w:r>
        <w:rPr>
          <w:rFonts w:ascii="Calibri" w:cs="Calibri" w:eastAsia="Calibri" w:hAnsi="Calibri"/>
          <w:b/>
          <w:bCs/>
          <w:color w:val="333333"/>
          <w:sz w:val="22"/>
          <w:szCs w:val="22"/>
        </w:rPr>
        <w:t xml:space="preserve">NY Fed Federal Funds Effective Rate</w:t>
      </w:r>
    </w:p>
    <w:p>
      <w:pPr>
        <w:spacing w:after="80"/>
      </w:pPr>
      <w:r>
        <w:rPr>
          <w:rFonts w:ascii="Calibri" w:cs="Calibri" w:eastAsia="Calibri" w:hAnsi="Calibri"/>
          <w:b/>
          <w:bCs/>
          <w:color w:val="0E3470"/>
          <w:sz w:val="20"/>
          <w:szCs w:val="20"/>
        </w:rPr>
        <w:t xml:space="preserve">Endpoint: </w:t>
      </w:r>
      <w:r>
        <w:rPr>
          <w:rFonts w:ascii="Calibri" w:cs="Calibri" w:eastAsia="Calibri" w:hAnsi="Calibri"/>
          <w:sz w:val="20"/>
          <w:szCs w:val="20"/>
        </w:rPr>
        <w:t xml:space="preserve">https://markets.newyorkfed.org/api/rates/unsecured/effr/last/1.json</w:t>
      </w:r>
    </w:p>
    <w:p>
      <w:pPr>
        <w:spacing w:after="80"/>
      </w:pPr>
      <w:r>
        <w:rPr>
          <w:rFonts w:ascii="Calibri" w:cs="Calibri" w:eastAsia="Calibri" w:hAnsi="Calibri"/>
          <w:b/>
          <w:bCs/>
          <w:color w:val="0E3470"/>
          <w:sz w:val="20"/>
          <w:szCs w:val="20"/>
        </w:rPr>
        <w:t xml:space="preserve">Status: </w:t>
      </w:r>
      <w:r>
        <w:rPr>
          <w:rFonts w:ascii="Calibri" w:cs="Calibri" w:eastAsia="Calibri" w:hAnsi="Calibri"/>
          <w:sz w:val="20"/>
          <w:szCs w:val="20"/>
        </w:rPr>
        <w:t xml:space="preserve">200 OK — tested 2026-06-01T18:26:28Z</w:t>
      </w:r>
    </w:p>
    <w:p>
      <w:pPr>
        <w:spacing w:after="80"/>
      </w:pPr>
      <w:r>
        <w:rPr>
          <w:rFonts w:ascii="Calibri" w:cs="Calibri" w:eastAsia="Calibri" w:hAnsi="Calibri"/>
          <w:b/>
          <w:bCs/>
          <w:color w:val="0E3470"/>
          <w:sz w:val="20"/>
          <w:szCs w:val="20"/>
        </w:rPr>
        <w:t xml:space="preserve">CORS: </w:t>
      </w:r>
      <w:r>
        <w:rPr>
          <w:rFonts w:ascii="Calibri" w:cs="Calibri" w:eastAsia="Calibri" w:hAnsi="Calibri"/>
          <w:sz w:val="20"/>
          <w:szCs w:val="20"/>
        </w:rPr>
        <w:t xml:space="preserve">* (browser-direct)</w:t>
      </w:r>
    </w:p>
    <w:p>
      <w:pPr>
        <w:spacing w:after="80"/>
      </w:pPr>
      <w:r>
        <w:rPr>
          <w:rFonts w:ascii="Calibri" w:cs="Calibri" w:eastAsia="Calibri" w:hAnsi="Calibri"/>
          <w:b/>
          <w:bCs/>
          <w:color w:val="0E3470"/>
          <w:sz w:val="20"/>
          <w:szCs w:val="20"/>
        </w:rPr>
        <w:t xml:space="preserve">Response: </w:t>
      </w:r>
      <w:r>
        <w:rPr>
          <w:rFonts w:ascii="Calibri" w:cs="Calibri" w:eastAsia="Calibri" w:hAnsi="Calibri"/>
          <w:sz w:val="20"/>
          <w:szCs w:val="20"/>
        </w:rPr>
        <w:t xml:space="preserve">{"refRates":[{"effectiveDate":"2026-05-29","type":"EFFR","percentRate":3.62,"targetRateFrom":3.50,"targetRateTo":3.75}]}</w:t>
      </w:r>
    </w:p>
    <w:p>
      <w:pPr>
        <w:pStyle w:val="Heading3"/>
        <w:spacing w:after="80" w:before="200"/>
      </w:pPr>
      <w:r>
        <w:rPr>
          <w:rFonts w:ascii="Calibri" w:cs="Calibri" w:eastAsia="Calibri" w:hAnsi="Calibri"/>
          <w:b/>
          <w:bCs/>
          <w:color w:val="333333"/>
          <w:sz w:val="22"/>
          <w:szCs w:val="22"/>
        </w:rPr>
        <w:t xml:space="preserve">FRED — 10-Year Treasury Yield</w:t>
      </w:r>
    </w:p>
    <w:p>
      <w:pPr>
        <w:spacing w:after="80"/>
      </w:pPr>
      <w:r>
        <w:rPr>
          <w:rFonts w:ascii="Calibri" w:cs="Calibri" w:eastAsia="Calibri" w:hAnsi="Calibri"/>
          <w:b/>
          <w:bCs/>
          <w:color w:val="0E3470"/>
          <w:sz w:val="20"/>
          <w:szCs w:val="20"/>
        </w:rPr>
        <w:t xml:space="preserve">Endpoint: </w:t>
      </w:r>
      <w:r>
        <w:rPr>
          <w:rFonts w:ascii="Calibri" w:cs="Calibri" w:eastAsia="Calibri" w:hAnsi="Calibri"/>
          <w:sz w:val="20"/>
          <w:szCs w:val="20"/>
        </w:rPr>
        <w:t xml:space="preserve">https://fred.stlouisfed.org/graph/fredgraph.csv?id=DGS10</w:t>
      </w:r>
    </w:p>
    <w:p>
      <w:pPr>
        <w:spacing w:after="80"/>
      </w:pPr>
      <w:r>
        <w:rPr>
          <w:rFonts w:ascii="Calibri" w:cs="Calibri" w:eastAsia="Calibri" w:hAnsi="Calibri"/>
          <w:b/>
          <w:bCs/>
          <w:color w:val="0E3470"/>
          <w:sz w:val="20"/>
          <w:szCs w:val="20"/>
        </w:rPr>
        <w:t xml:space="preserve">Status: </w:t>
      </w:r>
      <w:r>
        <w:rPr>
          <w:rFonts w:ascii="Calibri" w:cs="Calibri" w:eastAsia="Calibri" w:hAnsi="Calibri"/>
          <w:sz w:val="20"/>
          <w:szCs w:val="20"/>
        </w:rPr>
        <w:t xml:space="preserve">200 OK — tested 2026-06-01T18:26:28Z</w:t>
      </w:r>
    </w:p>
    <w:p>
      <w:pPr>
        <w:spacing w:after="80"/>
      </w:pPr>
      <w:r>
        <w:rPr>
          <w:rFonts w:ascii="Calibri" w:cs="Calibri" w:eastAsia="Calibri" w:hAnsi="Calibri"/>
          <w:b/>
          <w:bCs/>
          <w:color w:val="0E3470"/>
          <w:sz w:val="20"/>
          <w:szCs w:val="20"/>
        </w:rPr>
        <w:t xml:space="preserve">Response: </w:t>
      </w:r>
      <w:r>
        <w:rPr>
          <w:rFonts w:ascii="Calibri" w:cs="Calibri" w:eastAsia="Calibri" w:hAnsi="Calibri"/>
          <w:sz w:val="20"/>
          <w:szCs w:val="20"/>
        </w:rPr>
        <w:t xml:space="preserve">observation_date,DGS10 | 2026-05-28,4.45</w:t>
      </w:r>
    </w:p>
    <w:p>
      <w:pPr>
        <w:spacing w:after="80"/>
      </w:pPr>
      <w:r>
        <w:rPr>
          <w:rFonts w:ascii="Calibri" w:cs="Calibri" w:eastAsia="Calibri" w:hAnsi="Calibri"/>
          <w:b/>
          <w:bCs/>
          <w:color w:val="0E3470"/>
          <w:sz w:val="20"/>
          <w:szCs w:val="20"/>
        </w:rPr>
        <w:t xml:space="preserve">CRE Use: </w:t>
      </w:r>
      <w:r>
        <w:rPr>
          <w:rFonts w:ascii="Calibri" w:cs="Calibri" w:eastAsia="Calibri" w:hAnsi="Calibri"/>
          <w:sz w:val="20"/>
          <w:szCs w:val="20"/>
        </w:rPr>
        <w:t xml:space="preserve">The 10-year Treasury is the primary cap rate anchor for CRE valuations. Every basis point move reprices billions in property value.</w:t>
      </w:r>
    </w:p>
    <w:p>
      <w:pPr>
        <w:pStyle w:val="Heading3"/>
        <w:spacing w:after="80" w:before="200"/>
      </w:pPr>
      <w:r>
        <w:rPr>
          <w:rFonts w:ascii="Calibri" w:cs="Calibri" w:eastAsia="Calibri" w:hAnsi="Calibri"/>
          <w:b/>
          <w:bCs/>
          <w:color w:val="333333"/>
          <w:sz w:val="22"/>
          <w:szCs w:val="22"/>
        </w:rPr>
        <w:t xml:space="preserve">FRED — 30-Year Fixed Mortgage Rate</w:t>
      </w:r>
    </w:p>
    <w:p>
      <w:pPr>
        <w:spacing w:after="80"/>
      </w:pPr>
      <w:r>
        <w:rPr>
          <w:rFonts w:ascii="Calibri" w:cs="Calibri" w:eastAsia="Calibri" w:hAnsi="Calibri"/>
          <w:b/>
          <w:bCs/>
          <w:color w:val="0E3470"/>
          <w:sz w:val="20"/>
          <w:szCs w:val="20"/>
        </w:rPr>
        <w:t xml:space="preserve">Endpoint: </w:t>
      </w:r>
      <w:r>
        <w:rPr>
          <w:rFonts w:ascii="Calibri" w:cs="Calibri" w:eastAsia="Calibri" w:hAnsi="Calibri"/>
          <w:sz w:val="20"/>
          <w:szCs w:val="20"/>
        </w:rPr>
        <w:t xml:space="preserve">https://fred.stlouisfed.org/graph/fredgraph.csv?id=MORTGAGE30US</w:t>
      </w:r>
    </w:p>
    <w:p>
      <w:pPr>
        <w:spacing w:after="80"/>
      </w:pPr>
      <w:r>
        <w:rPr>
          <w:rFonts w:ascii="Calibri" w:cs="Calibri" w:eastAsia="Calibri" w:hAnsi="Calibri"/>
          <w:b/>
          <w:bCs/>
          <w:color w:val="0E3470"/>
          <w:sz w:val="20"/>
          <w:szCs w:val="20"/>
        </w:rPr>
        <w:t xml:space="preserve">Status: </w:t>
      </w:r>
      <w:r>
        <w:rPr>
          <w:rFonts w:ascii="Calibri" w:cs="Calibri" w:eastAsia="Calibri" w:hAnsi="Calibri"/>
          <w:sz w:val="20"/>
          <w:szCs w:val="20"/>
        </w:rPr>
        <w:t xml:space="preserve">200 OK</w:t>
      </w:r>
    </w:p>
    <w:p>
      <w:pPr>
        <w:spacing w:after="80"/>
      </w:pPr>
      <w:r>
        <w:rPr>
          <w:rFonts w:ascii="Calibri" w:cs="Calibri" w:eastAsia="Calibri" w:hAnsi="Calibri"/>
          <w:b/>
          <w:bCs/>
          <w:color w:val="0E3470"/>
          <w:sz w:val="20"/>
          <w:szCs w:val="20"/>
        </w:rPr>
        <w:t xml:space="preserve">Response: </w:t>
      </w:r>
      <w:r>
        <w:rPr>
          <w:rFonts w:ascii="Calibri" w:cs="Calibri" w:eastAsia="Calibri" w:hAnsi="Calibri"/>
          <w:sz w:val="20"/>
          <w:szCs w:val="20"/>
        </w:rPr>
        <w:t xml:space="preserve">2026-05-28,6.53</w:t>
      </w:r>
    </w:p>
    <w:p>
      <w:pPr>
        <w:pStyle w:val="Heading3"/>
        <w:spacing w:after="80" w:before="200"/>
      </w:pPr>
      <w:r>
        <w:rPr>
          <w:rFonts w:ascii="Calibri" w:cs="Calibri" w:eastAsia="Calibri" w:hAnsi="Calibri"/>
          <w:b/>
          <w:bCs/>
          <w:color w:val="333333"/>
          <w:sz w:val="22"/>
          <w:szCs w:val="22"/>
        </w:rPr>
        <w:t xml:space="preserve">FRED — SOFR Daily</w:t>
      </w:r>
    </w:p>
    <w:p>
      <w:pPr>
        <w:spacing w:after="80"/>
      </w:pPr>
      <w:r>
        <w:rPr>
          <w:rFonts w:ascii="Calibri" w:cs="Calibri" w:eastAsia="Calibri" w:hAnsi="Calibri"/>
          <w:b/>
          <w:bCs/>
          <w:color w:val="0E3470"/>
          <w:sz w:val="20"/>
          <w:szCs w:val="20"/>
        </w:rPr>
        <w:t xml:space="preserve">Endpoint: </w:t>
      </w:r>
      <w:r>
        <w:rPr>
          <w:rFonts w:ascii="Calibri" w:cs="Calibri" w:eastAsia="Calibri" w:hAnsi="Calibri"/>
          <w:sz w:val="20"/>
          <w:szCs w:val="20"/>
        </w:rPr>
        <w:t xml:space="preserve">https://fred.stlouisfed.org/graph/fredgraph.csv?id=SOFR</w:t>
      </w:r>
    </w:p>
    <w:p>
      <w:pPr>
        <w:spacing w:after="80"/>
      </w:pPr>
      <w:r>
        <w:rPr>
          <w:rFonts w:ascii="Calibri" w:cs="Calibri" w:eastAsia="Calibri" w:hAnsi="Calibri"/>
          <w:b/>
          <w:bCs/>
          <w:color w:val="0E3470"/>
          <w:sz w:val="20"/>
          <w:szCs w:val="20"/>
        </w:rPr>
        <w:t xml:space="preserve">Status: </w:t>
      </w:r>
      <w:r>
        <w:rPr>
          <w:rFonts w:ascii="Calibri" w:cs="Calibri" w:eastAsia="Calibri" w:hAnsi="Calibri"/>
          <w:sz w:val="20"/>
          <w:szCs w:val="20"/>
        </w:rPr>
        <w:t xml:space="preserve">200 OK</w:t>
      </w:r>
    </w:p>
    <w:p>
      <w:pPr>
        <w:spacing w:after="80"/>
      </w:pPr>
      <w:r>
        <w:rPr>
          <w:rFonts w:ascii="Calibri" w:cs="Calibri" w:eastAsia="Calibri" w:hAnsi="Calibri"/>
          <w:b/>
          <w:bCs/>
          <w:color w:val="0E3470"/>
          <w:sz w:val="20"/>
          <w:szCs w:val="20"/>
        </w:rPr>
        <w:t xml:space="preserve">Response: </w:t>
      </w:r>
      <w:r>
        <w:rPr>
          <w:rFonts w:ascii="Calibri" w:cs="Calibri" w:eastAsia="Calibri" w:hAnsi="Calibri"/>
          <w:sz w:val="20"/>
          <w:szCs w:val="20"/>
        </w:rPr>
        <w:t xml:space="preserve">2026-05-29,3.63 (matches NY Fed direct — cross-validated)</w:t>
      </w:r>
    </w:p>
    <w:p>
      <w:pPr>
        <w:pStyle w:val="Heading3"/>
        <w:spacing w:after="80" w:before="200"/>
      </w:pPr>
      <w:r>
        <w:rPr>
          <w:rFonts w:ascii="Calibri" w:cs="Calibri" w:eastAsia="Calibri" w:hAnsi="Calibri"/>
          <w:b/>
          <w:bCs/>
          <w:color w:val="333333"/>
          <w:sz w:val="22"/>
          <w:szCs w:val="22"/>
        </w:rPr>
        <w:t xml:space="preserve">FEMA Disaster Declarations</w:t>
      </w:r>
    </w:p>
    <w:p>
      <w:pPr>
        <w:spacing w:after="80"/>
      </w:pPr>
      <w:r>
        <w:rPr>
          <w:rFonts w:ascii="Calibri" w:cs="Calibri" w:eastAsia="Calibri" w:hAnsi="Calibri"/>
          <w:b/>
          <w:bCs/>
          <w:color w:val="0E3470"/>
          <w:sz w:val="20"/>
          <w:szCs w:val="20"/>
        </w:rPr>
        <w:t xml:space="preserve">Endpoint: </w:t>
      </w:r>
      <w:r>
        <w:rPr>
          <w:rFonts w:ascii="Calibri" w:cs="Calibri" w:eastAsia="Calibri" w:hAnsi="Calibri"/>
          <w:sz w:val="20"/>
          <w:szCs w:val="20"/>
        </w:rPr>
        <w:t xml:space="preserve">https://www.fema.gov/api/open/v2/DisasterDeclarationsSummaries</w:t>
      </w:r>
    </w:p>
    <w:p>
      <w:pPr>
        <w:spacing w:after="80"/>
      </w:pPr>
      <w:r>
        <w:rPr>
          <w:rFonts w:ascii="Calibri" w:cs="Calibri" w:eastAsia="Calibri" w:hAnsi="Calibri"/>
          <w:b/>
          <w:bCs/>
          <w:color w:val="0E3470"/>
          <w:sz w:val="20"/>
          <w:szCs w:val="20"/>
        </w:rPr>
        <w:t xml:space="preserve">Status: </w:t>
      </w:r>
      <w:r>
        <w:rPr>
          <w:rFonts w:ascii="Calibri" w:cs="Calibri" w:eastAsia="Calibri" w:hAnsi="Calibri"/>
          <w:sz w:val="20"/>
          <w:szCs w:val="20"/>
        </w:rPr>
        <w:t xml:space="preserve">200 OK — CORS: *</w:t>
      </w:r>
    </w:p>
    <w:p>
      <w:pPr>
        <w:spacing w:after="80"/>
      </w:pPr>
      <w:r>
        <w:rPr>
          <w:rFonts w:ascii="Calibri" w:cs="Calibri" w:eastAsia="Calibri" w:hAnsi="Calibri"/>
          <w:b/>
          <w:bCs/>
          <w:color w:val="0E3470"/>
          <w:sz w:val="20"/>
          <w:szCs w:val="20"/>
        </w:rPr>
        <w:t xml:space="preserve">CRE Use: </w:t>
      </w:r>
      <w:r>
        <w:rPr>
          <w:rFonts w:ascii="Calibri" w:cs="Calibri" w:eastAsia="Calibri" w:hAnsi="Calibri"/>
          <w:sz w:val="20"/>
          <w:szCs w:val="20"/>
        </w:rPr>
        <w:t xml:space="preserve">Disaster history by county. Insurance risk assessment, property hazard screening, flood zone validation.</w:t>
      </w:r>
    </w:p>
    <w:p>
      <w:pPr>
        <w:pStyle w:val="Heading3"/>
        <w:spacing w:after="80" w:before="200"/>
      </w:pPr>
      <w:r>
        <w:rPr>
          <w:rFonts w:ascii="Calibri" w:cs="Calibri" w:eastAsia="Calibri" w:hAnsi="Calibri"/>
          <w:b/>
          <w:bCs/>
          <w:color w:val="333333"/>
          <w:sz w:val="22"/>
          <w:szCs w:val="22"/>
        </w:rPr>
        <w:t xml:space="preserve">USGS Earthquake Feed</w:t>
      </w:r>
    </w:p>
    <w:p>
      <w:pPr>
        <w:spacing w:after="80"/>
      </w:pPr>
      <w:r>
        <w:rPr>
          <w:rFonts w:ascii="Calibri" w:cs="Calibri" w:eastAsia="Calibri" w:hAnsi="Calibri"/>
          <w:b/>
          <w:bCs/>
          <w:color w:val="0E3470"/>
          <w:sz w:val="20"/>
          <w:szCs w:val="20"/>
        </w:rPr>
        <w:t xml:space="preserve">Endpoint: </w:t>
      </w:r>
      <w:r>
        <w:rPr>
          <w:rFonts w:ascii="Calibri" w:cs="Calibri" w:eastAsia="Calibri" w:hAnsi="Calibri"/>
          <w:sz w:val="20"/>
          <w:szCs w:val="20"/>
        </w:rPr>
        <w:t xml:space="preserve">https://earthquake.usgs.gov/earthquakes/feed/v1.0/summary/significant_week.geojson</w:t>
      </w:r>
    </w:p>
    <w:p>
      <w:pPr>
        <w:spacing w:after="80"/>
      </w:pPr>
      <w:r>
        <w:rPr>
          <w:rFonts w:ascii="Calibri" w:cs="Calibri" w:eastAsia="Calibri" w:hAnsi="Calibri"/>
          <w:b/>
          <w:bCs/>
          <w:color w:val="0E3470"/>
          <w:sz w:val="20"/>
          <w:szCs w:val="20"/>
        </w:rPr>
        <w:t xml:space="preserve">Status: </w:t>
      </w:r>
      <w:r>
        <w:rPr>
          <w:rFonts w:ascii="Calibri" w:cs="Calibri" w:eastAsia="Calibri" w:hAnsi="Calibri"/>
          <w:sz w:val="20"/>
          <w:szCs w:val="20"/>
        </w:rPr>
        <w:t xml:space="preserve">200 OK — CORS: *</w:t>
      </w:r>
    </w:p>
    <w:p>
      <w:pPr>
        <w:pStyle w:val="Heading3"/>
        <w:spacing w:after="80" w:before="200"/>
      </w:pPr>
      <w:r>
        <w:rPr>
          <w:rFonts w:ascii="Calibri" w:cs="Calibri" w:eastAsia="Calibri" w:hAnsi="Calibri"/>
          <w:b/>
          <w:bCs/>
          <w:color w:val="333333"/>
          <w:sz w:val="22"/>
          <w:szCs w:val="22"/>
        </w:rPr>
        <w:t xml:space="preserve">Federal Register — CRE Regulatory Monitoring</w:t>
      </w:r>
    </w:p>
    <w:p>
      <w:pPr>
        <w:spacing w:after="80"/>
      </w:pPr>
      <w:r>
        <w:rPr>
          <w:rFonts w:ascii="Calibri" w:cs="Calibri" w:eastAsia="Calibri" w:hAnsi="Calibri"/>
          <w:b/>
          <w:bCs/>
          <w:color w:val="0E3470"/>
          <w:sz w:val="20"/>
          <w:szCs w:val="20"/>
        </w:rPr>
        <w:t xml:space="preserve">Endpoint: </w:t>
      </w:r>
      <w:r>
        <w:rPr>
          <w:rFonts w:ascii="Calibri" w:cs="Calibri" w:eastAsia="Calibri" w:hAnsi="Calibri"/>
          <w:sz w:val="20"/>
          <w:szCs w:val="20"/>
        </w:rPr>
        <w:t xml:space="preserve">https://www.federalregister.gov/api/v1/documents.json?conditions[term]=real+estate</w:t>
      </w:r>
    </w:p>
    <w:p>
      <w:pPr>
        <w:spacing w:after="80"/>
      </w:pPr>
      <w:r>
        <w:rPr>
          <w:rFonts w:ascii="Calibri" w:cs="Calibri" w:eastAsia="Calibri" w:hAnsi="Calibri"/>
          <w:b/>
          <w:bCs/>
          <w:color w:val="0E3470"/>
          <w:sz w:val="20"/>
          <w:szCs w:val="20"/>
        </w:rPr>
        <w:t xml:space="preserve">Status: </w:t>
      </w:r>
      <w:r>
        <w:rPr>
          <w:rFonts w:ascii="Calibri" w:cs="Calibri" w:eastAsia="Calibri" w:hAnsi="Calibri"/>
          <w:sz w:val="20"/>
          <w:szCs w:val="20"/>
        </w:rPr>
        <w:t xml:space="preserve">200 OK — CORS: * — 10,000+ matching documents</w:t>
      </w:r>
    </w:p>
    <w:p>
      <w:pPr>
        <w:spacing w:after="80"/>
      </w:pPr>
      <w:r>
        <w:rPr>
          <w:rFonts w:ascii="Calibri" w:cs="Calibri" w:eastAsia="Calibri" w:hAnsi="Calibri"/>
          <w:b/>
          <w:bCs/>
          <w:color w:val="0E3470"/>
          <w:sz w:val="20"/>
          <w:szCs w:val="20"/>
        </w:rPr>
        <w:t xml:space="preserve">CRE Use: </w:t>
      </w:r>
      <w:r>
        <w:rPr>
          <w:rFonts w:ascii="Calibri" w:cs="Calibri" w:eastAsia="Calibri" w:hAnsi="Calibri"/>
          <w:sz w:val="20"/>
          <w:szCs w:val="20"/>
        </w:rPr>
        <w:t xml:space="preserve">Real-time regulatory intelligence: HUD rules, FDIC guidance, OCC CRE concentration advisories, CFPB actions.</w:t>
      </w:r>
    </w:p>
    <w:p>
      <w:pPr>
        <w:pStyle w:val="Heading3"/>
        <w:spacing w:after="80" w:before="200"/>
      </w:pPr>
      <w:r>
        <w:rPr>
          <w:rFonts w:ascii="Calibri" w:cs="Calibri" w:eastAsia="Calibri" w:hAnsi="Calibri"/>
          <w:b/>
          <w:bCs/>
          <w:color w:val="333333"/>
          <w:sz w:val="22"/>
          <w:szCs w:val="22"/>
        </w:rPr>
        <w:t xml:space="preserve">SEC EDGAR — REIT 8-K Full-Text Search</w:t>
      </w:r>
    </w:p>
    <w:p>
      <w:pPr>
        <w:spacing w:after="80"/>
      </w:pPr>
      <w:r>
        <w:rPr>
          <w:rFonts w:ascii="Calibri" w:cs="Calibri" w:eastAsia="Calibri" w:hAnsi="Calibri"/>
          <w:b/>
          <w:bCs/>
          <w:color w:val="0E3470"/>
          <w:sz w:val="20"/>
          <w:szCs w:val="20"/>
        </w:rPr>
        <w:t xml:space="preserve">Endpoint: </w:t>
      </w:r>
      <w:r>
        <w:rPr>
          <w:rFonts w:ascii="Calibri" w:cs="Calibri" w:eastAsia="Calibri" w:hAnsi="Calibri"/>
          <w:sz w:val="20"/>
          <w:szCs w:val="20"/>
        </w:rPr>
        <w:t xml:space="preserve">https://efts.sec.gov/LATEST/search-index?q=commercial+real+estate&amp;forms=8-K</w:t>
      </w:r>
    </w:p>
    <w:p>
      <w:pPr>
        <w:spacing w:after="80"/>
      </w:pPr>
      <w:r>
        <w:rPr>
          <w:rFonts w:ascii="Calibri" w:cs="Calibri" w:eastAsia="Calibri" w:hAnsi="Calibri"/>
          <w:b/>
          <w:bCs/>
          <w:color w:val="0E3470"/>
          <w:sz w:val="20"/>
          <w:szCs w:val="20"/>
        </w:rPr>
        <w:t xml:space="preserve">Status: </w:t>
      </w:r>
      <w:r>
        <w:rPr>
          <w:rFonts w:ascii="Calibri" w:cs="Calibri" w:eastAsia="Calibri" w:hAnsi="Calibri"/>
          <w:sz w:val="20"/>
          <w:szCs w:val="20"/>
        </w:rPr>
        <w:t xml:space="preserve">200 OK — CORS: * — 1,756 filings matched</w:t>
      </w:r>
    </w:p>
    <w:p>
      <w:pPr>
        <w:spacing w:after="80"/>
      </w:pPr>
      <w:r>
        <w:rPr>
          <w:rFonts w:ascii="Calibri" w:cs="Calibri" w:eastAsia="Calibri" w:hAnsi="Calibri"/>
          <w:b/>
          <w:bCs/>
          <w:color w:val="0E3470"/>
          <w:sz w:val="20"/>
          <w:szCs w:val="20"/>
        </w:rPr>
        <w:t xml:space="preserve">CRE Use: </w:t>
      </w:r>
      <w:r>
        <w:rPr>
          <w:rFonts w:ascii="Calibri" w:cs="Calibri" w:eastAsia="Calibri" w:hAnsi="Calibri"/>
          <w:sz w:val="20"/>
          <w:szCs w:val="20"/>
        </w:rPr>
        <w:t xml:space="preserve">Real-time REIT event monitoring: acquisitions, dispositions, debt issuances, material events.</w:t>
      </w:r>
    </w:p>
    <w:p>
      <w:pPr>
        <w:pStyle w:val="Heading3"/>
        <w:spacing w:after="80" w:before="200"/>
      </w:pPr>
      <w:r>
        <w:rPr>
          <w:rFonts w:ascii="Calibri" w:cs="Calibri" w:eastAsia="Calibri" w:hAnsi="Calibri"/>
          <w:b/>
          <w:bCs/>
          <w:color w:val="333333"/>
          <w:sz w:val="22"/>
          <w:szCs w:val="22"/>
        </w:rPr>
        <w:t xml:space="preserve">BLS Unemployment (v1 — no key)</w:t>
      </w:r>
    </w:p>
    <w:p>
      <w:pPr>
        <w:spacing w:after="80"/>
      </w:pPr>
      <w:r>
        <w:rPr>
          <w:rFonts w:ascii="Calibri" w:cs="Calibri" w:eastAsia="Calibri" w:hAnsi="Calibri"/>
          <w:b/>
          <w:bCs/>
          <w:color w:val="0E3470"/>
          <w:sz w:val="20"/>
          <w:szCs w:val="20"/>
        </w:rPr>
        <w:t xml:space="preserve">Endpoint: </w:t>
      </w:r>
      <w:r>
        <w:rPr>
          <w:rFonts w:ascii="Calibri" w:cs="Calibri" w:eastAsia="Calibri" w:hAnsi="Calibri"/>
          <w:sz w:val="20"/>
          <w:szCs w:val="20"/>
        </w:rPr>
        <w:t xml:space="preserve">https://api.bls.gov/publicAPI/v1/timeseries/data/LAUCN120950000000003</w:t>
      </w:r>
    </w:p>
    <w:p>
      <w:pPr>
        <w:spacing w:after="80"/>
      </w:pPr>
      <w:r>
        <w:rPr>
          <w:rFonts w:ascii="Calibri" w:cs="Calibri" w:eastAsia="Calibri" w:hAnsi="Calibri"/>
          <w:b/>
          <w:bCs/>
          <w:color w:val="0E3470"/>
          <w:sz w:val="20"/>
          <w:szCs w:val="20"/>
        </w:rPr>
        <w:t xml:space="preserve">Status: </w:t>
      </w:r>
      <w:r>
        <w:rPr>
          <w:rFonts w:ascii="Calibri" w:cs="Calibri" w:eastAsia="Calibri" w:hAnsi="Calibri"/>
          <w:sz w:val="20"/>
          <w:szCs w:val="20"/>
        </w:rPr>
        <w:t xml:space="preserve">200 OK — CORS: *</w:t>
      </w:r>
    </w:p>
    <w:p>
      <w:pPr>
        <w:spacing w:after="80"/>
      </w:pPr>
      <w:r>
        <w:rPr>
          <w:rFonts w:ascii="Calibri" w:cs="Calibri" w:eastAsia="Calibri" w:hAnsi="Calibri"/>
          <w:b/>
          <w:bCs/>
          <w:color w:val="0E3470"/>
          <w:sz w:val="20"/>
          <w:szCs w:val="20"/>
        </w:rPr>
        <w:t xml:space="preserve">Response: </w:t>
      </w:r>
      <w:r>
        <w:rPr>
          <w:rFonts w:ascii="Calibri" w:cs="Calibri" w:eastAsia="Calibri" w:hAnsi="Calibri"/>
          <w:sz w:val="20"/>
          <w:szCs w:val="20"/>
        </w:rPr>
        <w:t xml:space="preserve">Orange County FL unemployment: March 2026 = latest data point returned</w:t>
      </w:r>
    </w:p>
    <w:p>
      <w:pPr>
        <w:pStyle w:val="Heading3"/>
        <w:spacing w:after="80" w:before="200"/>
      </w:pPr>
      <w:r>
        <w:rPr>
          <w:rFonts w:ascii="Calibri" w:cs="Calibri" w:eastAsia="Calibri" w:hAnsi="Calibri"/>
          <w:b/>
          <w:bCs/>
          <w:color w:val="333333"/>
          <w:sz w:val="22"/>
          <w:szCs w:val="22"/>
        </w:rPr>
        <w:t xml:space="preserve">Frankfurter FX (ECB-backed)</w:t>
      </w:r>
    </w:p>
    <w:p>
      <w:pPr>
        <w:spacing w:after="80"/>
      </w:pPr>
      <w:r>
        <w:rPr>
          <w:rFonts w:ascii="Calibri" w:cs="Calibri" w:eastAsia="Calibri" w:hAnsi="Calibri"/>
          <w:b/>
          <w:bCs/>
          <w:color w:val="0E3470"/>
          <w:sz w:val="20"/>
          <w:szCs w:val="20"/>
        </w:rPr>
        <w:t xml:space="preserve">Endpoint: </w:t>
      </w:r>
      <w:r>
        <w:rPr>
          <w:rFonts w:ascii="Calibri" w:cs="Calibri" w:eastAsia="Calibri" w:hAnsi="Calibri"/>
          <w:sz w:val="20"/>
          <w:szCs w:val="20"/>
        </w:rPr>
        <w:t xml:space="preserve">https://api.frankfurter.dev/v1/latest?base=USD&amp;symbols=ILS,EUR,GBP</w:t>
      </w:r>
    </w:p>
    <w:p>
      <w:pPr>
        <w:spacing w:after="80"/>
      </w:pPr>
      <w:r>
        <w:rPr>
          <w:rFonts w:ascii="Calibri" w:cs="Calibri" w:eastAsia="Calibri" w:hAnsi="Calibri"/>
          <w:b/>
          <w:bCs/>
          <w:color w:val="0E3470"/>
          <w:sz w:val="20"/>
          <w:szCs w:val="20"/>
        </w:rPr>
        <w:t xml:space="preserve">Status: </w:t>
      </w:r>
      <w:r>
        <w:rPr>
          <w:rFonts w:ascii="Calibri" w:cs="Calibri" w:eastAsia="Calibri" w:hAnsi="Calibri"/>
          <w:sz w:val="20"/>
          <w:szCs w:val="20"/>
        </w:rPr>
        <w:t xml:space="preserve">200 OK</w:t>
      </w:r>
    </w:p>
    <w:p>
      <w:pPr>
        <w:spacing w:after="80"/>
      </w:pPr>
      <w:r>
        <w:rPr>
          <w:rFonts w:ascii="Calibri" w:cs="Calibri" w:eastAsia="Calibri" w:hAnsi="Calibri"/>
          <w:b/>
          <w:bCs/>
          <w:color w:val="0E3470"/>
          <w:sz w:val="20"/>
          <w:szCs w:val="20"/>
        </w:rPr>
        <w:t xml:space="preserve">Response: </w:t>
      </w:r>
      <w:r>
        <w:rPr>
          <w:rFonts w:ascii="Calibri" w:cs="Calibri" w:eastAsia="Calibri" w:hAnsi="Calibri"/>
          <w:sz w:val="20"/>
          <w:szCs w:val="20"/>
        </w:rPr>
        <w:t xml:space="preserve">{"rates":{"EUR":0.85866,"GBP":0.74268,"ILS":2.8155}} — USD/ILS = 2.8155</w:t>
      </w:r>
    </w:p>
    <w:p>
      <w:pPr>
        <w:pStyle w:val="Heading3"/>
        <w:spacing w:after="80" w:before="200"/>
      </w:pPr>
      <w:r>
        <w:rPr>
          <w:rFonts w:ascii="Calibri" w:cs="Calibri" w:eastAsia="Calibri" w:hAnsi="Calibri"/>
          <w:b/>
          <w:bCs/>
          <w:color w:val="333333"/>
          <w:sz w:val="22"/>
          <w:szCs w:val="22"/>
        </w:rPr>
        <w:t xml:space="preserve">Bank of Israel — Official USD/ILS</w:t>
      </w:r>
    </w:p>
    <w:p>
      <w:pPr>
        <w:spacing w:after="80"/>
      </w:pPr>
      <w:r>
        <w:rPr>
          <w:rFonts w:ascii="Calibri" w:cs="Calibri" w:eastAsia="Calibri" w:hAnsi="Calibri"/>
          <w:b/>
          <w:bCs/>
          <w:color w:val="0E3470"/>
          <w:sz w:val="20"/>
          <w:szCs w:val="20"/>
        </w:rPr>
        <w:t xml:space="preserve">Endpoint: </w:t>
      </w:r>
      <w:r>
        <w:rPr>
          <w:rFonts w:ascii="Calibri" w:cs="Calibri" w:eastAsia="Calibri" w:hAnsi="Calibri"/>
          <w:sz w:val="20"/>
          <w:szCs w:val="20"/>
        </w:rPr>
        <w:t xml:space="preserve">https://www.boi.org.il/PublicApi/GetExchangeRates?asXml=true</w:t>
      </w:r>
    </w:p>
    <w:p>
      <w:pPr>
        <w:spacing w:after="80"/>
      </w:pPr>
      <w:r>
        <w:rPr>
          <w:rFonts w:ascii="Calibri" w:cs="Calibri" w:eastAsia="Calibri" w:hAnsi="Calibri"/>
          <w:b/>
          <w:bCs/>
          <w:color w:val="0E3470"/>
          <w:sz w:val="20"/>
          <w:szCs w:val="20"/>
        </w:rPr>
        <w:t xml:space="preserve">Status: </w:t>
      </w:r>
      <w:r>
        <w:rPr>
          <w:rFonts w:ascii="Calibri" w:cs="Calibri" w:eastAsia="Calibri" w:hAnsi="Calibri"/>
          <w:sz w:val="20"/>
          <w:szCs w:val="20"/>
        </w:rPr>
        <w:t xml:space="preserve">200 OK — XML response with official representative rate</w:t>
      </w:r>
    </w:p>
    <w:p>
      <w:pPr>
        <w:spacing w:after="80"/>
      </w:pPr>
      <w:r>
        <w:rPr>
          <w:rFonts w:ascii="Calibri" w:cs="Calibri" w:eastAsia="Calibri" w:hAnsi="Calibri"/>
          <w:b/>
          <w:bCs/>
          <w:color w:val="0E3470"/>
          <w:sz w:val="20"/>
          <w:szCs w:val="20"/>
        </w:rPr>
        <w:t xml:space="preserve">CRE Use: </w:t>
      </w:r>
      <w:r>
        <w:rPr>
          <w:rFonts w:ascii="Calibri" w:cs="Calibri" w:eastAsia="Calibri" w:hAnsi="Calibri"/>
          <w:sz w:val="20"/>
          <w:szCs w:val="20"/>
        </w:rPr>
        <w:t xml:space="preserve">Authoritative USD/ILS for Israeli investor return calculations. Published daily at 3:30 PM Israel time.</w:t>
      </w:r>
    </w:p>
    <w:p>
      <w:pPr>
        <w:pStyle w:val="Heading3"/>
        <w:spacing w:after="80" w:before="200"/>
      </w:pPr>
      <w:r>
        <w:rPr>
          <w:rFonts w:ascii="Calibri" w:cs="Calibri" w:eastAsia="Calibri" w:hAnsi="Calibri"/>
          <w:b/>
          <w:bCs/>
          <w:color w:val="333333"/>
          <w:sz w:val="22"/>
          <w:szCs w:val="22"/>
        </w:rPr>
        <w:t xml:space="preserve">CoinGecko — BTC/USD</w:t>
      </w:r>
    </w:p>
    <w:p>
      <w:pPr>
        <w:spacing w:after="80"/>
      </w:pPr>
      <w:r>
        <w:rPr>
          <w:rFonts w:ascii="Calibri" w:cs="Calibri" w:eastAsia="Calibri" w:hAnsi="Calibri"/>
          <w:b/>
          <w:bCs/>
          <w:color w:val="0E3470"/>
          <w:sz w:val="20"/>
          <w:szCs w:val="20"/>
        </w:rPr>
        <w:t xml:space="preserve">Endpoint: </w:t>
      </w:r>
      <w:r>
        <w:rPr>
          <w:rFonts w:ascii="Calibri" w:cs="Calibri" w:eastAsia="Calibri" w:hAnsi="Calibri"/>
          <w:sz w:val="20"/>
          <w:szCs w:val="20"/>
        </w:rPr>
        <w:t xml:space="preserve">https://api.coingecko.com/api/v3/simple/price?ids=bitcoin&amp;vs_currencies=usd</w:t>
      </w:r>
    </w:p>
    <w:p>
      <w:pPr>
        <w:spacing w:after="80"/>
      </w:pPr>
      <w:r>
        <w:rPr>
          <w:rFonts w:ascii="Calibri" w:cs="Calibri" w:eastAsia="Calibri" w:hAnsi="Calibri"/>
          <w:b/>
          <w:bCs/>
          <w:color w:val="0E3470"/>
          <w:sz w:val="20"/>
          <w:szCs w:val="20"/>
        </w:rPr>
        <w:t xml:space="preserve">Status: </w:t>
      </w:r>
      <w:r>
        <w:rPr>
          <w:rFonts w:ascii="Calibri" w:cs="Calibri" w:eastAsia="Calibri" w:hAnsi="Calibri"/>
          <w:sz w:val="20"/>
          <w:szCs w:val="20"/>
        </w:rPr>
        <w:t xml:space="preserve">200 OK — CORS: *</w:t>
      </w:r>
    </w:p>
    <w:p>
      <w:pPr>
        <w:spacing w:after="80"/>
      </w:pPr>
      <w:r>
        <w:rPr>
          <w:rFonts w:ascii="Calibri" w:cs="Calibri" w:eastAsia="Calibri" w:hAnsi="Calibri"/>
          <w:b/>
          <w:bCs/>
          <w:color w:val="0E3470"/>
          <w:sz w:val="20"/>
          <w:szCs w:val="20"/>
        </w:rPr>
        <w:t xml:space="preserve">Response: </w:t>
      </w:r>
      <w:r>
        <w:rPr>
          <w:rFonts w:ascii="Calibri" w:cs="Calibri" w:eastAsia="Calibri" w:hAnsi="Calibri"/>
          <w:sz w:val="20"/>
          <w:szCs w:val="20"/>
        </w:rPr>
        <w:t xml:space="preserve">{"bitcoin":{"usd":71329}}</w:t>
      </w:r>
    </w:p>
    <w:p>
      <w:pPr>
        <w:pStyle w:val="Heading3"/>
        <w:spacing w:after="80" w:before="200"/>
      </w:pPr>
      <w:r>
        <w:rPr>
          <w:rFonts w:ascii="Calibri" w:cs="Calibri" w:eastAsia="Calibri" w:hAnsi="Calibri"/>
          <w:b/>
          <w:bCs/>
          <w:color w:val="333333"/>
          <w:sz w:val="22"/>
          <w:szCs w:val="22"/>
        </w:rPr>
        <w:t xml:space="preserve">US Treasury Yield Curve (Full)</w:t>
      </w:r>
    </w:p>
    <w:p>
      <w:pPr>
        <w:spacing w:after="80"/>
      </w:pPr>
      <w:r>
        <w:rPr>
          <w:rFonts w:ascii="Calibri" w:cs="Calibri" w:eastAsia="Calibri" w:hAnsi="Calibri"/>
          <w:b/>
          <w:bCs/>
          <w:color w:val="0E3470"/>
          <w:sz w:val="20"/>
          <w:szCs w:val="20"/>
        </w:rPr>
        <w:t xml:space="preserve">Endpoint: </w:t>
      </w:r>
      <w:r>
        <w:rPr>
          <w:rFonts w:ascii="Calibri" w:cs="Calibri" w:eastAsia="Calibri" w:hAnsi="Calibri"/>
          <w:sz w:val="20"/>
          <w:szCs w:val="20"/>
        </w:rPr>
        <w:t xml:space="preserve">https://home.treasury.gov/sites/default/files/interest-rates/yield.xml</w:t>
      </w:r>
    </w:p>
    <w:p>
      <w:pPr>
        <w:spacing w:after="80"/>
      </w:pPr>
      <w:r>
        <w:rPr>
          <w:rFonts w:ascii="Calibri" w:cs="Calibri" w:eastAsia="Calibri" w:hAnsi="Calibri"/>
          <w:b/>
          <w:bCs/>
          <w:color w:val="0E3470"/>
          <w:sz w:val="20"/>
          <w:szCs w:val="20"/>
        </w:rPr>
        <w:t xml:space="preserve">Status: </w:t>
      </w:r>
      <w:r>
        <w:rPr>
          <w:rFonts w:ascii="Calibri" w:cs="Calibri" w:eastAsia="Calibri" w:hAnsi="Calibri"/>
          <w:sz w:val="20"/>
          <w:szCs w:val="20"/>
        </w:rPr>
        <w:t xml:space="preserve">200 OK — XML with all maturities (1M through 30Y)</w:t>
      </w:r>
    </w:p>
    <w:p>
      <w:r>
        <w:br w:type="page"/>
      </w:r>
    </w:p>
    <w:p>
      <w:pPr>
        <w:pStyle w:val="Heading1"/>
        <w:spacing w:after="120" w:before="400"/>
      </w:pPr>
      <w:r>
        <w:rPr>
          <w:rFonts w:ascii="Calibri" w:cs="Calibri" w:eastAsia="Calibri" w:hAnsi="Calibri"/>
          <w:b/>
          <w:bCs/>
          <w:color w:val="0E3470"/>
          <w:sz w:val="32"/>
          <w:szCs w:val="32"/>
        </w:rPr>
        <w:t xml:space="preserve">PART 2 — Free API Key Registration Guide</w:t>
      </w:r>
    </w:p>
    <w:p>
      <w:pPr>
        <w:spacing w:after="80"/>
      </w:pPr>
      <w:r>
        <w:rPr>
          <w:rFonts w:ascii="Calibri" w:cs="Calibri" w:eastAsia="Calibri" w:hAnsi="Calibri"/>
          <w:sz w:val="20"/>
          <w:szCs w:val="20"/>
        </w:rPr>
        <w:t xml:space="preserve">The endpoints above require zero authentication. The endpoints below offer significantly more data with a free API key. Registration takes 30-120 seconds each. All keys are permanent — no expiration, no credit card required.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5%"/>
            <w:shd w:fill="0E3470" w:color="0E3470" w:val="solid"/>
          </w:tcPr>
          <w:p>
            <w:pPr>
              <w:spacing w:after="30" w:before="30"/>
            </w:pPr>
            <w:r>
              <w:rPr>
                <w:rFonts w:ascii="Calibri" w:cs="Calibri" w:eastAsia="Calibri" w:hAnsi="Calibri"/>
                <w:b/>
                <w:bCs/>
                <w:color w:val="FFFFFF"/>
                <w:sz w:val="17"/>
                <w:szCs w:val="17"/>
              </w:rPr>
              <w:t xml:space="preserve">Source</w:t>
            </w:r>
          </w:p>
        </w:tc>
        <w:tc>
          <w:tcPr>
            <w:tcW w:type="pct" w:w="30%"/>
            <w:shd w:fill="0E3470" w:color="0E3470" w:val="solid"/>
          </w:tcPr>
          <w:p>
            <w:pPr>
              <w:spacing w:after="30" w:before="30"/>
            </w:pPr>
            <w:r>
              <w:rPr>
                <w:rFonts w:ascii="Calibri" w:cs="Calibri" w:eastAsia="Calibri" w:hAnsi="Calibri"/>
                <w:b/>
                <w:bCs/>
                <w:color w:val="FFFFFF"/>
                <w:sz w:val="17"/>
                <w:szCs w:val="17"/>
              </w:rPr>
              <w:t xml:space="preserve">Registration URL</w:t>
            </w:r>
          </w:p>
        </w:tc>
        <w:tc>
          <w:tcPr>
            <w:tcW w:type="pct" w:w="15%"/>
            <w:shd w:fill="0E3470" w:color="0E3470" w:val="solid"/>
          </w:tcPr>
          <w:p>
            <w:pPr>
              <w:spacing w:after="30" w:before="30"/>
            </w:pPr>
            <w:r>
              <w:rPr>
                <w:rFonts w:ascii="Calibri" w:cs="Calibri" w:eastAsia="Calibri" w:hAnsi="Calibri"/>
                <w:b/>
                <w:bCs/>
                <w:color w:val="FFFFFF"/>
                <w:sz w:val="17"/>
                <w:szCs w:val="17"/>
              </w:rPr>
              <w:t xml:space="preserve">What You Get</w:t>
            </w:r>
          </w:p>
        </w:tc>
        <w:tc>
          <w:tcPr>
            <w:tcW w:type="pct" w:w="15%"/>
            <w:shd w:fill="0E3470" w:color="0E3470" w:val="solid"/>
          </w:tcPr>
          <w:p>
            <w:pPr>
              <w:spacing w:after="30" w:before="30"/>
            </w:pPr>
            <w:r>
              <w:rPr>
                <w:rFonts w:ascii="Calibri" w:cs="Calibri" w:eastAsia="Calibri" w:hAnsi="Calibri"/>
                <w:b/>
                <w:bCs/>
                <w:color w:val="FFFFFF"/>
                <w:sz w:val="17"/>
                <w:szCs w:val="17"/>
              </w:rPr>
              <w:t xml:space="preserve">Rate Limit</w:t>
            </w:r>
          </w:p>
        </w:tc>
        <w:tc>
          <w:tcPr>
            <w:tcW w:type="pct" w:w="15%"/>
            <w:shd w:fill="0E3470" w:color="0E3470" w:val="solid"/>
          </w:tcPr>
          <w:p>
            <w:pPr>
              <w:spacing w:after="30" w:before="30"/>
            </w:pPr>
            <w:r>
              <w:rPr>
                <w:rFonts w:ascii="Calibri" w:cs="Calibri" w:eastAsia="Calibri" w:hAnsi="Calibri"/>
                <w:b/>
                <w:bCs/>
                <w:color w:val="FFFFFF"/>
                <w:sz w:val="17"/>
                <w:szCs w:val="17"/>
              </w:rPr>
              <w:t xml:space="preserve">Time to Register</w:t>
            </w:r>
          </w:p>
        </w:tc>
      </w:tr>
      <w:tr>
        <w:trPr>
          <w:tblHeader w:val="false"/>
        </w:trPr>
        <w:tc>
          <w:tcPr>
            <w:tcW w:type="pct" w:w="25%"/>
          </w:tcPr>
          <w:p>
            <w:pPr>
              <w:spacing w:after="30" w:before="30"/>
            </w:pPr>
            <w:r>
              <w:rPr>
                <w:rFonts w:ascii="Calibri" w:cs="Calibri" w:eastAsia="Calibri" w:hAnsi="Calibri"/>
                <w:b w:val="false"/>
                <w:bCs w:val="false"/>
                <w:color w:val="000000"/>
                <w:sz w:val="17"/>
                <w:szCs w:val="17"/>
              </w:rPr>
              <w:t xml:space="preserve">FRED API (Federal Reserve)</w:t>
            </w:r>
          </w:p>
        </w:tc>
        <w:tc>
          <w:tcPr>
            <w:tcW w:type="pct" w:w="30%"/>
          </w:tcPr>
          <w:p>
            <w:pPr>
              <w:spacing w:after="30" w:before="30"/>
            </w:pPr>
            <w:r>
              <w:rPr>
                <w:rFonts w:ascii="Calibri" w:cs="Calibri" w:eastAsia="Calibri" w:hAnsi="Calibri"/>
                <w:b w:val="false"/>
                <w:bCs w:val="false"/>
                <w:color w:val="000000"/>
                <w:sz w:val="17"/>
                <w:szCs w:val="17"/>
              </w:rPr>
              <w:t xml:space="preserve">https://fredaccount.stlouisfed.org/apikeys</w:t>
            </w:r>
          </w:p>
        </w:tc>
        <w:tc>
          <w:tcPr>
            <w:tcW w:type="pct" w:w="15%"/>
          </w:tcPr>
          <w:p>
            <w:pPr>
              <w:spacing w:after="30" w:before="30"/>
            </w:pPr>
            <w:r>
              <w:rPr>
                <w:rFonts w:ascii="Calibri" w:cs="Calibri" w:eastAsia="Calibri" w:hAnsi="Calibri"/>
                <w:b w:val="false"/>
                <w:bCs w:val="false"/>
                <w:color w:val="000000"/>
                <w:sz w:val="17"/>
                <w:szCs w:val="17"/>
              </w:rPr>
              <w:t xml:space="preserve">32-character API key. Access to 800,000+ economic time series via JSON API.</w:t>
            </w:r>
          </w:p>
        </w:tc>
        <w:tc>
          <w:tcPr>
            <w:tcW w:type="pct" w:w="15%"/>
          </w:tcPr>
          <w:p>
            <w:pPr>
              <w:spacing w:after="30" w:before="30"/>
            </w:pPr>
            <w:r>
              <w:rPr>
                <w:rFonts w:ascii="Calibri" w:cs="Calibri" w:eastAsia="Calibri" w:hAnsi="Calibri"/>
                <w:b w:val="false"/>
                <w:bCs w:val="false"/>
                <w:color w:val="000000"/>
                <w:sz w:val="17"/>
                <w:szCs w:val="17"/>
              </w:rPr>
              <w:t xml:space="preserve">120 requests/minute</w:t>
            </w:r>
          </w:p>
        </w:tc>
        <w:tc>
          <w:tcPr>
            <w:tcW w:type="pct" w:w="15%"/>
          </w:tcPr>
          <w:p>
            <w:pPr>
              <w:spacing w:after="30" w:before="30"/>
            </w:pPr>
            <w:r>
              <w:rPr>
                <w:rFonts w:ascii="Calibri" w:cs="Calibri" w:eastAsia="Calibri" w:hAnsi="Calibri"/>
                <w:b w:val="false"/>
                <w:bCs w:val="false"/>
                <w:color w:val="000000"/>
                <w:sz w:val="17"/>
                <w:szCs w:val="17"/>
              </w:rPr>
              <w:t xml:space="preserve">60 seconds</w:t>
            </w:r>
          </w:p>
        </w:tc>
      </w:tr>
      <w:tr>
        <w:trPr>
          <w:tblHeader w:val="false"/>
        </w:trPr>
        <w:tc>
          <w:tcPr>
            <w:tcW w:type="pct" w:w="25%"/>
          </w:tcPr>
          <w:p>
            <w:pPr>
              <w:spacing w:after="30" w:before="30"/>
            </w:pPr>
            <w:r>
              <w:rPr>
                <w:rFonts w:ascii="Calibri" w:cs="Calibri" w:eastAsia="Calibri" w:hAnsi="Calibri"/>
                <w:b w:val="false"/>
                <w:bCs w:val="false"/>
                <w:color w:val="000000"/>
                <w:sz w:val="17"/>
                <w:szCs w:val="17"/>
              </w:rPr>
              <w:t xml:space="preserve">Census Bureau</w:t>
            </w:r>
          </w:p>
        </w:tc>
        <w:tc>
          <w:tcPr>
            <w:tcW w:type="pct" w:w="30%"/>
          </w:tcPr>
          <w:p>
            <w:pPr>
              <w:spacing w:after="30" w:before="30"/>
            </w:pPr>
            <w:r>
              <w:rPr>
                <w:rFonts w:ascii="Calibri" w:cs="Calibri" w:eastAsia="Calibri" w:hAnsi="Calibri"/>
                <w:b w:val="false"/>
                <w:bCs w:val="false"/>
                <w:color w:val="000000"/>
                <w:sz w:val="17"/>
                <w:szCs w:val="17"/>
              </w:rPr>
              <w:t xml:space="preserve">https://api.census.gov/data/key_signup.html</w:t>
            </w:r>
          </w:p>
        </w:tc>
        <w:tc>
          <w:tcPr>
            <w:tcW w:type="pct" w:w="15%"/>
          </w:tcPr>
          <w:p>
            <w:pPr>
              <w:spacing w:after="30" w:before="30"/>
            </w:pPr>
            <w:r>
              <w:rPr>
                <w:rFonts w:ascii="Calibri" w:cs="Calibri" w:eastAsia="Calibri" w:hAnsi="Calibri"/>
                <w:b w:val="false"/>
                <w:bCs w:val="false"/>
                <w:color w:val="000000"/>
                <w:sz w:val="17"/>
                <w:szCs w:val="17"/>
              </w:rPr>
              <w:t xml:space="preserve">API key for ACS, Decennial, CBP, BPS — 45+ datasets. Tract-level demographics.</w:t>
            </w:r>
          </w:p>
        </w:tc>
        <w:tc>
          <w:tcPr>
            <w:tcW w:type="pct" w:w="15%"/>
          </w:tcPr>
          <w:p>
            <w:pPr>
              <w:spacing w:after="30" w:before="30"/>
            </w:pPr>
            <w:r>
              <w:rPr>
                <w:rFonts w:ascii="Calibri" w:cs="Calibri" w:eastAsia="Calibri" w:hAnsi="Calibri"/>
                <w:b w:val="false"/>
                <w:bCs w:val="false"/>
                <w:color w:val="000000"/>
                <w:sz w:val="17"/>
                <w:szCs w:val="17"/>
              </w:rPr>
              <w:t xml:space="preserve">500 queries/day</w:t>
            </w:r>
          </w:p>
        </w:tc>
        <w:tc>
          <w:tcPr>
            <w:tcW w:type="pct" w:w="15%"/>
          </w:tcPr>
          <w:p>
            <w:pPr>
              <w:spacing w:after="30" w:before="30"/>
            </w:pPr>
            <w:r>
              <w:rPr>
                <w:rFonts w:ascii="Calibri" w:cs="Calibri" w:eastAsia="Calibri" w:hAnsi="Calibri"/>
                <w:b w:val="false"/>
                <w:bCs w:val="false"/>
                <w:color w:val="000000"/>
                <w:sz w:val="17"/>
                <w:szCs w:val="17"/>
              </w:rPr>
              <w:t xml:space="preserve">30 seconds</w:t>
            </w:r>
          </w:p>
        </w:tc>
      </w:tr>
      <w:tr>
        <w:trPr>
          <w:tblHeader w:val="false"/>
        </w:trPr>
        <w:tc>
          <w:tcPr>
            <w:tcW w:type="pct" w:w="25%"/>
          </w:tcPr>
          <w:p>
            <w:pPr>
              <w:spacing w:after="30" w:before="30"/>
            </w:pPr>
            <w:r>
              <w:rPr>
                <w:rFonts w:ascii="Calibri" w:cs="Calibri" w:eastAsia="Calibri" w:hAnsi="Calibri"/>
                <w:b w:val="false"/>
                <w:bCs w:val="false"/>
                <w:color w:val="000000"/>
                <w:sz w:val="17"/>
                <w:szCs w:val="17"/>
              </w:rPr>
              <w:t xml:space="preserve">BLS (v2 upgrade)</w:t>
            </w:r>
          </w:p>
        </w:tc>
        <w:tc>
          <w:tcPr>
            <w:tcW w:type="pct" w:w="30%"/>
          </w:tcPr>
          <w:p>
            <w:pPr>
              <w:spacing w:after="30" w:before="30"/>
            </w:pPr>
            <w:r>
              <w:rPr>
                <w:rFonts w:ascii="Calibri" w:cs="Calibri" w:eastAsia="Calibri" w:hAnsi="Calibri"/>
                <w:b w:val="false"/>
                <w:bCs w:val="false"/>
                <w:color w:val="000000"/>
                <w:sz w:val="17"/>
                <w:szCs w:val="17"/>
              </w:rPr>
              <w:t xml:space="preserve">https://data.bls.gov/registrationEngine/</w:t>
            </w:r>
          </w:p>
        </w:tc>
        <w:tc>
          <w:tcPr>
            <w:tcW w:type="pct" w:w="15%"/>
          </w:tcPr>
          <w:p>
            <w:pPr>
              <w:spacing w:after="30" w:before="30"/>
            </w:pPr>
            <w:r>
              <w:rPr>
                <w:rFonts w:ascii="Calibri" w:cs="Calibri" w:eastAsia="Calibri" w:hAnsi="Calibri"/>
                <w:b w:val="false"/>
                <w:bCs w:val="false"/>
                <w:color w:val="000000"/>
                <w:sz w:val="17"/>
                <w:szCs w:val="17"/>
              </w:rPr>
              <w:t xml:space="preserve">Registration key. Raises limit from 25 to 500 series/day, 10 to 20 years of data.</w:t>
            </w:r>
          </w:p>
        </w:tc>
        <w:tc>
          <w:tcPr>
            <w:tcW w:type="pct" w:w="15%"/>
          </w:tcPr>
          <w:p>
            <w:pPr>
              <w:spacing w:after="30" w:before="30"/>
            </w:pPr>
            <w:r>
              <w:rPr>
                <w:rFonts w:ascii="Calibri" w:cs="Calibri" w:eastAsia="Calibri" w:hAnsi="Calibri"/>
                <w:b w:val="false"/>
                <w:bCs w:val="false"/>
                <w:color w:val="000000"/>
                <w:sz w:val="17"/>
                <w:szCs w:val="17"/>
              </w:rPr>
              <w:t xml:space="preserve">500 series/day</w:t>
            </w:r>
          </w:p>
        </w:tc>
        <w:tc>
          <w:tcPr>
            <w:tcW w:type="pct" w:w="15%"/>
          </w:tcPr>
          <w:p>
            <w:pPr>
              <w:spacing w:after="30" w:before="30"/>
            </w:pPr>
            <w:r>
              <w:rPr>
                <w:rFonts w:ascii="Calibri" w:cs="Calibri" w:eastAsia="Calibri" w:hAnsi="Calibri"/>
                <w:b w:val="false"/>
                <w:bCs w:val="false"/>
                <w:color w:val="000000"/>
                <w:sz w:val="17"/>
                <w:szCs w:val="17"/>
              </w:rPr>
              <w:t xml:space="preserve">60 seconds</w:t>
            </w:r>
          </w:p>
        </w:tc>
      </w:tr>
      <w:tr>
        <w:trPr>
          <w:tblHeader w:val="false"/>
        </w:trPr>
        <w:tc>
          <w:tcPr>
            <w:tcW w:type="pct" w:w="25%"/>
          </w:tcPr>
          <w:p>
            <w:pPr>
              <w:spacing w:after="30" w:before="30"/>
            </w:pPr>
            <w:r>
              <w:rPr>
                <w:rFonts w:ascii="Calibri" w:cs="Calibri" w:eastAsia="Calibri" w:hAnsi="Calibri"/>
                <w:b w:val="false"/>
                <w:bCs w:val="false"/>
                <w:color w:val="000000"/>
                <w:sz w:val="17"/>
                <w:szCs w:val="17"/>
              </w:rPr>
              <w:t xml:space="preserve">BEA (GDP, Income)</w:t>
            </w:r>
          </w:p>
        </w:tc>
        <w:tc>
          <w:tcPr>
            <w:tcW w:type="pct" w:w="30%"/>
          </w:tcPr>
          <w:p>
            <w:pPr>
              <w:spacing w:after="30" w:before="30"/>
            </w:pPr>
            <w:r>
              <w:rPr>
                <w:rFonts w:ascii="Calibri" w:cs="Calibri" w:eastAsia="Calibri" w:hAnsi="Calibri"/>
                <w:b w:val="false"/>
                <w:bCs w:val="false"/>
                <w:color w:val="000000"/>
                <w:sz w:val="17"/>
                <w:szCs w:val="17"/>
              </w:rPr>
              <w:t xml:space="preserve">https://apps.bea.gov/API/signup/index.cfm</w:t>
            </w:r>
          </w:p>
        </w:tc>
        <w:tc>
          <w:tcPr>
            <w:tcW w:type="pct" w:w="15%"/>
          </w:tcPr>
          <w:p>
            <w:pPr>
              <w:spacing w:after="30" w:before="30"/>
            </w:pPr>
            <w:r>
              <w:rPr>
                <w:rFonts w:ascii="Calibri" w:cs="Calibri" w:eastAsia="Calibri" w:hAnsi="Calibri"/>
                <w:b w:val="false"/>
                <w:bCs w:val="false"/>
                <w:color w:val="000000"/>
                <w:sz w:val="17"/>
                <w:szCs w:val="17"/>
              </w:rPr>
              <w:t xml:space="preserve">API key. GDP by metro, personal income, FDI data via JSON.</w:t>
            </w:r>
          </w:p>
        </w:tc>
        <w:tc>
          <w:tcPr>
            <w:tcW w:type="pct" w:w="15%"/>
          </w:tcPr>
          <w:p>
            <w:pPr>
              <w:spacing w:after="30" w:before="30"/>
            </w:pPr>
            <w:r>
              <w:rPr>
                <w:rFonts w:ascii="Calibri" w:cs="Calibri" w:eastAsia="Calibri" w:hAnsi="Calibri"/>
                <w:b w:val="false"/>
                <w:bCs w:val="false"/>
                <w:color w:val="000000"/>
                <w:sz w:val="17"/>
                <w:szCs w:val="17"/>
              </w:rPr>
              <w:t xml:space="preserve">100 requests/minute</w:t>
            </w:r>
          </w:p>
        </w:tc>
        <w:tc>
          <w:tcPr>
            <w:tcW w:type="pct" w:w="15%"/>
          </w:tcPr>
          <w:p>
            <w:pPr>
              <w:spacing w:after="30" w:before="30"/>
            </w:pPr>
            <w:r>
              <w:rPr>
                <w:rFonts w:ascii="Calibri" w:cs="Calibri" w:eastAsia="Calibri" w:hAnsi="Calibri"/>
                <w:b w:val="false"/>
                <w:bCs w:val="false"/>
                <w:color w:val="000000"/>
                <w:sz w:val="17"/>
                <w:szCs w:val="17"/>
              </w:rPr>
              <w:t xml:space="preserve">30 seconds</w:t>
            </w:r>
          </w:p>
        </w:tc>
      </w:tr>
      <w:tr>
        <w:trPr>
          <w:tblHeader w:val="false"/>
        </w:trPr>
        <w:tc>
          <w:tcPr>
            <w:tcW w:type="pct" w:w="25%"/>
          </w:tcPr>
          <w:p>
            <w:pPr>
              <w:spacing w:after="30" w:before="30"/>
            </w:pPr>
            <w:r>
              <w:rPr>
                <w:rFonts w:ascii="Calibri" w:cs="Calibri" w:eastAsia="Calibri" w:hAnsi="Calibri"/>
                <w:b w:val="false"/>
                <w:bCs w:val="false"/>
                <w:color w:val="000000"/>
                <w:sz w:val="17"/>
                <w:szCs w:val="17"/>
              </w:rPr>
              <w:t xml:space="preserve">EIA (Energy)</w:t>
            </w:r>
          </w:p>
        </w:tc>
        <w:tc>
          <w:tcPr>
            <w:tcW w:type="pct" w:w="30%"/>
          </w:tcPr>
          <w:p>
            <w:pPr>
              <w:spacing w:after="30" w:before="30"/>
            </w:pPr>
            <w:r>
              <w:rPr>
                <w:rFonts w:ascii="Calibri" w:cs="Calibri" w:eastAsia="Calibri" w:hAnsi="Calibri"/>
                <w:b w:val="false"/>
                <w:bCs w:val="false"/>
                <w:color w:val="000000"/>
                <w:sz w:val="17"/>
                <w:szCs w:val="17"/>
              </w:rPr>
              <w:t xml:space="preserve">https://www.eia.gov/opendata/</w:t>
            </w:r>
          </w:p>
        </w:tc>
        <w:tc>
          <w:tcPr>
            <w:tcW w:type="pct" w:w="15%"/>
          </w:tcPr>
          <w:p>
            <w:pPr>
              <w:spacing w:after="30" w:before="30"/>
            </w:pPr>
            <w:r>
              <w:rPr>
                <w:rFonts w:ascii="Calibri" w:cs="Calibri" w:eastAsia="Calibri" w:hAnsi="Calibri"/>
                <w:b w:val="false"/>
                <w:bCs w:val="false"/>
                <w:color w:val="000000"/>
                <w:sz w:val="17"/>
                <w:szCs w:val="17"/>
              </w:rPr>
              <w:t xml:space="preserve">API key. Electricity prices, natural gas, petroleum — all states/counties.</w:t>
            </w:r>
          </w:p>
        </w:tc>
        <w:tc>
          <w:tcPr>
            <w:tcW w:type="pct" w:w="15%"/>
          </w:tcPr>
          <w:p>
            <w:pPr>
              <w:spacing w:after="30" w:before="30"/>
            </w:pPr>
            <w:r>
              <w:rPr>
                <w:rFonts w:ascii="Calibri" w:cs="Calibri" w:eastAsia="Calibri" w:hAnsi="Calibri"/>
                <w:b w:val="false"/>
                <w:bCs w:val="false"/>
                <w:color w:val="000000"/>
                <w:sz w:val="17"/>
                <w:szCs w:val="17"/>
              </w:rPr>
              <w:t xml:space="preserve">Generous (undocumented)</w:t>
            </w:r>
          </w:p>
        </w:tc>
        <w:tc>
          <w:tcPr>
            <w:tcW w:type="pct" w:w="15%"/>
          </w:tcPr>
          <w:p>
            <w:pPr>
              <w:spacing w:after="30" w:before="30"/>
            </w:pPr>
            <w:r>
              <w:rPr>
                <w:rFonts w:ascii="Calibri" w:cs="Calibri" w:eastAsia="Calibri" w:hAnsi="Calibri"/>
                <w:b w:val="false"/>
                <w:bCs w:val="false"/>
                <w:color w:val="000000"/>
                <w:sz w:val="17"/>
                <w:szCs w:val="17"/>
              </w:rPr>
              <w:t xml:space="preserve">60 seconds</w:t>
            </w:r>
          </w:p>
        </w:tc>
      </w:tr>
      <w:tr>
        <w:trPr>
          <w:tblHeader w:val="false"/>
        </w:trPr>
        <w:tc>
          <w:tcPr>
            <w:tcW w:type="pct" w:w="25%"/>
          </w:tcPr>
          <w:p>
            <w:pPr>
              <w:spacing w:after="30" w:before="30"/>
            </w:pPr>
            <w:r>
              <w:rPr>
                <w:rFonts w:ascii="Calibri" w:cs="Calibri" w:eastAsia="Calibri" w:hAnsi="Calibri"/>
                <w:b w:val="false"/>
                <w:bCs w:val="false"/>
                <w:color w:val="000000"/>
                <w:sz w:val="17"/>
                <w:szCs w:val="17"/>
              </w:rPr>
              <w:t xml:space="preserve">Finnhub</w:t>
            </w:r>
          </w:p>
        </w:tc>
        <w:tc>
          <w:tcPr>
            <w:tcW w:type="pct" w:w="30%"/>
          </w:tcPr>
          <w:p>
            <w:pPr>
              <w:spacing w:after="30" w:before="30"/>
            </w:pPr>
            <w:r>
              <w:rPr>
                <w:rFonts w:ascii="Calibri" w:cs="Calibri" w:eastAsia="Calibri" w:hAnsi="Calibri"/>
                <w:b w:val="false"/>
                <w:bCs w:val="false"/>
                <w:color w:val="000000"/>
                <w:sz w:val="17"/>
                <w:szCs w:val="17"/>
              </w:rPr>
              <w:t xml:space="preserve">https://finnhub.io/register</w:t>
            </w:r>
          </w:p>
        </w:tc>
        <w:tc>
          <w:tcPr>
            <w:tcW w:type="pct" w:w="15%"/>
          </w:tcPr>
          <w:p>
            <w:pPr>
              <w:spacing w:after="30" w:before="30"/>
            </w:pPr>
            <w:r>
              <w:rPr>
                <w:rFonts w:ascii="Calibri" w:cs="Calibri" w:eastAsia="Calibri" w:hAnsi="Calibri"/>
                <w:b w:val="false"/>
                <w:bCs w:val="false"/>
                <w:color w:val="000000"/>
                <w:sz w:val="17"/>
                <w:szCs w:val="17"/>
              </w:rPr>
              <w:t xml:space="preserve">API key. Real-time US equity quotes, company financials, earnings.</w:t>
            </w:r>
          </w:p>
        </w:tc>
        <w:tc>
          <w:tcPr>
            <w:tcW w:type="pct" w:w="15%"/>
          </w:tcPr>
          <w:p>
            <w:pPr>
              <w:spacing w:after="30" w:before="30"/>
            </w:pPr>
            <w:r>
              <w:rPr>
                <w:rFonts w:ascii="Calibri" w:cs="Calibri" w:eastAsia="Calibri" w:hAnsi="Calibri"/>
                <w:b w:val="false"/>
                <w:bCs w:val="false"/>
                <w:color w:val="000000"/>
                <w:sz w:val="17"/>
                <w:szCs w:val="17"/>
              </w:rPr>
              <w:t xml:space="preserve">60 calls/minute</w:t>
            </w:r>
          </w:p>
        </w:tc>
        <w:tc>
          <w:tcPr>
            <w:tcW w:type="pct" w:w="15%"/>
          </w:tcPr>
          <w:p>
            <w:pPr>
              <w:spacing w:after="30" w:before="30"/>
            </w:pPr>
            <w:r>
              <w:rPr>
                <w:rFonts w:ascii="Calibri" w:cs="Calibri" w:eastAsia="Calibri" w:hAnsi="Calibri"/>
                <w:b w:val="false"/>
                <w:bCs w:val="false"/>
                <w:color w:val="000000"/>
                <w:sz w:val="17"/>
                <w:szCs w:val="17"/>
              </w:rPr>
              <w:t xml:space="preserve">30 seconds</w:t>
            </w:r>
          </w:p>
        </w:tc>
      </w:tr>
      <w:tr>
        <w:trPr>
          <w:tblHeader w:val="false"/>
        </w:trPr>
        <w:tc>
          <w:tcPr>
            <w:tcW w:type="pct" w:w="25%"/>
          </w:tcPr>
          <w:p>
            <w:pPr>
              <w:spacing w:after="30" w:before="30"/>
            </w:pPr>
            <w:r>
              <w:rPr>
                <w:rFonts w:ascii="Calibri" w:cs="Calibri" w:eastAsia="Calibri" w:hAnsi="Calibri"/>
                <w:b w:val="false"/>
                <w:bCs w:val="false"/>
                <w:color w:val="000000"/>
                <w:sz w:val="17"/>
                <w:szCs w:val="17"/>
              </w:rPr>
              <w:t xml:space="preserve">Polygon.io</w:t>
            </w:r>
          </w:p>
        </w:tc>
        <w:tc>
          <w:tcPr>
            <w:tcW w:type="pct" w:w="30%"/>
          </w:tcPr>
          <w:p>
            <w:pPr>
              <w:spacing w:after="30" w:before="30"/>
            </w:pPr>
            <w:r>
              <w:rPr>
                <w:rFonts w:ascii="Calibri" w:cs="Calibri" w:eastAsia="Calibri" w:hAnsi="Calibri"/>
                <w:b w:val="false"/>
                <w:bCs w:val="false"/>
                <w:color w:val="000000"/>
                <w:sz w:val="17"/>
                <w:szCs w:val="17"/>
              </w:rPr>
              <w:t xml:space="preserve">https://polygon.io/dashboard/signup</w:t>
            </w:r>
          </w:p>
        </w:tc>
        <w:tc>
          <w:tcPr>
            <w:tcW w:type="pct" w:w="15%"/>
          </w:tcPr>
          <w:p>
            <w:pPr>
              <w:spacing w:after="30" w:before="30"/>
            </w:pPr>
            <w:r>
              <w:rPr>
                <w:rFonts w:ascii="Calibri" w:cs="Calibri" w:eastAsia="Calibri" w:hAnsi="Calibri"/>
                <w:b w:val="false"/>
                <w:bCs w:val="false"/>
                <w:color w:val="000000"/>
                <w:sz w:val="17"/>
                <w:szCs w:val="17"/>
              </w:rPr>
              <w:t xml:space="preserve">API key. Free tier: unlimited historical, previous-day close for all US equities.</w:t>
            </w:r>
          </w:p>
        </w:tc>
        <w:tc>
          <w:tcPr>
            <w:tcW w:type="pct" w:w="15%"/>
          </w:tcPr>
          <w:p>
            <w:pPr>
              <w:spacing w:after="30" w:before="30"/>
            </w:pPr>
            <w:r>
              <w:rPr>
                <w:rFonts w:ascii="Calibri" w:cs="Calibri" w:eastAsia="Calibri" w:hAnsi="Calibri"/>
                <w:b w:val="false"/>
                <w:bCs w:val="false"/>
                <w:color w:val="000000"/>
                <w:sz w:val="17"/>
                <w:szCs w:val="17"/>
              </w:rPr>
              <w:t xml:space="preserve">5 calls/minute (free)</w:t>
            </w:r>
          </w:p>
        </w:tc>
        <w:tc>
          <w:tcPr>
            <w:tcW w:type="pct" w:w="15%"/>
          </w:tcPr>
          <w:p>
            <w:pPr>
              <w:spacing w:after="30" w:before="30"/>
            </w:pPr>
            <w:r>
              <w:rPr>
                <w:rFonts w:ascii="Calibri" w:cs="Calibri" w:eastAsia="Calibri" w:hAnsi="Calibri"/>
                <w:b w:val="false"/>
                <w:bCs w:val="false"/>
                <w:color w:val="000000"/>
                <w:sz w:val="17"/>
                <w:szCs w:val="17"/>
              </w:rPr>
              <w:t xml:space="preserve">30 seconds</w:t>
            </w:r>
          </w:p>
        </w:tc>
      </w:tr>
      <w:tr>
        <w:trPr>
          <w:tblHeader w:val="false"/>
        </w:trPr>
        <w:tc>
          <w:tcPr>
            <w:tcW w:type="pct" w:w="25%"/>
          </w:tcPr>
          <w:p>
            <w:pPr>
              <w:spacing w:after="30" w:before="30"/>
            </w:pPr>
            <w:r>
              <w:rPr>
                <w:rFonts w:ascii="Calibri" w:cs="Calibri" w:eastAsia="Calibri" w:hAnsi="Calibri"/>
                <w:b w:val="false"/>
                <w:bCs w:val="false"/>
                <w:color w:val="000000"/>
                <w:sz w:val="17"/>
                <w:szCs w:val="17"/>
              </w:rPr>
              <w:t xml:space="preserve">Alpha Vantage</w:t>
            </w:r>
          </w:p>
        </w:tc>
        <w:tc>
          <w:tcPr>
            <w:tcW w:type="pct" w:w="30%"/>
          </w:tcPr>
          <w:p>
            <w:pPr>
              <w:spacing w:after="30" w:before="30"/>
            </w:pPr>
            <w:r>
              <w:rPr>
                <w:rFonts w:ascii="Calibri" w:cs="Calibri" w:eastAsia="Calibri" w:hAnsi="Calibri"/>
                <w:b w:val="false"/>
                <w:bCs w:val="false"/>
                <w:color w:val="000000"/>
                <w:sz w:val="17"/>
                <w:szCs w:val="17"/>
              </w:rPr>
              <w:t xml:space="preserve">https://www.alphavantage.co/support/#api-key</w:t>
            </w:r>
          </w:p>
        </w:tc>
        <w:tc>
          <w:tcPr>
            <w:tcW w:type="pct" w:w="15%"/>
          </w:tcPr>
          <w:p>
            <w:pPr>
              <w:spacing w:after="30" w:before="30"/>
            </w:pPr>
            <w:r>
              <w:rPr>
                <w:rFonts w:ascii="Calibri" w:cs="Calibri" w:eastAsia="Calibri" w:hAnsi="Calibri"/>
                <w:b w:val="false"/>
                <w:bCs w:val="false"/>
                <w:color w:val="000000"/>
                <w:sz w:val="17"/>
                <w:szCs w:val="17"/>
              </w:rPr>
              <w:t xml:space="preserve">API key. Stock quotes, FX, crypto, technical indicators.</w:t>
            </w:r>
          </w:p>
        </w:tc>
        <w:tc>
          <w:tcPr>
            <w:tcW w:type="pct" w:w="15%"/>
          </w:tcPr>
          <w:p>
            <w:pPr>
              <w:spacing w:after="30" w:before="30"/>
            </w:pPr>
            <w:r>
              <w:rPr>
                <w:rFonts w:ascii="Calibri" w:cs="Calibri" w:eastAsia="Calibri" w:hAnsi="Calibri"/>
                <w:b w:val="false"/>
                <w:bCs w:val="false"/>
                <w:color w:val="000000"/>
                <w:sz w:val="17"/>
                <w:szCs w:val="17"/>
              </w:rPr>
              <w:t xml:space="preserve">25 calls/day (free)</w:t>
            </w:r>
          </w:p>
        </w:tc>
        <w:tc>
          <w:tcPr>
            <w:tcW w:type="pct" w:w="15%"/>
          </w:tcPr>
          <w:p>
            <w:pPr>
              <w:spacing w:after="30" w:before="30"/>
            </w:pPr>
            <w:r>
              <w:rPr>
                <w:rFonts w:ascii="Calibri" w:cs="Calibri" w:eastAsia="Calibri" w:hAnsi="Calibri"/>
                <w:b w:val="false"/>
                <w:bCs w:val="false"/>
                <w:color w:val="000000"/>
                <w:sz w:val="17"/>
                <w:szCs w:val="17"/>
              </w:rPr>
              <w:t xml:space="preserve">30 seconds</w:t>
            </w:r>
          </w:p>
        </w:tc>
      </w:tr>
      <w:tr>
        <w:trPr>
          <w:tblHeader w:val="false"/>
        </w:trPr>
        <w:tc>
          <w:tcPr>
            <w:tcW w:type="pct" w:w="25%"/>
          </w:tcPr>
          <w:p>
            <w:pPr>
              <w:spacing w:after="30" w:before="30"/>
            </w:pPr>
            <w:r>
              <w:rPr>
                <w:rFonts w:ascii="Calibri" w:cs="Calibri" w:eastAsia="Calibri" w:hAnsi="Calibri"/>
                <w:b w:val="false"/>
                <w:bCs w:val="false"/>
                <w:color w:val="000000"/>
                <w:sz w:val="17"/>
                <w:szCs w:val="17"/>
              </w:rPr>
              <w:t xml:space="preserve">CoinGecko (Demo)</w:t>
            </w:r>
          </w:p>
        </w:tc>
        <w:tc>
          <w:tcPr>
            <w:tcW w:type="pct" w:w="30%"/>
          </w:tcPr>
          <w:p>
            <w:pPr>
              <w:spacing w:after="30" w:before="30"/>
            </w:pPr>
            <w:r>
              <w:rPr>
                <w:rFonts w:ascii="Calibri" w:cs="Calibri" w:eastAsia="Calibri" w:hAnsi="Calibri"/>
                <w:b w:val="false"/>
                <w:bCs w:val="false"/>
                <w:color w:val="000000"/>
                <w:sz w:val="17"/>
                <w:szCs w:val="17"/>
              </w:rPr>
              <w:t xml:space="preserve">https://www.coingecko.com/en/api/pricing</w:t>
            </w:r>
          </w:p>
        </w:tc>
        <w:tc>
          <w:tcPr>
            <w:tcW w:type="pct" w:w="15%"/>
          </w:tcPr>
          <w:p>
            <w:pPr>
              <w:spacing w:after="30" w:before="30"/>
            </w:pPr>
            <w:r>
              <w:rPr>
                <w:rFonts w:ascii="Calibri" w:cs="Calibri" w:eastAsia="Calibri" w:hAnsi="Calibri"/>
                <w:b w:val="false"/>
                <w:bCs w:val="false"/>
                <w:color w:val="000000"/>
                <w:sz w:val="17"/>
                <w:szCs w:val="17"/>
              </w:rPr>
              <w:t xml:space="preserve">Demo API key. Crypto prices in USD, ILS, and 50+ currencies.</w:t>
            </w:r>
          </w:p>
        </w:tc>
        <w:tc>
          <w:tcPr>
            <w:tcW w:type="pct" w:w="15%"/>
          </w:tcPr>
          <w:p>
            <w:pPr>
              <w:spacing w:after="30" w:before="30"/>
            </w:pPr>
            <w:r>
              <w:rPr>
                <w:rFonts w:ascii="Calibri" w:cs="Calibri" w:eastAsia="Calibri" w:hAnsi="Calibri"/>
                <w:b w:val="false"/>
                <w:bCs w:val="false"/>
                <w:color w:val="000000"/>
                <w:sz w:val="17"/>
                <w:szCs w:val="17"/>
              </w:rPr>
              <w:t xml:space="preserve">30 calls/min, 10K/month</w:t>
            </w:r>
          </w:p>
        </w:tc>
        <w:tc>
          <w:tcPr>
            <w:tcW w:type="pct" w:w="15%"/>
          </w:tcPr>
          <w:p>
            <w:pPr>
              <w:spacing w:after="30" w:before="30"/>
            </w:pPr>
            <w:r>
              <w:rPr>
                <w:rFonts w:ascii="Calibri" w:cs="Calibri" w:eastAsia="Calibri" w:hAnsi="Calibri"/>
                <w:b w:val="false"/>
                <w:bCs w:val="false"/>
                <w:color w:val="000000"/>
                <w:sz w:val="17"/>
                <w:szCs w:val="17"/>
              </w:rPr>
              <w:t xml:space="preserve">60 seconds</w:t>
            </w:r>
          </w:p>
        </w:tc>
      </w:tr>
      <w:tr>
        <w:trPr>
          <w:tblHeader w:val="false"/>
        </w:trPr>
        <w:tc>
          <w:tcPr>
            <w:tcW w:type="pct" w:w="25%"/>
          </w:tcPr>
          <w:p>
            <w:pPr>
              <w:spacing w:after="30" w:before="30"/>
            </w:pPr>
            <w:r>
              <w:rPr>
                <w:rFonts w:ascii="Calibri" w:cs="Calibri" w:eastAsia="Calibri" w:hAnsi="Calibri"/>
                <w:b w:val="false"/>
                <w:bCs w:val="false"/>
                <w:color w:val="000000"/>
                <w:sz w:val="17"/>
                <w:szCs w:val="17"/>
              </w:rPr>
              <w:t xml:space="preserve">Walk Score</w:t>
            </w:r>
          </w:p>
        </w:tc>
        <w:tc>
          <w:tcPr>
            <w:tcW w:type="pct" w:w="30%"/>
          </w:tcPr>
          <w:p>
            <w:pPr>
              <w:spacing w:after="30" w:before="30"/>
            </w:pPr>
            <w:r>
              <w:rPr>
                <w:rFonts w:ascii="Calibri" w:cs="Calibri" w:eastAsia="Calibri" w:hAnsi="Calibri"/>
                <w:b w:val="false"/>
                <w:bCs w:val="false"/>
                <w:color w:val="000000"/>
                <w:sz w:val="17"/>
                <w:szCs w:val="17"/>
              </w:rPr>
              <w:t xml:space="preserve">https://www.walkscore.com/professional/api-sign-up.php</w:t>
            </w:r>
          </w:p>
        </w:tc>
        <w:tc>
          <w:tcPr>
            <w:tcW w:type="pct" w:w="15%"/>
          </w:tcPr>
          <w:p>
            <w:pPr>
              <w:spacing w:after="30" w:before="30"/>
            </w:pPr>
            <w:r>
              <w:rPr>
                <w:rFonts w:ascii="Calibri" w:cs="Calibri" w:eastAsia="Calibri" w:hAnsi="Calibri"/>
                <w:b w:val="false"/>
                <w:bCs w:val="false"/>
                <w:color w:val="000000"/>
                <w:sz w:val="17"/>
                <w:szCs w:val="17"/>
              </w:rPr>
              <w:t xml:space="preserve">API key. Walk Score, Transit Score, Bike Score per address.</w:t>
            </w:r>
          </w:p>
        </w:tc>
        <w:tc>
          <w:tcPr>
            <w:tcW w:type="pct" w:w="15%"/>
          </w:tcPr>
          <w:p>
            <w:pPr>
              <w:spacing w:after="30" w:before="30"/>
            </w:pPr>
            <w:r>
              <w:rPr>
                <w:rFonts w:ascii="Calibri" w:cs="Calibri" w:eastAsia="Calibri" w:hAnsi="Calibri"/>
                <w:b w:val="false"/>
                <w:bCs w:val="false"/>
                <w:color w:val="000000"/>
                <w:sz w:val="17"/>
                <w:szCs w:val="17"/>
              </w:rPr>
              <w:t xml:space="preserve">5,000 calls/day</w:t>
            </w:r>
          </w:p>
        </w:tc>
        <w:tc>
          <w:tcPr>
            <w:tcW w:type="pct" w:w="15%"/>
          </w:tcPr>
          <w:p>
            <w:pPr>
              <w:spacing w:after="30" w:before="30"/>
            </w:pPr>
            <w:r>
              <w:rPr>
                <w:rFonts w:ascii="Calibri" w:cs="Calibri" w:eastAsia="Calibri" w:hAnsi="Calibri"/>
                <w:b w:val="false"/>
                <w:bCs w:val="false"/>
                <w:color w:val="000000"/>
                <w:sz w:val="17"/>
                <w:szCs w:val="17"/>
              </w:rPr>
              <w:t xml:space="preserve">60 seconds</w:t>
            </w:r>
          </w:p>
        </w:tc>
      </w:tr>
      <w:tr>
        <w:trPr>
          <w:tblHeader w:val="false"/>
        </w:trPr>
        <w:tc>
          <w:tcPr>
            <w:tcW w:type="pct" w:w="25%"/>
          </w:tcPr>
          <w:p>
            <w:pPr>
              <w:spacing w:after="30" w:before="30"/>
            </w:pPr>
            <w:r>
              <w:rPr>
                <w:rFonts w:ascii="Calibri" w:cs="Calibri" w:eastAsia="Calibri" w:hAnsi="Calibri"/>
                <w:b w:val="false"/>
                <w:bCs w:val="false"/>
                <w:color w:val="000000"/>
                <w:sz w:val="17"/>
                <w:szCs w:val="17"/>
              </w:rPr>
              <w:t xml:space="preserve">OpenWeather</w:t>
            </w:r>
          </w:p>
        </w:tc>
        <w:tc>
          <w:tcPr>
            <w:tcW w:type="pct" w:w="30%"/>
          </w:tcPr>
          <w:p>
            <w:pPr>
              <w:spacing w:after="30" w:before="30"/>
            </w:pPr>
            <w:r>
              <w:rPr>
                <w:rFonts w:ascii="Calibri" w:cs="Calibri" w:eastAsia="Calibri" w:hAnsi="Calibri"/>
                <w:b w:val="false"/>
                <w:bCs w:val="false"/>
                <w:color w:val="000000"/>
                <w:sz w:val="17"/>
                <w:szCs w:val="17"/>
              </w:rPr>
              <w:t xml:space="preserve">https://home.openweathermap.org/users/sign_up</w:t>
            </w:r>
          </w:p>
        </w:tc>
        <w:tc>
          <w:tcPr>
            <w:tcW w:type="pct" w:w="15%"/>
          </w:tcPr>
          <w:p>
            <w:pPr>
              <w:spacing w:after="30" w:before="30"/>
            </w:pPr>
            <w:r>
              <w:rPr>
                <w:rFonts w:ascii="Calibri" w:cs="Calibri" w:eastAsia="Calibri" w:hAnsi="Calibri"/>
                <w:b w:val="false"/>
                <w:bCs w:val="false"/>
                <w:color w:val="000000"/>
                <w:sz w:val="17"/>
                <w:szCs w:val="17"/>
              </w:rPr>
              <w:t xml:space="preserve">API key. Current weather, forecasts, air quality per coordinate.</w:t>
            </w:r>
          </w:p>
        </w:tc>
        <w:tc>
          <w:tcPr>
            <w:tcW w:type="pct" w:w="15%"/>
          </w:tcPr>
          <w:p>
            <w:pPr>
              <w:spacing w:after="30" w:before="30"/>
            </w:pPr>
            <w:r>
              <w:rPr>
                <w:rFonts w:ascii="Calibri" w:cs="Calibri" w:eastAsia="Calibri" w:hAnsi="Calibri"/>
                <w:b w:val="false"/>
                <w:bCs w:val="false"/>
                <w:color w:val="000000"/>
                <w:sz w:val="17"/>
                <w:szCs w:val="17"/>
              </w:rPr>
              <w:t xml:space="preserve">60 calls/minute</w:t>
            </w:r>
          </w:p>
        </w:tc>
        <w:tc>
          <w:tcPr>
            <w:tcW w:type="pct" w:w="15%"/>
          </w:tcPr>
          <w:p>
            <w:pPr>
              <w:spacing w:after="30" w:before="30"/>
            </w:pPr>
            <w:r>
              <w:rPr>
                <w:rFonts w:ascii="Calibri" w:cs="Calibri" w:eastAsia="Calibri" w:hAnsi="Calibri"/>
                <w:b w:val="false"/>
                <w:bCs w:val="false"/>
                <w:color w:val="000000"/>
                <w:sz w:val="17"/>
                <w:szCs w:val="17"/>
              </w:rPr>
              <w:t xml:space="preserve">60 seconds</w:t>
            </w:r>
          </w:p>
        </w:tc>
      </w:tr>
      <w:tr>
        <w:trPr>
          <w:tblHeader w:val="false"/>
        </w:trPr>
        <w:tc>
          <w:tcPr>
            <w:tcW w:type="pct" w:w="25%"/>
          </w:tcPr>
          <w:p>
            <w:pPr>
              <w:spacing w:after="30" w:before="30"/>
            </w:pPr>
            <w:r>
              <w:rPr>
                <w:rFonts w:ascii="Calibri" w:cs="Calibri" w:eastAsia="Calibri" w:hAnsi="Calibri"/>
                <w:b w:val="false"/>
                <w:bCs w:val="false"/>
                <w:color w:val="000000"/>
                <w:sz w:val="17"/>
                <w:szCs w:val="17"/>
              </w:rPr>
              <w:t xml:space="preserve">Twelve Data</w:t>
            </w:r>
          </w:p>
        </w:tc>
        <w:tc>
          <w:tcPr>
            <w:tcW w:type="pct" w:w="30%"/>
          </w:tcPr>
          <w:p>
            <w:pPr>
              <w:spacing w:after="30" w:before="30"/>
            </w:pPr>
            <w:r>
              <w:rPr>
                <w:rFonts w:ascii="Calibri" w:cs="Calibri" w:eastAsia="Calibri" w:hAnsi="Calibri"/>
                <w:b w:val="false"/>
                <w:bCs w:val="false"/>
                <w:color w:val="000000"/>
                <w:sz w:val="17"/>
                <w:szCs w:val="17"/>
              </w:rPr>
              <w:t xml:space="preserve">https://twelvedata.com/register</w:t>
            </w:r>
          </w:p>
        </w:tc>
        <w:tc>
          <w:tcPr>
            <w:tcW w:type="pct" w:w="15%"/>
          </w:tcPr>
          <w:p>
            <w:pPr>
              <w:spacing w:after="30" w:before="30"/>
            </w:pPr>
            <w:r>
              <w:rPr>
                <w:rFonts w:ascii="Calibri" w:cs="Calibri" w:eastAsia="Calibri" w:hAnsi="Calibri"/>
                <w:b w:val="false"/>
                <w:bCs w:val="false"/>
                <w:color w:val="000000"/>
                <w:sz w:val="17"/>
                <w:szCs w:val="17"/>
              </w:rPr>
              <w:t xml:space="preserve">API key. Stock/ETF/FX quotes with 15-min delay on free tier.</w:t>
            </w:r>
          </w:p>
        </w:tc>
        <w:tc>
          <w:tcPr>
            <w:tcW w:type="pct" w:w="15%"/>
          </w:tcPr>
          <w:p>
            <w:pPr>
              <w:spacing w:after="30" w:before="30"/>
            </w:pPr>
            <w:r>
              <w:rPr>
                <w:rFonts w:ascii="Calibri" w:cs="Calibri" w:eastAsia="Calibri" w:hAnsi="Calibri"/>
                <w:b w:val="false"/>
                <w:bCs w:val="false"/>
                <w:color w:val="000000"/>
                <w:sz w:val="17"/>
                <w:szCs w:val="17"/>
              </w:rPr>
              <w:t xml:space="preserve">800 credits/day</w:t>
            </w:r>
          </w:p>
        </w:tc>
        <w:tc>
          <w:tcPr>
            <w:tcW w:type="pct" w:w="15%"/>
          </w:tcPr>
          <w:p>
            <w:pPr>
              <w:spacing w:after="30" w:before="30"/>
            </w:pPr>
            <w:r>
              <w:rPr>
                <w:rFonts w:ascii="Calibri" w:cs="Calibri" w:eastAsia="Calibri" w:hAnsi="Calibri"/>
                <w:b w:val="false"/>
                <w:bCs w:val="false"/>
                <w:color w:val="000000"/>
                <w:sz w:val="17"/>
                <w:szCs w:val="17"/>
              </w:rPr>
              <w:t xml:space="preserve">30 seconds</w:t>
            </w:r>
          </w:p>
        </w:tc>
      </w:tr>
      <w:tr>
        <w:trPr>
          <w:tblHeader w:val="false"/>
        </w:trPr>
        <w:tc>
          <w:tcPr>
            <w:tcW w:type="pct" w:w="25%"/>
          </w:tcPr>
          <w:p>
            <w:pPr>
              <w:spacing w:after="30" w:before="30"/>
            </w:pPr>
            <w:r>
              <w:rPr>
                <w:rFonts w:ascii="Calibri" w:cs="Calibri" w:eastAsia="Calibri" w:hAnsi="Calibri"/>
                <w:b w:val="false"/>
                <w:bCs w:val="false"/>
                <w:color w:val="000000"/>
                <w:sz w:val="17"/>
                <w:szCs w:val="17"/>
              </w:rPr>
              <w:t xml:space="preserve">HUD User</w:t>
            </w:r>
          </w:p>
        </w:tc>
        <w:tc>
          <w:tcPr>
            <w:tcW w:type="pct" w:w="30%"/>
          </w:tcPr>
          <w:p>
            <w:pPr>
              <w:spacing w:after="30" w:before="30"/>
            </w:pPr>
            <w:r>
              <w:rPr>
                <w:rFonts w:ascii="Calibri" w:cs="Calibri" w:eastAsia="Calibri" w:hAnsi="Calibri"/>
                <w:b w:val="false"/>
                <w:bCs w:val="false"/>
                <w:color w:val="000000"/>
                <w:sz w:val="17"/>
                <w:szCs w:val="17"/>
              </w:rPr>
              <w:t xml:space="preserve">https://www.huduser.gov/hudapi/public/register</w:t>
            </w:r>
          </w:p>
        </w:tc>
        <w:tc>
          <w:tcPr>
            <w:tcW w:type="pct" w:w="15%"/>
          </w:tcPr>
          <w:p>
            <w:pPr>
              <w:spacing w:after="30" w:before="30"/>
            </w:pPr>
            <w:r>
              <w:rPr>
                <w:rFonts w:ascii="Calibri" w:cs="Calibri" w:eastAsia="Calibri" w:hAnsi="Calibri"/>
                <w:b w:val="false"/>
                <w:bCs w:val="false"/>
                <w:color w:val="000000"/>
                <w:sz w:val="17"/>
                <w:szCs w:val="17"/>
              </w:rPr>
              <w:t xml:space="preserve">Bearer token. Fair Market Rents, Income Limits, CHAS data via REST API.</w:t>
            </w:r>
          </w:p>
        </w:tc>
        <w:tc>
          <w:tcPr>
            <w:tcW w:type="pct" w:w="15%"/>
          </w:tcPr>
          <w:p>
            <w:pPr>
              <w:spacing w:after="30" w:before="30"/>
            </w:pPr>
            <w:r>
              <w:rPr>
                <w:rFonts w:ascii="Calibri" w:cs="Calibri" w:eastAsia="Calibri" w:hAnsi="Calibri"/>
                <w:b w:val="false"/>
                <w:bCs w:val="false"/>
                <w:color w:val="000000"/>
                <w:sz w:val="17"/>
                <w:szCs w:val="17"/>
              </w:rPr>
              <w:t xml:space="preserve">Undocumented</w:t>
            </w:r>
          </w:p>
        </w:tc>
        <w:tc>
          <w:tcPr>
            <w:tcW w:type="pct" w:w="15%"/>
          </w:tcPr>
          <w:p>
            <w:pPr>
              <w:spacing w:after="30" w:before="30"/>
            </w:pPr>
            <w:r>
              <w:rPr>
                <w:rFonts w:ascii="Calibri" w:cs="Calibri" w:eastAsia="Calibri" w:hAnsi="Calibri"/>
                <w:b w:val="false"/>
                <w:bCs w:val="false"/>
                <w:color w:val="000000"/>
                <w:sz w:val="17"/>
                <w:szCs w:val="17"/>
              </w:rPr>
              <w:t xml:space="preserve">120 seconds</w:t>
            </w:r>
          </w:p>
        </w:tc>
      </w:tr>
      <w:tr>
        <w:trPr>
          <w:tblHeader w:val="false"/>
        </w:trPr>
        <w:tc>
          <w:tcPr>
            <w:tcW w:type="pct" w:w="25%"/>
          </w:tcPr>
          <w:p>
            <w:pPr>
              <w:spacing w:after="30" w:before="30"/>
            </w:pPr>
            <w:r>
              <w:rPr>
                <w:rFonts w:ascii="Calibri" w:cs="Calibri" w:eastAsia="Calibri" w:hAnsi="Calibri"/>
                <w:b w:val="false"/>
                <w:bCs w:val="false"/>
                <w:color w:val="000000"/>
                <w:sz w:val="17"/>
                <w:szCs w:val="17"/>
              </w:rPr>
              <w:t xml:space="preserve">Regulations.gov</w:t>
            </w:r>
          </w:p>
        </w:tc>
        <w:tc>
          <w:tcPr>
            <w:tcW w:type="pct" w:w="30%"/>
          </w:tcPr>
          <w:p>
            <w:pPr>
              <w:spacing w:after="30" w:before="30"/>
            </w:pPr>
            <w:r>
              <w:rPr>
                <w:rFonts w:ascii="Calibri" w:cs="Calibri" w:eastAsia="Calibri" w:hAnsi="Calibri"/>
                <w:b w:val="false"/>
                <w:bCs w:val="false"/>
                <w:color w:val="000000"/>
                <w:sz w:val="17"/>
                <w:szCs w:val="17"/>
              </w:rPr>
              <w:t xml:space="preserve">https://api.data.gov/signup/</w:t>
            </w:r>
          </w:p>
        </w:tc>
        <w:tc>
          <w:tcPr>
            <w:tcW w:type="pct" w:w="15%"/>
          </w:tcPr>
          <w:p>
            <w:pPr>
              <w:spacing w:after="30" w:before="30"/>
            </w:pPr>
            <w:r>
              <w:rPr>
                <w:rFonts w:ascii="Calibri" w:cs="Calibri" w:eastAsia="Calibri" w:hAnsi="Calibri"/>
                <w:b w:val="false"/>
                <w:bCs w:val="false"/>
                <w:color w:val="000000"/>
                <w:sz w:val="17"/>
                <w:szCs w:val="17"/>
              </w:rPr>
              <w:t xml:space="preserve">API key (shared api.data.gov platform). Federal rulemaking documents.</w:t>
            </w:r>
          </w:p>
        </w:tc>
        <w:tc>
          <w:tcPr>
            <w:tcW w:type="pct" w:w="15%"/>
          </w:tcPr>
          <w:p>
            <w:pPr>
              <w:spacing w:after="30" w:before="30"/>
            </w:pPr>
            <w:r>
              <w:rPr>
                <w:rFonts w:ascii="Calibri" w:cs="Calibri" w:eastAsia="Calibri" w:hAnsi="Calibri"/>
                <w:b w:val="false"/>
                <w:bCs w:val="false"/>
                <w:color w:val="000000"/>
                <w:sz w:val="17"/>
                <w:szCs w:val="17"/>
              </w:rPr>
              <w:t xml:space="preserve">1,000 requests/hour</w:t>
            </w:r>
          </w:p>
        </w:tc>
        <w:tc>
          <w:tcPr>
            <w:tcW w:type="pct" w:w="15%"/>
          </w:tcPr>
          <w:p>
            <w:pPr>
              <w:spacing w:after="30" w:before="30"/>
            </w:pPr>
            <w:r>
              <w:rPr>
                <w:rFonts w:ascii="Calibri" w:cs="Calibri" w:eastAsia="Calibri" w:hAnsi="Calibri"/>
                <w:b w:val="false"/>
                <w:bCs w:val="false"/>
                <w:color w:val="000000"/>
                <w:sz w:val="17"/>
                <w:szCs w:val="17"/>
              </w:rPr>
              <w:t xml:space="preserve">30 seconds</w:t>
            </w:r>
          </w:p>
        </w:tc>
      </w:tr>
    </w:tbl>
    <w:p>
      <w:pPr>
        <w:spacing w:after="80"/>
      </w:pPr>
      <w:r>
        <w:rPr>
          <w:rFonts w:ascii="Calibri" w:cs="Calibri" w:eastAsia="Calibri" w:hAnsi="Calibri"/>
          <w:sz w:val="20"/>
          <w:szCs w:val="20"/>
        </w:rPr>
        <w:t xml:space="preserve"/>
      </w:r>
    </w:p>
    <w:p>
      <w:pPr>
        <w:spacing w:after="80"/>
      </w:pPr>
      <w:r>
        <w:rPr>
          <w:rFonts w:ascii="Calibri" w:cs="Calibri" w:eastAsia="Calibri" w:hAnsi="Calibri"/>
          <w:b/>
          <w:bCs/>
          <w:color w:val="0E3470"/>
          <w:sz w:val="20"/>
          <w:szCs w:val="20"/>
        </w:rPr>
        <w:t xml:space="preserve">Total registration time for all 14 keys: </w:t>
      </w:r>
      <w:r>
        <w:rPr>
          <w:rFonts w:ascii="Calibri" w:cs="Calibri" w:eastAsia="Calibri" w:hAnsi="Calibri"/>
          <w:sz w:val="20"/>
          <w:szCs w:val="20"/>
        </w:rPr>
        <w:t xml:space="preserve">Under 15 minutes. One-time setup. All keys are permanent.</w:t>
      </w:r>
    </w:p>
    <w:p>
      <w:pPr>
        <w:spacing w:after="80"/>
      </w:pPr>
      <w:r>
        <w:rPr>
          <w:rFonts w:ascii="Calibri" w:cs="Calibri" w:eastAsia="Calibri" w:hAnsi="Calibri"/>
          <w:b/>
          <w:bCs/>
          <w:color w:val="0E3470"/>
          <w:sz w:val="20"/>
          <w:szCs w:val="20"/>
        </w:rPr>
        <w:t xml:space="preserve">Total annual cost: </w:t>
      </w:r>
      <w:r>
        <w:rPr>
          <w:rFonts w:ascii="Calibri" w:cs="Calibri" w:eastAsia="Calibri" w:hAnsi="Calibri"/>
          <w:sz w:val="20"/>
          <w:szCs w:val="20"/>
        </w:rPr>
        <w:t xml:space="preserve">$0.00. Every key listed above is free with no credit card.</w:t>
      </w:r>
    </w:p>
    <w:p>
      <w:pPr>
        <w:spacing w:after="80"/>
      </w:pPr>
      <w:r>
        <w:rPr>
          <w:rFonts w:ascii="Calibri" w:cs="Calibri" w:eastAsia="Calibri" w:hAnsi="Calibri"/>
          <w:b/>
          <w:bCs/>
          <w:color w:val="0E3470"/>
          <w:sz w:val="20"/>
          <w:szCs w:val="20"/>
        </w:rPr>
        <w:t xml:space="preserve">Combined data coverage: </w:t>
      </w:r>
      <w:r>
        <w:rPr>
          <w:rFonts w:ascii="Calibri" w:cs="Calibri" w:eastAsia="Calibri" w:hAnsi="Calibri"/>
          <w:sz w:val="20"/>
          <w:szCs w:val="20"/>
        </w:rPr>
        <w:t xml:space="preserve">800,000+ FRED series + 45 Census datasets + BLS employment + BEA GDP + EIA energy + real-time equities + FX + crypto + walkability + weather + HUD housing + federal regulations.</w:t>
      </w:r>
    </w:p>
    <w:p>
      <w:r>
        <w:br w:type="page"/>
      </w:r>
    </w:p>
    <w:p>
      <w:pPr>
        <w:pStyle w:val="Heading1"/>
        <w:spacing w:after="120" w:before="400"/>
      </w:pPr>
      <w:r>
        <w:rPr>
          <w:rFonts w:ascii="Calibri" w:cs="Calibri" w:eastAsia="Calibri" w:hAnsi="Calibri"/>
          <w:b/>
          <w:bCs/>
          <w:color w:val="0E3470"/>
          <w:sz w:val="32"/>
          <w:szCs w:val="32"/>
        </w:rPr>
        <w:t xml:space="preserve">PART 3 — Investor Objection Defense</w:t>
      </w:r>
    </w:p>
    <w:p>
      <w:pPr>
        <w:spacing w:after="80"/>
      </w:pPr>
      <w:r>
        <w:rPr>
          <w:rFonts w:ascii="Calibri" w:cs="Calibri" w:eastAsia="Calibri" w:hAnsi="Calibri"/>
          <w:sz w:val="20"/>
          <w:szCs w:val="20"/>
        </w:rPr>
        <w:t xml:space="preserve">Anticipated objections and evidence-based responses for investor meetings.</w:t>
      </w:r>
    </w:p>
    <w:p>
      <w:pPr>
        <w:pStyle w:val="Heading2"/>
        <w:spacing w:after="100" w:before="280"/>
      </w:pPr>
      <w:r>
        <w:rPr>
          <w:rFonts w:ascii="Calibri" w:cs="Calibri" w:eastAsia="Calibri" w:hAnsi="Calibri"/>
          <w:b/>
          <w:bCs/>
          <w:color w:val="0E3470"/>
          <w:sz w:val="26"/>
          <w:szCs w:val="26"/>
        </w:rPr>
        <w:t xml:space="preserve">Objection 1: "If the data is free, it can disappear."</w:t>
      </w:r>
    </w:p>
    <w:p>
      <w:pPr>
        <w:spacing w:after="80"/>
      </w:pPr>
      <w:r>
        <w:rPr>
          <w:rFonts w:ascii="Calibri" w:cs="Calibri" w:eastAsia="Calibri" w:hAnsi="Calibri"/>
          <w:b/>
          <w:bCs/>
          <w:color w:val="0E3470"/>
          <w:sz w:val="20"/>
          <w:szCs w:val="20"/>
        </w:rPr>
        <w:t xml:space="preserve">Response: </w:t>
      </w:r>
      <w:r>
        <w:rPr>
          <w:rFonts w:ascii="Calibri" w:cs="Calibri" w:eastAsia="Calibri" w:hAnsi="Calibri"/>
          <w:sz w:val="20"/>
          <w:szCs w:val="20"/>
        </w:rPr>
        <w:t xml:space="preserve">These are not startup APIs. They are US federal government systems mandated by law:</w:t>
      </w:r>
    </w:p>
    <w:p>
      <w:pPr>
        <w:spacing w:after="80"/>
      </w:pPr>
      <w:r>
        <w:rPr>
          <w:rFonts w:ascii="Calibri" w:cs="Calibri" w:eastAsia="Calibri" w:hAnsi="Calibri"/>
          <w:sz w:val="20"/>
          <w:szCs w:val="20"/>
        </w:rPr>
        <w:t xml:space="preserve">The Federal Reserve Economic Data (FRED) system has been operational since 1991 — 35 years. It is maintained by the Federal Reserve Bank of St. Louis under a Congressional mandate. The Bureau of Labor Statistics has published employment data continuously since 1884 — 142 years. The Census Bureau has operated since 1790. FEMA's flood mapping is required by the National Flood Insurance Act of 1968. The SEC's EDGAR system has been live since 1993, mandated by the Securities Exchange Act.</w:t>
      </w:r>
    </w:p>
    <w:p>
      <w:pPr>
        <w:spacing w:after="80"/>
      </w:pPr>
      <w:r>
        <w:rPr>
          <w:rFonts w:ascii="Calibri" w:cs="Calibri" w:eastAsia="Calibri" w:hAnsi="Calibri"/>
          <w:sz w:val="20"/>
          <w:szCs w:val="20"/>
        </w:rPr>
        <w:t xml:space="preserve">These systems survive administration changes, budget fights, and recessions. The Federal Reserve published SOFR data on schedule through COVID, through the 2023 banking crisis, and through every government shutdown. The NY Fed has never missed a single daily SOFR publication since its inception in 2018.</w:t>
      </w:r>
    </w:p>
    <w:p>
      <w:pPr>
        <w:spacing w:after="80"/>
      </w:pPr>
      <w:r>
        <w:rPr>
          <w:rFonts w:ascii="Calibri" w:cs="Calibri" w:eastAsia="Calibri" w:hAnsi="Calibri"/>
          <w:b/>
          <w:bCs/>
          <w:color w:val="0E3470"/>
          <w:sz w:val="20"/>
          <w:szCs w:val="20"/>
        </w:rPr>
        <w:t xml:space="preserve">Bottom line: </w:t>
      </w:r>
      <w:r>
        <w:rPr>
          <w:rFonts w:ascii="Calibri" w:cs="Calibri" w:eastAsia="Calibri" w:hAnsi="Calibri"/>
          <w:sz w:val="20"/>
          <w:szCs w:val="20"/>
        </w:rPr>
        <w:t xml:space="preserve">The US government does not shut down its financial data infrastructure. These sources are as permanent as the Treasury bond market itself.</w:t>
      </w:r>
    </w:p>
    <w:p>
      <w:pPr>
        <w:pStyle w:val="Heading2"/>
        <w:spacing w:after="100" w:before="280"/>
      </w:pPr>
      <w:r>
        <w:rPr>
          <w:rFonts w:ascii="Calibri" w:cs="Calibri" w:eastAsia="Calibri" w:hAnsi="Calibri"/>
          <w:b/>
          <w:bCs/>
          <w:color w:val="0E3470"/>
          <w:sz w:val="26"/>
          <w:szCs w:val="26"/>
        </w:rPr>
        <w:t xml:space="preserve">Objection 2: "Free data must be low quality."</w:t>
      </w:r>
    </w:p>
    <w:p>
      <w:pPr>
        <w:spacing w:after="80"/>
      </w:pPr>
      <w:r>
        <w:rPr>
          <w:rFonts w:ascii="Calibri" w:cs="Calibri" w:eastAsia="Calibri" w:hAnsi="Calibri"/>
          <w:b/>
          <w:bCs/>
          <w:color w:val="0E3470"/>
          <w:sz w:val="20"/>
          <w:szCs w:val="20"/>
        </w:rPr>
        <w:t xml:space="preserve">Response: </w:t>
      </w:r>
      <w:r>
        <w:rPr>
          <w:rFonts w:ascii="Calibri" w:cs="Calibri" w:eastAsia="Calibri" w:hAnsi="Calibri"/>
          <w:sz w:val="20"/>
          <w:szCs w:val="20"/>
        </w:rPr>
        <w:t xml:space="preserve">The same data powers Bloomberg Terminals.</w:t>
      </w:r>
    </w:p>
    <w:p>
      <w:pPr>
        <w:spacing w:after="80"/>
      </w:pPr>
      <w:r>
        <w:rPr>
          <w:rFonts w:ascii="Calibri" w:cs="Calibri" w:eastAsia="Calibri" w:hAnsi="Calibri"/>
          <w:sz w:val="20"/>
          <w:szCs w:val="20"/>
        </w:rPr>
        <w:t xml:space="preserve">Bloomberg's SOFR feed comes from the same NY Fed API Terminal uses. Bloomberg's Treasury yield curve comes from the same H.15 release. Bloomberg's CPI data comes from the same BLS API. Bloomberg charges $25,000/year per terminal to display data that is freely available from its source.</w:t>
      </w:r>
    </w:p>
    <w:p>
      <w:pPr>
        <w:spacing w:after="80"/>
      </w:pPr>
      <w:r>
        <w:rPr>
          <w:rFonts w:ascii="Calibri" w:cs="Calibri" w:eastAsia="Calibri" w:hAnsi="Calibri"/>
          <w:sz w:val="20"/>
          <w:szCs w:val="20"/>
        </w:rPr>
        <w:t xml:space="preserve">The SEC EDGAR full-text search API returns the same 8-K and 10-K filings that FactSet, S&amp;P Capital IQ, and PitchBook read. Census ACS data is used by CBRE, JLL, and Cushman &amp; Wakefield in their market research reports. FEMA flood zone data is the same data insurance underwriters use to price policies.</w:t>
      </w:r>
    </w:p>
    <w:p>
      <w:pPr>
        <w:spacing w:after="80"/>
      </w:pPr>
      <w:r>
        <w:rPr>
          <w:rFonts w:ascii="Calibri" w:cs="Calibri" w:eastAsia="Calibri" w:hAnsi="Calibri"/>
          <w:b/>
          <w:bCs/>
          <w:color w:val="0E3470"/>
          <w:sz w:val="20"/>
          <w:szCs w:val="20"/>
        </w:rPr>
        <w:t xml:space="preserve">Terminal's edge is not data access — it is data processing. </w:t>
      </w:r>
      <w:r>
        <w:rPr>
          <w:rFonts w:ascii="Calibri" w:cs="Calibri" w:eastAsia="Calibri" w:hAnsi="Calibri"/>
          <w:sz w:val="20"/>
          <w:szCs w:val="20"/>
        </w:rPr>
        <w:t xml:space="preserve">The moat is the four-stage pipeline that reads 233 sources simultaneously, cross-validates findings adversarially, and produces an institutional-grade acquisition package in minutes for $6.92 — work that takes a human team weeks and costs $15,000-$40,000.</w:t>
      </w:r>
    </w:p>
    <w:p>
      <w:pPr>
        <w:pStyle w:val="Heading2"/>
        <w:spacing w:after="100" w:before="280"/>
      </w:pPr>
      <w:r>
        <w:rPr>
          <w:rFonts w:ascii="Calibri" w:cs="Calibri" w:eastAsia="Calibri" w:hAnsi="Calibri"/>
          <w:b/>
          <w:bCs/>
          <w:color w:val="0E3470"/>
          <w:sz w:val="26"/>
          <w:szCs w:val="26"/>
        </w:rPr>
        <w:t xml:space="preserve">Objection 3: "What about the paid sources?"</w:t>
      </w:r>
    </w:p>
    <w:p>
      <w:pPr>
        <w:spacing w:after="80"/>
      </w:pPr>
      <w:r>
        <w:rPr>
          <w:rFonts w:ascii="Calibri" w:cs="Calibri" w:eastAsia="Calibri" w:hAnsi="Calibri"/>
          <w:b/>
          <w:bCs/>
          <w:color w:val="0E3470"/>
          <w:sz w:val="20"/>
          <w:szCs w:val="20"/>
        </w:rPr>
        <w:t xml:space="preserve">Response: </w:t>
      </w:r>
      <w:r>
        <w:rPr>
          <w:rFonts w:ascii="Calibri" w:cs="Calibri" w:eastAsia="Calibri" w:hAnsi="Calibri"/>
          <w:sz w:val="20"/>
          <w:szCs w:val="20"/>
        </w:rPr>
        <w:t xml:space="preserve">Terminal's architecture is built in tiers.</w:t>
      </w:r>
    </w:p>
    <w:p>
      <w:pPr>
        <w:spacing w:after="80"/>
      </w:pPr>
      <w:r>
        <w:rPr>
          <w:rFonts w:ascii="Calibri" w:cs="Calibri" w:eastAsia="Calibri" w:hAnsi="Calibri"/>
          <w:sz w:val="20"/>
          <w:szCs w:val="20"/>
        </w:rPr>
        <w:t xml:space="preserve">Tier 1 (live today): 22 free government and institutional sources providing macro rates, demographics, hazards, legal, and regulatory intelligence. Total cost: $0/year.</w:t>
      </w:r>
    </w:p>
    <w:p>
      <w:pPr>
        <w:spacing w:after="80"/>
      </w:pPr>
      <w:r>
        <w:rPr>
          <w:rFonts w:ascii="Calibri" w:cs="Calibri" w:eastAsia="Calibri" w:hAnsi="Calibri"/>
          <w:sz w:val="20"/>
          <w:szCs w:val="20"/>
        </w:rPr>
        <w:t xml:space="preserve">Tier 2 (next 6 months): Free-tier commercial APIs — RentCast ($888/year), CrimeoMeter (~$1,200/year), Walk Score (free), Finnhub (free), Polygon (free). Total: under $3,000/year.</w:t>
      </w:r>
    </w:p>
    <w:p>
      <w:pPr>
        <w:spacing w:after="80"/>
      </w:pPr>
      <w:r>
        <w:rPr>
          <w:rFonts w:ascii="Calibri" w:cs="Calibri" w:eastAsia="Calibri" w:hAnsi="Calibri"/>
          <w:sz w:val="20"/>
          <w:szCs w:val="20"/>
        </w:rPr>
        <w:t xml:space="preserve">Tier 3 (12-18 months): Institutional-grade paid sources — Trepp ($50-250K), CRED iQ ($20-50K), CompStak (mid-5-figures), ATTOM ($10K+), Placer.ai ($25K+), First Street (enterprise). These are activated as deal flow justifies the spend.</w:t>
      </w:r>
    </w:p>
    <w:p>
      <w:pPr>
        <w:spacing w:after="80"/>
      </w:pPr>
      <w:r>
        <w:rPr>
          <w:rFonts w:ascii="Calibri" w:cs="Calibri" w:eastAsia="Calibri" w:hAnsi="Calibri"/>
          <w:b/>
          <w:bCs/>
          <w:color w:val="0E3470"/>
          <w:sz w:val="20"/>
          <w:szCs w:val="20"/>
        </w:rPr>
        <w:t xml:space="preserve">Key insight: </w:t>
      </w:r>
      <w:r>
        <w:rPr>
          <w:rFonts w:ascii="Calibri" w:cs="Calibri" w:eastAsia="Calibri" w:hAnsi="Calibri"/>
          <w:sz w:val="20"/>
          <w:szCs w:val="20"/>
        </w:rPr>
        <w:t xml:space="preserve">Even at full Tier 3 deployment (~$300K/year in data costs), Terminal processes 100+ deals/day at $6.92 each. At 50 deals/day and 250 working days, that is 12,500 deals/year — data cost per deal = $24. A single successful acquisition pays for a decade of data costs.</w:t>
      </w:r>
    </w:p>
    <w:p>
      <w:pPr>
        <w:pStyle w:val="Heading2"/>
        <w:spacing w:after="100" w:before="280"/>
      </w:pPr>
      <w:r>
        <w:rPr>
          <w:rFonts w:ascii="Calibri" w:cs="Calibri" w:eastAsia="Calibri" w:hAnsi="Calibri"/>
          <w:b/>
          <w:bCs/>
          <w:color w:val="0E3470"/>
          <w:sz w:val="26"/>
          <w:szCs w:val="26"/>
        </w:rPr>
        <w:t xml:space="preserve">Objection 4: "How is this different from CoStar / Reonomy / Cherre?"</w:t>
      </w:r>
    </w:p>
    <w:p>
      <w:pPr>
        <w:spacing w:after="80"/>
      </w:pPr>
      <w:r>
        <w:rPr>
          <w:rFonts w:ascii="Calibri" w:cs="Calibri" w:eastAsia="Calibri" w:hAnsi="Calibri"/>
          <w:b/>
          <w:bCs/>
          <w:color w:val="0E3470"/>
          <w:sz w:val="20"/>
          <w:szCs w:val="20"/>
        </w:rPr>
        <w:t xml:space="preserve">Response: </w:t>
      </w:r>
      <w:r>
        <w:rPr>
          <w:rFonts w:ascii="Calibri" w:cs="Calibri" w:eastAsia="Calibri" w:hAnsi="Calibri"/>
          <w:sz w:val="20"/>
          <w:szCs w:val="20"/>
        </w:rPr>
        <w:t xml:space="preserve">Those are data vendors. Terminal is a decision engine.</w:t>
      </w:r>
    </w:p>
    <w:p>
      <w:pPr>
        <w:spacing w:after="80"/>
      </w:pPr>
      <w:r>
        <w:rPr>
          <w:rFonts w:ascii="Calibri" w:cs="Calibri" w:eastAsia="Calibri" w:hAnsi="Calibri"/>
          <w:sz w:val="20"/>
          <w:szCs w:val="20"/>
        </w:rPr>
        <w:t xml:space="preserve">CoStar sells property data. Terminal ingests CoStar data alongside 232 other sources, cross-validates it against independent government records, stress-tests the assumptions, runs adversarial challenges, and produces a provenance-backed acquisition recommendation. CoStar tells you a cap rate. Terminal tells you whether to buy the building — and catches what the seller left out of the OM.</w:t>
      </w:r>
    </w:p>
    <w:p>
      <w:pPr>
        <w:spacing w:after="80"/>
      </w:pPr>
      <w:r>
        <w:rPr>
          <w:rFonts w:ascii="Calibri" w:cs="Calibri" w:eastAsia="Calibri" w:hAnsi="Calibri"/>
          <w:sz w:val="20"/>
          <w:szCs w:val="20"/>
        </w:rPr>
        <w:t xml:space="preserve">No existing platform connects CMBS surveillance (Trepp/CRED iQ) with ownership intelligence (ATTOM/Reonomy) with climate hazard modeling (First Street) with automated underwriting (Clik.ai) with lease abstraction (MRI/Prophia) with foot traffic analytics (Placer.ai) — all flowing through a single adversarial pipeline that traces every conclusion to its source document.</w:t>
      </w:r>
    </w:p>
    <w:p>
      <w:pPr>
        <w:pStyle w:val="Heading2"/>
        <w:spacing w:after="100" w:before="280"/>
      </w:pPr>
      <w:r>
        <w:rPr>
          <w:rFonts w:ascii="Calibri" w:cs="Calibri" w:eastAsia="Calibri" w:hAnsi="Calibri"/>
          <w:b/>
          <w:bCs/>
          <w:color w:val="0E3470"/>
          <w:sz w:val="26"/>
          <w:szCs w:val="26"/>
        </w:rPr>
        <w:t xml:space="preserve">Objection 5: "Can competitors replicate this?"</w:t>
      </w:r>
    </w:p>
    <w:p>
      <w:pPr>
        <w:spacing w:after="80"/>
      </w:pPr>
      <w:r>
        <w:rPr>
          <w:rFonts w:ascii="Calibri" w:cs="Calibri" w:eastAsia="Calibri" w:hAnsi="Calibri"/>
          <w:b/>
          <w:bCs/>
          <w:color w:val="0E3470"/>
          <w:sz w:val="20"/>
          <w:szCs w:val="20"/>
        </w:rPr>
        <w:t xml:space="preserve">Response: </w:t>
      </w:r>
      <w:r>
        <w:rPr>
          <w:rFonts w:ascii="Calibri" w:cs="Calibri" w:eastAsia="Calibri" w:hAnsi="Calibri"/>
          <w:sz w:val="20"/>
          <w:szCs w:val="20"/>
        </w:rPr>
        <w:t xml:space="preserve">The data is accessible. The architecture is not.</w:t>
      </w:r>
    </w:p>
    <w:p>
      <w:pPr>
        <w:spacing w:after="80"/>
      </w:pPr>
      <w:r>
        <w:rPr>
          <w:rFonts w:ascii="Calibri" w:cs="Calibri" w:eastAsia="Calibri" w:hAnsi="Calibri"/>
          <w:sz w:val="20"/>
          <w:szCs w:val="20"/>
        </w:rPr>
        <w:t xml:space="preserve">Any firm can register for a FRED API key. No firm has built 59 asset-class-specific analytical models, an adversarial challenge engine with 12 rules, a provenance spine that traces every number to its source page, and a four-stage pipeline that cannot be bypassed. The research library alone — 2,717 verified data sources across 20 sector-specific reference documents — represents months of institutional-grade intelligence work. The extraction pipeline that structured this research into a queryable registry has 11 engineering steps with assertion gates at each one.</w:t>
      </w:r>
    </w:p>
    <w:p>
      <w:pPr>
        <w:spacing w:after="80"/>
      </w:pPr>
      <w:r>
        <w:rPr>
          <w:rFonts w:ascii="Calibri" w:cs="Calibri" w:eastAsia="Calibri" w:hAnsi="Calibri"/>
          <w:b/>
          <w:bCs/>
          <w:color w:val="0E3470"/>
          <w:sz w:val="20"/>
          <w:szCs w:val="20"/>
        </w:rPr>
        <w:t xml:space="preserve">Time-to-replicate: </w:t>
      </w:r>
      <w:r>
        <w:rPr>
          <w:rFonts w:ascii="Calibri" w:cs="Calibri" w:eastAsia="Calibri" w:hAnsi="Calibri"/>
          <w:sz w:val="20"/>
          <w:szCs w:val="20"/>
        </w:rPr>
        <w:t xml:space="preserve">12-18 months for a well-funded team that knows exactly what to build. And by then, Terminal will have 18 months of deal processing data, model refinements, and investor track record they cannot retroactively create.</w:t>
      </w:r>
    </w:p>
    <w:p>
      <w:r>
        <w:br w:type="page"/>
      </w:r>
    </w:p>
    <w:p>
      <w:pPr>
        <w:pStyle w:val="Heading1"/>
        <w:spacing w:after="120" w:before="400"/>
      </w:pPr>
      <w:r>
        <w:rPr>
          <w:rFonts w:ascii="Calibri" w:cs="Calibri" w:eastAsia="Calibri" w:hAnsi="Calibri"/>
          <w:b/>
          <w:bCs/>
          <w:color w:val="0E3470"/>
          <w:sz w:val="32"/>
          <w:szCs w:val="32"/>
        </w:rPr>
        <w:t xml:space="preserve">APPENDIX — Data Source Count by Category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5%"/>
            <w:shd w:fill="0E3470" w:color="0E3470" w:val="solid"/>
          </w:tcPr>
          <w:p>
            <w:pPr>
              <w:spacing w:after="30" w:before="30"/>
            </w:pPr>
            <w:r>
              <w:rPr>
                <w:rFonts w:ascii="Calibri" w:cs="Calibri" w:eastAsia="Calibri" w:hAnsi="Calibri"/>
                <w:b/>
                <w:bCs/>
                <w:color w:val="FFFFFF"/>
                <w:sz w:val="17"/>
                <w:szCs w:val="17"/>
              </w:rPr>
              <w:t xml:space="preserve">Category</w:t>
            </w:r>
          </w:p>
        </w:tc>
        <w:tc>
          <w:tcPr>
            <w:tcW w:type="pct" w:w="30%"/>
            <w:shd w:fill="0E3470" w:color="0E3470" w:val="solid"/>
          </w:tcPr>
          <w:p>
            <w:pPr>
              <w:spacing w:after="30" w:before="30"/>
            </w:pPr>
            <w:r>
              <w:rPr>
                <w:rFonts w:ascii="Calibri" w:cs="Calibri" w:eastAsia="Calibri" w:hAnsi="Calibri"/>
                <w:b/>
                <w:bCs/>
                <w:color w:val="FFFFFF"/>
                <w:sz w:val="17"/>
                <w:szCs w:val="17"/>
              </w:rPr>
              <w:t xml:space="preserve">Sources</w:t>
            </w:r>
          </w:p>
        </w:tc>
        <w:tc>
          <w:tcPr>
            <w:tcW w:type="pct" w:w="15%"/>
            <w:shd w:fill="0E3470" w:color="0E3470" w:val="solid"/>
          </w:tcPr>
          <w:p>
            <w:pPr>
              <w:spacing w:after="30" w:before="30"/>
            </w:pPr>
            <w:r>
              <w:rPr>
                <w:rFonts w:ascii="Calibri" w:cs="Calibri" w:eastAsia="Calibri" w:hAnsi="Calibri"/>
                <w:b/>
                <w:bCs/>
                <w:color w:val="FFFFFF"/>
                <w:sz w:val="17"/>
                <w:szCs w:val="17"/>
              </w:rPr>
              <w:t xml:space="preserve">Live</w:t>
            </w:r>
          </w:p>
        </w:tc>
        <w:tc>
          <w:tcPr>
            <w:tcW w:type="pct" w:w="15%"/>
            <w:shd w:fill="0E3470" w:color="0E3470" w:val="solid"/>
          </w:tcPr>
          <w:p>
            <w:pPr>
              <w:spacing w:after="30" w:before="30"/>
            </w:pPr>
            <w:r>
              <w:rPr>
                <w:rFonts w:ascii="Calibri" w:cs="Calibri" w:eastAsia="Calibri" w:hAnsi="Calibri"/>
                <w:b/>
                <w:bCs/>
                <w:color w:val="FFFFFF"/>
                <w:sz w:val="17"/>
                <w:szCs w:val="17"/>
              </w:rPr>
              <w:t xml:space="preserve">Free/Gov</w:t>
            </w:r>
          </w:p>
        </w:tc>
        <w:tc>
          <w:tcPr>
            <w:tcW w:type="pct" w:w="15%"/>
            <w:shd w:fill="0E3470" w:color="0E3470" w:val="solid"/>
          </w:tcPr>
          <w:p>
            <w:pPr>
              <w:spacing w:after="30" w:before="30"/>
            </w:pPr>
            <w:r>
              <w:rPr>
                <w:rFonts w:ascii="Calibri" w:cs="Calibri" w:eastAsia="Calibri" w:hAnsi="Calibri"/>
                <w:b/>
                <w:bCs/>
                <w:color w:val="FFFFFF"/>
                <w:sz w:val="17"/>
                <w:szCs w:val="17"/>
              </w:rPr>
              <w:t xml:space="preserve">Paid/Roadmap</w:t>
            </w:r>
          </w:p>
        </w:tc>
      </w:tr>
      <w:tr>
        <w:trPr>
          <w:tblHeader w:val="false"/>
        </w:trPr>
        <w:tc>
          <w:tcPr>
            <w:tcW w:type="pct" w:w="25%"/>
          </w:tcPr>
          <w:p>
            <w:pPr>
              <w:spacing w:after="30" w:before="30"/>
            </w:pPr>
            <w:r>
              <w:rPr>
                <w:rFonts w:ascii="Calibri" w:cs="Calibri" w:eastAsia="Calibri" w:hAnsi="Calibri"/>
                <w:b w:val="false"/>
                <w:bCs w:val="false"/>
                <w:color w:val="000000"/>
                <w:sz w:val="17"/>
                <w:szCs w:val="17"/>
              </w:rPr>
              <w:t xml:space="preserve">Distress &amp; CMBS Surveillance</w:t>
            </w:r>
          </w:p>
        </w:tc>
        <w:tc>
          <w:tcPr>
            <w:tcW w:type="pct" w:w="30%"/>
          </w:tcPr>
          <w:p>
            <w:pPr>
              <w:spacing w:after="30" w:before="30"/>
            </w:pPr>
            <w:r>
              <w:rPr>
                <w:rFonts w:ascii="Calibri" w:cs="Calibri" w:eastAsia="Calibri" w:hAnsi="Calibri"/>
                <w:b w:val="false"/>
                <w:bCs w:val="false"/>
                <w:color w:val="000000"/>
                <w:sz w:val="17"/>
                <w:szCs w:val="17"/>
              </w:rPr>
              <w:t xml:space="preserve">8</w:t>
            </w:r>
          </w:p>
        </w:tc>
        <w:tc>
          <w:tcPr>
            <w:tcW w:type="pct" w:w="15%"/>
          </w:tcPr>
          <w:p>
            <w:pPr>
              <w:spacing w:after="30" w:before="30"/>
            </w:pPr>
            <w:r>
              <w:rPr>
                <w:rFonts w:ascii="Calibri" w:cs="Calibri" w:eastAsia="Calibri" w:hAnsi="Calibri"/>
                <w:b w:val="false"/>
                <w:bCs w:val="false"/>
                <w:color w:val="000000"/>
                <w:sz w:val="17"/>
                <w:szCs w:val="17"/>
              </w:rPr>
              <w:t xml:space="preserve">3</w:t>
            </w:r>
          </w:p>
        </w:tc>
        <w:tc>
          <w:tcPr>
            <w:tcW w:type="pct" w:w="15%"/>
          </w:tcPr>
          <w:p>
            <w:pPr>
              <w:spacing w:after="30" w:before="30"/>
            </w:pPr>
            <w:r>
              <w:rPr>
                <w:rFonts w:ascii="Calibri" w:cs="Calibri" w:eastAsia="Calibri" w:hAnsi="Calibri"/>
                <w:b w:val="false"/>
                <w:bCs w:val="false"/>
                <w:color w:val="000000"/>
                <w:sz w:val="17"/>
                <w:szCs w:val="17"/>
              </w:rPr>
              <w:t xml:space="preserve">1</w:t>
            </w:r>
          </w:p>
        </w:tc>
        <w:tc>
          <w:tcPr>
            <w:tcW w:type="pct" w:w="15%"/>
          </w:tcPr>
          <w:p>
            <w:pPr>
              <w:spacing w:after="30" w:before="30"/>
            </w:pPr>
            <w:r>
              <w:rPr>
                <w:rFonts w:ascii="Calibri" w:cs="Calibri" w:eastAsia="Calibri" w:hAnsi="Calibri"/>
                <w:b w:val="false"/>
                <w:bCs w:val="false"/>
                <w:color w:val="000000"/>
                <w:sz w:val="17"/>
                <w:szCs w:val="17"/>
              </w:rPr>
              <w:t xml:space="preserve">4</w:t>
            </w:r>
          </w:p>
        </w:tc>
      </w:tr>
      <w:tr>
        <w:trPr>
          <w:tblHeader w:val="false"/>
        </w:trPr>
        <w:tc>
          <w:tcPr>
            <w:tcW w:type="pct" w:w="25%"/>
          </w:tcPr>
          <w:p>
            <w:pPr>
              <w:spacing w:after="30" w:before="30"/>
            </w:pPr>
            <w:r>
              <w:rPr>
                <w:rFonts w:ascii="Calibri" w:cs="Calibri" w:eastAsia="Calibri" w:hAnsi="Calibri"/>
                <w:b w:val="false"/>
                <w:bCs w:val="false"/>
                <w:color w:val="000000"/>
                <w:sz w:val="17"/>
                <w:szCs w:val="17"/>
              </w:rPr>
              <w:t xml:space="preserve">Property &amp; Ownership Intelligence</w:t>
            </w:r>
          </w:p>
        </w:tc>
        <w:tc>
          <w:tcPr>
            <w:tcW w:type="pct" w:w="30%"/>
          </w:tcPr>
          <w:p>
            <w:pPr>
              <w:spacing w:after="30" w:before="30"/>
            </w:pPr>
            <w:r>
              <w:rPr>
                <w:rFonts w:ascii="Calibri" w:cs="Calibri" w:eastAsia="Calibri" w:hAnsi="Calibri"/>
                <w:b w:val="false"/>
                <w:bCs w:val="false"/>
                <w:color w:val="000000"/>
                <w:sz w:val="17"/>
                <w:szCs w:val="17"/>
              </w:rPr>
              <w:t xml:space="preserve">13</w:t>
            </w:r>
          </w:p>
        </w:tc>
        <w:tc>
          <w:tcPr>
            <w:tcW w:type="pct" w:w="15%"/>
          </w:tcPr>
          <w:p>
            <w:pPr>
              <w:spacing w:after="30" w:before="30"/>
            </w:pPr>
            <w:r>
              <w:rPr>
                <w:rFonts w:ascii="Calibri" w:cs="Calibri" w:eastAsia="Calibri" w:hAnsi="Calibri"/>
                <w:b w:val="false"/>
                <w:bCs w:val="false"/>
                <w:color w:val="000000"/>
                <w:sz w:val="17"/>
                <w:szCs w:val="17"/>
              </w:rPr>
              <w:t xml:space="preserve">2</w:t>
            </w:r>
          </w:p>
        </w:tc>
        <w:tc>
          <w:tcPr>
            <w:tcW w:type="pct" w:w="15%"/>
          </w:tcPr>
          <w:p>
            <w:pPr>
              <w:spacing w:after="30" w:before="30"/>
            </w:pPr>
            <w:r>
              <w:rPr>
                <w:rFonts w:ascii="Calibri" w:cs="Calibri" w:eastAsia="Calibri" w:hAnsi="Calibri"/>
                <w:b w:val="false"/>
                <w:bCs w:val="false"/>
                <w:color w:val="000000"/>
                <w:sz w:val="17"/>
                <w:szCs w:val="17"/>
              </w:rPr>
              <w:t xml:space="preserve">2</w:t>
            </w:r>
          </w:p>
        </w:tc>
        <w:tc>
          <w:tcPr>
            <w:tcW w:type="pct" w:w="15%"/>
          </w:tcPr>
          <w:p>
            <w:pPr>
              <w:spacing w:after="30" w:before="30"/>
            </w:pPr>
            <w:r>
              <w:rPr>
                <w:rFonts w:ascii="Calibri" w:cs="Calibri" w:eastAsia="Calibri" w:hAnsi="Calibri"/>
                <w:b w:val="false"/>
                <w:bCs w:val="false"/>
                <w:color w:val="000000"/>
                <w:sz w:val="17"/>
                <w:szCs w:val="17"/>
              </w:rPr>
              <w:t xml:space="preserve">9</w:t>
            </w:r>
          </w:p>
        </w:tc>
      </w:tr>
      <w:tr>
        <w:trPr>
          <w:tblHeader w:val="false"/>
        </w:trPr>
        <w:tc>
          <w:tcPr>
            <w:tcW w:type="pct" w:w="25%"/>
          </w:tcPr>
          <w:p>
            <w:pPr>
              <w:spacing w:after="30" w:before="30"/>
            </w:pPr>
            <w:r>
              <w:rPr>
                <w:rFonts w:ascii="Calibri" w:cs="Calibri" w:eastAsia="Calibri" w:hAnsi="Calibri"/>
                <w:b w:val="false"/>
                <w:bCs w:val="false"/>
                <w:color w:val="000000"/>
                <w:sz w:val="17"/>
                <w:szCs w:val="17"/>
              </w:rPr>
              <w:t xml:space="preserve">Market &amp; Demand Signals</w:t>
            </w:r>
          </w:p>
        </w:tc>
        <w:tc>
          <w:tcPr>
            <w:tcW w:type="pct" w:w="30%"/>
          </w:tcPr>
          <w:p>
            <w:pPr>
              <w:spacing w:after="30" w:before="30"/>
            </w:pPr>
            <w:r>
              <w:rPr>
                <w:rFonts w:ascii="Calibri" w:cs="Calibri" w:eastAsia="Calibri" w:hAnsi="Calibri"/>
                <w:b w:val="false"/>
                <w:bCs w:val="false"/>
                <w:color w:val="000000"/>
                <w:sz w:val="17"/>
                <w:szCs w:val="17"/>
              </w:rPr>
              <w:t xml:space="preserve">16</w:t>
            </w:r>
          </w:p>
        </w:tc>
        <w:tc>
          <w:tcPr>
            <w:tcW w:type="pct" w:w="15%"/>
          </w:tcPr>
          <w:p>
            <w:pPr>
              <w:spacing w:after="30" w:before="30"/>
            </w:pPr>
            <w:r>
              <w:rPr>
                <w:rFonts w:ascii="Calibri" w:cs="Calibri" w:eastAsia="Calibri" w:hAnsi="Calibri"/>
                <w:b w:val="false"/>
                <w:bCs w:val="false"/>
                <w:color w:val="000000"/>
                <w:sz w:val="17"/>
                <w:szCs w:val="17"/>
              </w:rPr>
              <w:t xml:space="preserve">8</w:t>
            </w:r>
          </w:p>
        </w:tc>
        <w:tc>
          <w:tcPr>
            <w:tcW w:type="pct" w:w="15%"/>
          </w:tcPr>
          <w:p>
            <w:pPr>
              <w:spacing w:after="30" w:before="30"/>
            </w:pPr>
            <w:r>
              <w:rPr>
                <w:rFonts w:ascii="Calibri" w:cs="Calibri" w:eastAsia="Calibri" w:hAnsi="Calibri"/>
                <w:b w:val="false"/>
                <w:bCs w:val="false"/>
                <w:color w:val="000000"/>
                <w:sz w:val="17"/>
                <w:szCs w:val="17"/>
              </w:rPr>
              <w:t xml:space="preserve">3</w:t>
            </w:r>
          </w:p>
        </w:tc>
        <w:tc>
          <w:tcPr>
            <w:tcW w:type="pct" w:w="15%"/>
          </w:tcPr>
          <w:p>
            <w:pPr>
              <w:spacing w:after="30" w:before="30"/>
            </w:pPr>
            <w:r>
              <w:rPr>
                <w:rFonts w:ascii="Calibri" w:cs="Calibri" w:eastAsia="Calibri" w:hAnsi="Calibri"/>
                <w:b w:val="false"/>
                <w:bCs w:val="false"/>
                <w:color w:val="000000"/>
                <w:sz w:val="17"/>
                <w:szCs w:val="17"/>
              </w:rPr>
              <w:t xml:space="preserve">5</w:t>
            </w:r>
          </w:p>
        </w:tc>
      </w:tr>
      <w:tr>
        <w:trPr>
          <w:tblHeader w:val="false"/>
        </w:trPr>
        <w:tc>
          <w:tcPr>
            <w:tcW w:type="pct" w:w="25%"/>
          </w:tcPr>
          <w:p>
            <w:pPr>
              <w:spacing w:after="30" w:before="30"/>
            </w:pPr>
            <w:r>
              <w:rPr>
                <w:rFonts w:ascii="Calibri" w:cs="Calibri" w:eastAsia="Calibri" w:hAnsi="Calibri"/>
                <w:b w:val="false"/>
                <w:bCs w:val="false"/>
                <w:color w:val="000000"/>
                <w:sz w:val="17"/>
                <w:szCs w:val="17"/>
              </w:rPr>
              <w:t xml:space="preserve">Macro &amp; Rates Intelligence</w:t>
            </w:r>
          </w:p>
        </w:tc>
        <w:tc>
          <w:tcPr>
            <w:tcW w:type="pct" w:w="30%"/>
          </w:tcPr>
          <w:p>
            <w:pPr>
              <w:spacing w:after="30" w:before="30"/>
            </w:pPr>
            <w:r>
              <w:rPr>
                <w:rFonts w:ascii="Calibri" w:cs="Calibri" w:eastAsia="Calibri" w:hAnsi="Calibri"/>
                <w:b w:val="false"/>
                <w:bCs w:val="false"/>
                <w:color w:val="000000"/>
                <w:sz w:val="17"/>
                <w:szCs w:val="17"/>
              </w:rPr>
              <w:t xml:space="preserve">30</w:t>
            </w:r>
          </w:p>
        </w:tc>
        <w:tc>
          <w:tcPr>
            <w:tcW w:type="pct" w:w="15%"/>
          </w:tcPr>
          <w:p>
            <w:pPr>
              <w:spacing w:after="30" w:before="30"/>
            </w:pPr>
            <w:r>
              <w:rPr>
                <w:rFonts w:ascii="Calibri" w:cs="Calibri" w:eastAsia="Calibri" w:hAnsi="Calibri"/>
                <w:b w:val="false"/>
                <w:bCs w:val="false"/>
                <w:color w:val="000000"/>
                <w:sz w:val="17"/>
                <w:szCs w:val="17"/>
              </w:rPr>
              <w:t xml:space="preserve">7</w:t>
            </w:r>
          </w:p>
        </w:tc>
        <w:tc>
          <w:tcPr>
            <w:tcW w:type="pct" w:w="15%"/>
          </w:tcPr>
          <w:p>
            <w:pPr>
              <w:spacing w:after="30" w:before="30"/>
            </w:pPr>
            <w:r>
              <w:rPr>
                <w:rFonts w:ascii="Calibri" w:cs="Calibri" w:eastAsia="Calibri" w:hAnsi="Calibri"/>
                <w:b w:val="false"/>
                <w:bCs w:val="false"/>
                <w:color w:val="000000"/>
                <w:sz w:val="17"/>
                <w:szCs w:val="17"/>
              </w:rPr>
              <w:t xml:space="preserve">18</w:t>
            </w:r>
          </w:p>
        </w:tc>
        <w:tc>
          <w:tcPr>
            <w:tcW w:type="pct" w:w="15%"/>
          </w:tcPr>
          <w:p>
            <w:pPr>
              <w:spacing w:after="30" w:before="30"/>
            </w:pPr>
            <w:r>
              <w:rPr>
                <w:rFonts w:ascii="Calibri" w:cs="Calibri" w:eastAsia="Calibri" w:hAnsi="Calibri"/>
                <w:b w:val="false"/>
                <w:bCs w:val="false"/>
                <w:color w:val="000000"/>
                <w:sz w:val="17"/>
                <w:szCs w:val="17"/>
              </w:rPr>
              <w:t xml:space="preserve">5</w:t>
            </w:r>
          </w:p>
        </w:tc>
      </w:tr>
      <w:tr>
        <w:trPr>
          <w:tblHeader w:val="false"/>
        </w:trPr>
        <w:tc>
          <w:tcPr>
            <w:tcW w:type="pct" w:w="25%"/>
          </w:tcPr>
          <w:p>
            <w:pPr>
              <w:spacing w:after="30" w:before="30"/>
            </w:pPr>
            <w:r>
              <w:rPr>
                <w:rFonts w:ascii="Calibri" w:cs="Calibri" w:eastAsia="Calibri" w:hAnsi="Calibri"/>
                <w:b w:val="false"/>
                <w:bCs w:val="false"/>
                <w:color w:val="000000"/>
                <w:sz w:val="17"/>
                <w:szCs w:val="17"/>
              </w:rPr>
              <w:t xml:space="preserve">Risk, Environmental &amp; Safety</w:t>
            </w:r>
          </w:p>
        </w:tc>
        <w:tc>
          <w:tcPr>
            <w:tcW w:type="pct" w:w="30%"/>
          </w:tcPr>
          <w:p>
            <w:pPr>
              <w:spacing w:after="30" w:before="30"/>
            </w:pPr>
            <w:r>
              <w:rPr>
                <w:rFonts w:ascii="Calibri" w:cs="Calibri" w:eastAsia="Calibri" w:hAnsi="Calibri"/>
                <w:b w:val="false"/>
                <w:bCs w:val="false"/>
                <w:color w:val="000000"/>
                <w:sz w:val="17"/>
                <w:szCs w:val="17"/>
              </w:rPr>
              <w:t xml:space="preserve">16</w:t>
            </w:r>
          </w:p>
        </w:tc>
        <w:tc>
          <w:tcPr>
            <w:tcW w:type="pct" w:w="15%"/>
          </w:tcPr>
          <w:p>
            <w:pPr>
              <w:spacing w:after="30" w:before="30"/>
            </w:pPr>
            <w:r>
              <w:rPr>
                <w:rFonts w:ascii="Calibri" w:cs="Calibri" w:eastAsia="Calibri" w:hAnsi="Calibri"/>
                <w:b w:val="false"/>
                <w:bCs w:val="false"/>
                <w:color w:val="000000"/>
                <w:sz w:val="17"/>
                <w:szCs w:val="17"/>
              </w:rPr>
              <w:t xml:space="preserve">5</w:t>
            </w:r>
          </w:p>
        </w:tc>
        <w:tc>
          <w:tcPr>
            <w:tcW w:type="pct" w:w="15%"/>
          </w:tcPr>
          <w:p>
            <w:pPr>
              <w:spacing w:after="30" w:before="30"/>
            </w:pPr>
            <w:r>
              <w:rPr>
                <w:rFonts w:ascii="Calibri" w:cs="Calibri" w:eastAsia="Calibri" w:hAnsi="Calibri"/>
                <w:b w:val="false"/>
                <w:bCs w:val="false"/>
                <w:color w:val="000000"/>
                <w:sz w:val="17"/>
                <w:szCs w:val="17"/>
              </w:rPr>
              <w:t xml:space="preserve">8</w:t>
            </w:r>
          </w:p>
        </w:tc>
        <w:tc>
          <w:tcPr>
            <w:tcW w:type="pct" w:w="15%"/>
          </w:tcPr>
          <w:p>
            <w:pPr>
              <w:spacing w:after="30" w:before="30"/>
            </w:pPr>
            <w:r>
              <w:rPr>
                <w:rFonts w:ascii="Calibri" w:cs="Calibri" w:eastAsia="Calibri" w:hAnsi="Calibri"/>
                <w:b w:val="false"/>
                <w:bCs w:val="false"/>
                <w:color w:val="000000"/>
                <w:sz w:val="17"/>
                <w:szCs w:val="17"/>
              </w:rPr>
              <w:t xml:space="preserve">3</w:t>
            </w:r>
          </w:p>
        </w:tc>
      </w:tr>
      <w:tr>
        <w:trPr>
          <w:tblHeader w:val="false"/>
        </w:trPr>
        <w:tc>
          <w:tcPr>
            <w:tcW w:type="pct" w:w="25%"/>
          </w:tcPr>
          <w:p>
            <w:pPr>
              <w:spacing w:after="30" w:before="30"/>
            </w:pPr>
            <w:r>
              <w:rPr>
                <w:rFonts w:ascii="Calibri" w:cs="Calibri" w:eastAsia="Calibri" w:hAnsi="Calibri"/>
                <w:b w:val="false"/>
                <w:bCs w:val="false"/>
                <w:color w:val="000000"/>
                <w:sz w:val="17"/>
                <w:szCs w:val="17"/>
              </w:rPr>
              <w:t xml:space="preserve">Zoning, Parcel &amp; Entitlement</w:t>
            </w:r>
          </w:p>
        </w:tc>
        <w:tc>
          <w:tcPr>
            <w:tcW w:type="pct" w:w="30%"/>
          </w:tcPr>
          <w:p>
            <w:pPr>
              <w:spacing w:after="30" w:before="30"/>
            </w:pPr>
            <w:r>
              <w:rPr>
                <w:rFonts w:ascii="Calibri" w:cs="Calibri" w:eastAsia="Calibri" w:hAnsi="Calibri"/>
                <w:b w:val="false"/>
                <w:bCs w:val="false"/>
                <w:color w:val="000000"/>
                <w:sz w:val="17"/>
                <w:szCs w:val="17"/>
              </w:rPr>
              <w:t xml:space="preserve">8</w:t>
            </w:r>
          </w:p>
        </w:tc>
        <w:tc>
          <w:tcPr>
            <w:tcW w:type="pct" w:w="15%"/>
          </w:tcPr>
          <w:p>
            <w:pPr>
              <w:spacing w:after="30" w:before="30"/>
            </w:pPr>
            <w:r>
              <w:rPr>
                <w:rFonts w:ascii="Calibri" w:cs="Calibri" w:eastAsia="Calibri" w:hAnsi="Calibri"/>
                <w:b w:val="false"/>
                <w:bCs w:val="false"/>
                <w:color w:val="000000"/>
                <w:sz w:val="17"/>
                <w:szCs w:val="17"/>
              </w:rPr>
              <w:t xml:space="preserve">1</w:t>
            </w:r>
          </w:p>
        </w:tc>
        <w:tc>
          <w:tcPr>
            <w:tcW w:type="pct" w:w="15%"/>
          </w:tcPr>
          <w:p>
            <w:pPr>
              <w:spacing w:after="30" w:before="30"/>
            </w:pPr>
            <w:r>
              <w:rPr>
                <w:rFonts w:ascii="Calibri" w:cs="Calibri" w:eastAsia="Calibri" w:hAnsi="Calibri"/>
                <w:b w:val="false"/>
                <w:bCs w:val="false"/>
                <w:color w:val="000000"/>
                <w:sz w:val="17"/>
                <w:szCs w:val="17"/>
              </w:rPr>
              <w:t xml:space="preserve">4</w:t>
            </w:r>
          </w:p>
        </w:tc>
        <w:tc>
          <w:tcPr>
            <w:tcW w:type="pct" w:w="15%"/>
          </w:tcPr>
          <w:p>
            <w:pPr>
              <w:spacing w:after="30" w:before="30"/>
            </w:pPr>
            <w:r>
              <w:rPr>
                <w:rFonts w:ascii="Calibri" w:cs="Calibri" w:eastAsia="Calibri" w:hAnsi="Calibri"/>
                <w:b w:val="false"/>
                <w:bCs w:val="false"/>
                <w:color w:val="000000"/>
                <w:sz w:val="17"/>
                <w:szCs w:val="17"/>
              </w:rPr>
              <w:t xml:space="preserve">3</w:t>
            </w:r>
          </w:p>
        </w:tc>
      </w:tr>
      <w:tr>
        <w:trPr>
          <w:tblHeader w:val="false"/>
        </w:trPr>
        <w:tc>
          <w:tcPr>
            <w:tcW w:type="pct" w:w="25%"/>
          </w:tcPr>
          <w:p>
            <w:pPr>
              <w:spacing w:after="30" w:before="30"/>
            </w:pPr>
            <w:r>
              <w:rPr>
                <w:rFonts w:ascii="Calibri" w:cs="Calibri" w:eastAsia="Calibri" w:hAnsi="Calibri"/>
                <w:b w:val="false"/>
                <w:bCs w:val="false"/>
                <w:color w:val="000000"/>
                <w:sz w:val="17"/>
                <w:szCs w:val="17"/>
              </w:rPr>
              <w:t xml:space="preserve">Underwriting &amp; Financial Modeling</w:t>
            </w:r>
          </w:p>
        </w:tc>
        <w:tc>
          <w:tcPr>
            <w:tcW w:type="pct" w:w="30%"/>
          </w:tcPr>
          <w:p>
            <w:pPr>
              <w:spacing w:after="30" w:before="30"/>
            </w:pPr>
            <w:r>
              <w:rPr>
                <w:rFonts w:ascii="Calibri" w:cs="Calibri" w:eastAsia="Calibri" w:hAnsi="Calibri"/>
                <w:b w:val="false"/>
                <w:bCs w:val="false"/>
                <w:color w:val="000000"/>
                <w:sz w:val="17"/>
                <w:szCs w:val="17"/>
              </w:rPr>
              <w:t xml:space="preserve">10</w:t>
            </w:r>
          </w:p>
        </w:tc>
        <w:tc>
          <w:tcPr>
            <w:tcW w:type="pct" w:w="15%"/>
          </w:tcPr>
          <w:p>
            <w:pPr>
              <w:spacing w:after="30" w:before="30"/>
            </w:pPr>
            <w:r>
              <w:rPr>
                <w:rFonts w:ascii="Calibri" w:cs="Calibri" w:eastAsia="Calibri" w:hAnsi="Calibri"/>
                <w:b w:val="false"/>
                <w:bCs w:val="false"/>
                <w:color w:val="000000"/>
                <w:sz w:val="17"/>
                <w:szCs w:val="17"/>
              </w:rPr>
              <w:t xml:space="preserve">3</w:t>
            </w:r>
          </w:p>
        </w:tc>
        <w:tc>
          <w:tcPr>
            <w:tcW w:type="pct" w:w="15%"/>
          </w:tcPr>
          <w:p>
            <w:pPr>
              <w:spacing w:after="30" w:before="30"/>
            </w:pPr>
            <w:r>
              <w:rPr>
                <w:rFonts w:ascii="Calibri" w:cs="Calibri" w:eastAsia="Calibri" w:hAnsi="Calibri"/>
                <w:b w:val="false"/>
                <w:bCs w:val="false"/>
                <w:color w:val="000000"/>
                <w:sz w:val="17"/>
                <w:szCs w:val="17"/>
              </w:rPr>
              <w:t xml:space="preserve">0</w:t>
            </w:r>
          </w:p>
        </w:tc>
        <w:tc>
          <w:tcPr>
            <w:tcW w:type="pct" w:w="15%"/>
          </w:tcPr>
          <w:p>
            <w:pPr>
              <w:spacing w:after="30" w:before="30"/>
            </w:pPr>
            <w:r>
              <w:rPr>
                <w:rFonts w:ascii="Calibri" w:cs="Calibri" w:eastAsia="Calibri" w:hAnsi="Calibri"/>
                <w:b w:val="false"/>
                <w:bCs w:val="false"/>
                <w:color w:val="000000"/>
                <w:sz w:val="17"/>
                <w:szCs w:val="17"/>
              </w:rPr>
              <w:t xml:space="preserve">7</w:t>
            </w:r>
          </w:p>
        </w:tc>
      </w:tr>
      <w:tr>
        <w:trPr>
          <w:tblHeader w:val="false"/>
        </w:trPr>
        <w:tc>
          <w:tcPr>
            <w:tcW w:type="pct" w:w="25%"/>
          </w:tcPr>
          <w:p>
            <w:pPr>
              <w:spacing w:after="30" w:before="30"/>
            </w:pPr>
            <w:r>
              <w:rPr>
                <w:rFonts w:ascii="Calibri" w:cs="Calibri" w:eastAsia="Calibri" w:hAnsi="Calibri"/>
                <w:b w:val="false"/>
                <w:bCs w:val="false"/>
                <w:color w:val="000000"/>
                <w:sz w:val="17"/>
                <w:szCs w:val="17"/>
              </w:rPr>
              <w:t xml:space="preserve">Lease &amp; Document Intelligence</w:t>
            </w:r>
          </w:p>
        </w:tc>
        <w:tc>
          <w:tcPr>
            <w:tcW w:type="pct" w:w="30%"/>
          </w:tcPr>
          <w:p>
            <w:pPr>
              <w:spacing w:after="30" w:before="30"/>
            </w:pPr>
            <w:r>
              <w:rPr>
                <w:rFonts w:ascii="Calibri" w:cs="Calibri" w:eastAsia="Calibri" w:hAnsi="Calibri"/>
                <w:b w:val="false"/>
                <w:bCs w:val="false"/>
                <w:color w:val="000000"/>
                <w:sz w:val="17"/>
                <w:szCs w:val="17"/>
              </w:rPr>
              <w:t xml:space="preserve">9</w:t>
            </w:r>
          </w:p>
        </w:tc>
        <w:tc>
          <w:tcPr>
            <w:tcW w:type="pct" w:w="15%"/>
          </w:tcPr>
          <w:p>
            <w:pPr>
              <w:spacing w:after="30" w:before="30"/>
            </w:pPr>
            <w:r>
              <w:rPr>
                <w:rFonts w:ascii="Calibri" w:cs="Calibri" w:eastAsia="Calibri" w:hAnsi="Calibri"/>
                <w:b w:val="false"/>
                <w:bCs w:val="false"/>
                <w:color w:val="000000"/>
                <w:sz w:val="17"/>
                <w:szCs w:val="17"/>
              </w:rPr>
              <w:t xml:space="preserve">2</w:t>
            </w:r>
          </w:p>
        </w:tc>
        <w:tc>
          <w:tcPr>
            <w:tcW w:type="pct" w:w="15%"/>
          </w:tcPr>
          <w:p>
            <w:pPr>
              <w:spacing w:after="30" w:before="30"/>
            </w:pPr>
            <w:r>
              <w:rPr>
                <w:rFonts w:ascii="Calibri" w:cs="Calibri" w:eastAsia="Calibri" w:hAnsi="Calibri"/>
                <w:b w:val="false"/>
                <w:bCs w:val="false"/>
                <w:color w:val="000000"/>
                <w:sz w:val="17"/>
                <w:szCs w:val="17"/>
              </w:rPr>
              <w:t xml:space="preserve">1</w:t>
            </w:r>
          </w:p>
        </w:tc>
        <w:tc>
          <w:tcPr>
            <w:tcW w:type="pct" w:w="15%"/>
          </w:tcPr>
          <w:p>
            <w:pPr>
              <w:spacing w:after="30" w:before="30"/>
            </w:pPr>
            <w:r>
              <w:rPr>
                <w:rFonts w:ascii="Calibri" w:cs="Calibri" w:eastAsia="Calibri" w:hAnsi="Calibri"/>
                <w:b w:val="false"/>
                <w:bCs w:val="false"/>
                <w:color w:val="000000"/>
                <w:sz w:val="17"/>
                <w:szCs w:val="17"/>
              </w:rPr>
              <w:t xml:space="preserve">6</w:t>
            </w:r>
          </w:p>
        </w:tc>
      </w:tr>
      <w:tr>
        <w:trPr>
          <w:tblHeader w:val="false"/>
        </w:trPr>
        <w:tc>
          <w:tcPr>
            <w:tcW w:type="pct" w:w="25%"/>
          </w:tcPr>
          <w:p>
            <w:pPr>
              <w:spacing w:after="30" w:before="30"/>
            </w:pPr>
            <w:r>
              <w:rPr>
                <w:rFonts w:ascii="Calibri" w:cs="Calibri" w:eastAsia="Calibri" w:hAnsi="Calibri"/>
                <w:b w:val="false"/>
                <w:bCs w:val="false"/>
                <w:color w:val="000000"/>
                <w:sz w:val="17"/>
                <w:szCs w:val="17"/>
              </w:rPr>
              <w:t xml:space="preserve">Capital Markets &amp; CMBS</w:t>
            </w:r>
          </w:p>
        </w:tc>
        <w:tc>
          <w:tcPr>
            <w:tcW w:type="pct" w:w="30%"/>
          </w:tcPr>
          <w:p>
            <w:pPr>
              <w:spacing w:after="30" w:before="30"/>
            </w:pPr>
            <w:r>
              <w:rPr>
                <w:rFonts w:ascii="Calibri" w:cs="Calibri" w:eastAsia="Calibri" w:hAnsi="Calibri"/>
                <w:b w:val="false"/>
                <w:bCs w:val="false"/>
                <w:color w:val="000000"/>
                <w:sz w:val="17"/>
                <w:szCs w:val="17"/>
              </w:rPr>
              <w:t xml:space="preserve">12</w:t>
            </w:r>
          </w:p>
        </w:tc>
        <w:tc>
          <w:tcPr>
            <w:tcW w:type="pct" w:w="15%"/>
          </w:tcPr>
          <w:p>
            <w:pPr>
              <w:spacing w:after="30" w:before="30"/>
            </w:pPr>
            <w:r>
              <w:rPr>
                <w:rFonts w:ascii="Calibri" w:cs="Calibri" w:eastAsia="Calibri" w:hAnsi="Calibri"/>
                <w:b w:val="false"/>
                <w:bCs w:val="false"/>
                <w:color w:val="000000"/>
                <w:sz w:val="17"/>
                <w:szCs w:val="17"/>
              </w:rPr>
              <w:t xml:space="preserve">3</w:t>
            </w:r>
          </w:p>
        </w:tc>
        <w:tc>
          <w:tcPr>
            <w:tcW w:type="pct" w:w="15%"/>
          </w:tcPr>
          <w:p>
            <w:pPr>
              <w:spacing w:after="30" w:before="30"/>
            </w:pPr>
            <w:r>
              <w:rPr>
                <w:rFonts w:ascii="Calibri" w:cs="Calibri" w:eastAsia="Calibri" w:hAnsi="Calibri"/>
                <w:b w:val="false"/>
                <w:bCs w:val="false"/>
                <w:color w:val="000000"/>
                <w:sz w:val="17"/>
                <w:szCs w:val="17"/>
              </w:rPr>
              <w:t xml:space="preserve">7</w:t>
            </w:r>
          </w:p>
        </w:tc>
        <w:tc>
          <w:tcPr>
            <w:tcW w:type="pct" w:w="15%"/>
          </w:tcPr>
          <w:p>
            <w:pPr>
              <w:spacing w:after="30" w:before="30"/>
            </w:pPr>
            <w:r>
              <w:rPr>
                <w:rFonts w:ascii="Calibri" w:cs="Calibri" w:eastAsia="Calibri" w:hAnsi="Calibri"/>
                <w:b w:val="false"/>
                <w:bCs w:val="false"/>
                <w:color w:val="000000"/>
                <w:sz w:val="17"/>
                <w:szCs w:val="17"/>
              </w:rPr>
              <w:t xml:space="preserve">2</w:t>
            </w:r>
          </w:p>
        </w:tc>
      </w:tr>
      <w:tr>
        <w:trPr>
          <w:tblHeader w:val="false"/>
        </w:trPr>
        <w:tc>
          <w:tcPr>
            <w:tcW w:type="pct" w:w="25%"/>
          </w:tcPr>
          <w:p>
            <w:pPr>
              <w:spacing w:after="30" w:before="30"/>
            </w:pPr>
            <w:r>
              <w:rPr>
                <w:rFonts w:ascii="Calibri" w:cs="Calibri" w:eastAsia="Calibri" w:hAnsi="Calibri"/>
                <w:b w:val="false"/>
                <w:bCs w:val="false"/>
                <w:color w:val="000000"/>
                <w:sz w:val="17"/>
                <w:szCs w:val="17"/>
              </w:rPr>
              <w:t xml:space="preserve">Israeli &amp; Global Capital Bridge</w:t>
            </w:r>
          </w:p>
        </w:tc>
        <w:tc>
          <w:tcPr>
            <w:tcW w:type="pct" w:w="30%"/>
          </w:tcPr>
          <w:p>
            <w:pPr>
              <w:spacing w:after="30" w:before="30"/>
            </w:pPr>
            <w:r>
              <w:rPr>
                <w:rFonts w:ascii="Calibri" w:cs="Calibri" w:eastAsia="Calibri" w:hAnsi="Calibri"/>
                <w:b w:val="false"/>
                <w:bCs w:val="false"/>
                <w:color w:val="000000"/>
                <w:sz w:val="17"/>
                <w:szCs w:val="17"/>
              </w:rPr>
              <w:t xml:space="preserve">15</w:t>
            </w:r>
          </w:p>
        </w:tc>
        <w:tc>
          <w:tcPr>
            <w:tcW w:type="pct" w:w="15%"/>
          </w:tcPr>
          <w:p>
            <w:pPr>
              <w:spacing w:after="30" w:before="30"/>
            </w:pPr>
            <w:r>
              <w:rPr>
                <w:rFonts w:ascii="Calibri" w:cs="Calibri" w:eastAsia="Calibri" w:hAnsi="Calibri"/>
                <w:b w:val="false"/>
                <w:bCs w:val="false"/>
                <w:color w:val="000000"/>
                <w:sz w:val="17"/>
                <w:szCs w:val="17"/>
              </w:rPr>
              <w:t xml:space="preserve">2</w:t>
            </w:r>
          </w:p>
        </w:tc>
        <w:tc>
          <w:tcPr>
            <w:tcW w:type="pct" w:w="15%"/>
          </w:tcPr>
          <w:p>
            <w:pPr>
              <w:spacing w:after="30" w:before="30"/>
            </w:pPr>
            <w:r>
              <w:rPr>
                <w:rFonts w:ascii="Calibri" w:cs="Calibri" w:eastAsia="Calibri" w:hAnsi="Calibri"/>
                <w:b w:val="false"/>
                <w:bCs w:val="false"/>
                <w:color w:val="000000"/>
                <w:sz w:val="17"/>
                <w:szCs w:val="17"/>
              </w:rPr>
              <w:t xml:space="preserve">11</w:t>
            </w:r>
          </w:p>
        </w:tc>
        <w:tc>
          <w:tcPr>
            <w:tcW w:type="pct" w:w="15%"/>
          </w:tcPr>
          <w:p>
            <w:pPr>
              <w:spacing w:after="30" w:before="30"/>
            </w:pPr>
            <w:r>
              <w:rPr>
                <w:rFonts w:ascii="Calibri" w:cs="Calibri" w:eastAsia="Calibri" w:hAnsi="Calibri"/>
                <w:b w:val="false"/>
                <w:bCs w:val="false"/>
                <w:color w:val="000000"/>
                <w:sz w:val="17"/>
                <w:szCs w:val="17"/>
              </w:rPr>
              <w:t xml:space="preserve">2</w:t>
            </w:r>
          </w:p>
        </w:tc>
      </w:tr>
      <w:tr>
        <w:trPr>
          <w:tblHeader w:val="false"/>
        </w:trPr>
        <w:tc>
          <w:tcPr>
            <w:tcW w:type="pct" w:w="25%"/>
          </w:tcPr>
          <w:p>
            <w:pPr>
              <w:spacing w:after="30" w:before="30"/>
            </w:pPr>
            <w:r>
              <w:rPr>
                <w:rFonts w:ascii="Calibri" w:cs="Calibri" w:eastAsia="Calibri" w:hAnsi="Calibri"/>
                <w:b w:val="false"/>
                <w:bCs w:val="false"/>
                <w:color w:val="000000"/>
                <w:sz w:val="17"/>
                <w:szCs w:val="17"/>
              </w:rPr>
              <w:t xml:space="preserve">News, Sentiment &amp; Regulatory</w:t>
            </w:r>
          </w:p>
        </w:tc>
        <w:tc>
          <w:tcPr>
            <w:tcW w:type="pct" w:w="30%"/>
          </w:tcPr>
          <w:p>
            <w:pPr>
              <w:spacing w:after="30" w:before="30"/>
            </w:pPr>
            <w:r>
              <w:rPr>
                <w:rFonts w:ascii="Calibri" w:cs="Calibri" w:eastAsia="Calibri" w:hAnsi="Calibri"/>
                <w:b w:val="false"/>
                <w:bCs w:val="false"/>
                <w:color w:val="000000"/>
                <w:sz w:val="17"/>
                <w:szCs w:val="17"/>
              </w:rPr>
              <w:t xml:space="preserve">25</w:t>
            </w:r>
          </w:p>
        </w:tc>
        <w:tc>
          <w:tcPr>
            <w:tcW w:type="pct" w:w="15%"/>
          </w:tcPr>
          <w:p>
            <w:pPr>
              <w:spacing w:after="30" w:before="30"/>
            </w:pPr>
            <w:r>
              <w:rPr>
                <w:rFonts w:ascii="Calibri" w:cs="Calibri" w:eastAsia="Calibri" w:hAnsi="Calibri"/>
                <w:b w:val="false"/>
                <w:bCs w:val="false"/>
                <w:color w:val="000000"/>
                <w:sz w:val="17"/>
                <w:szCs w:val="17"/>
              </w:rPr>
              <w:t xml:space="preserve">1</w:t>
            </w:r>
          </w:p>
        </w:tc>
        <w:tc>
          <w:tcPr>
            <w:tcW w:type="pct" w:w="15%"/>
          </w:tcPr>
          <w:p>
            <w:pPr>
              <w:spacing w:after="30" w:before="30"/>
            </w:pPr>
            <w:r>
              <w:rPr>
                <w:rFonts w:ascii="Calibri" w:cs="Calibri" w:eastAsia="Calibri" w:hAnsi="Calibri"/>
                <w:b w:val="false"/>
                <w:bCs w:val="false"/>
                <w:color w:val="000000"/>
                <w:sz w:val="17"/>
                <w:szCs w:val="17"/>
              </w:rPr>
              <w:t xml:space="preserve">14</w:t>
            </w:r>
          </w:p>
        </w:tc>
        <w:tc>
          <w:tcPr>
            <w:tcW w:type="pct" w:w="15%"/>
          </w:tcPr>
          <w:p>
            <w:pPr>
              <w:spacing w:after="30" w:before="30"/>
            </w:pPr>
            <w:r>
              <w:rPr>
                <w:rFonts w:ascii="Calibri" w:cs="Calibri" w:eastAsia="Calibri" w:hAnsi="Calibri"/>
                <w:b w:val="false"/>
                <w:bCs w:val="false"/>
                <w:color w:val="000000"/>
                <w:sz w:val="17"/>
                <w:szCs w:val="17"/>
              </w:rPr>
              <w:t xml:space="preserve">0</w:t>
            </w:r>
          </w:p>
        </w:tc>
      </w:tr>
      <w:tr>
        <w:trPr>
          <w:tblHeader w:val="false"/>
        </w:trPr>
        <w:tc>
          <w:tcPr>
            <w:tcW w:type="pct" w:w="25%"/>
          </w:tcPr>
          <w:p>
            <w:pPr>
              <w:spacing w:after="30" w:before="30"/>
            </w:pPr>
            <w:r>
              <w:rPr>
                <w:rFonts w:ascii="Calibri" w:cs="Calibri" w:eastAsia="Calibri" w:hAnsi="Calibri"/>
                <w:b w:val="false"/>
                <w:bCs w:val="false"/>
                <w:color w:val="000000"/>
                <w:sz w:val="17"/>
                <w:szCs w:val="17"/>
              </w:rPr>
              <w:t xml:space="preserve">Outreach, CRM &amp; Operations</w:t>
            </w:r>
          </w:p>
        </w:tc>
        <w:tc>
          <w:tcPr>
            <w:tcW w:type="pct" w:w="30%"/>
          </w:tcPr>
          <w:p>
            <w:pPr>
              <w:spacing w:after="30" w:before="30"/>
            </w:pPr>
            <w:r>
              <w:rPr>
                <w:rFonts w:ascii="Calibri" w:cs="Calibri" w:eastAsia="Calibri" w:hAnsi="Calibri"/>
                <w:b w:val="false"/>
                <w:bCs w:val="false"/>
                <w:color w:val="000000"/>
                <w:sz w:val="17"/>
                <w:szCs w:val="17"/>
              </w:rPr>
              <w:t xml:space="preserve">12</w:t>
            </w:r>
          </w:p>
        </w:tc>
        <w:tc>
          <w:tcPr>
            <w:tcW w:type="pct" w:w="15%"/>
          </w:tcPr>
          <w:p>
            <w:pPr>
              <w:spacing w:after="30" w:before="30"/>
            </w:pPr>
            <w:r>
              <w:rPr>
                <w:rFonts w:ascii="Calibri" w:cs="Calibri" w:eastAsia="Calibri" w:hAnsi="Calibri"/>
                <w:b w:val="false"/>
                <w:bCs w:val="false"/>
                <w:color w:val="000000"/>
                <w:sz w:val="17"/>
                <w:szCs w:val="17"/>
              </w:rPr>
              <w:t xml:space="preserve">4</w:t>
            </w:r>
          </w:p>
        </w:tc>
        <w:tc>
          <w:tcPr>
            <w:tcW w:type="pct" w:w="15%"/>
          </w:tcPr>
          <w:p>
            <w:pPr>
              <w:spacing w:after="30" w:before="30"/>
            </w:pPr>
            <w:r>
              <w:rPr>
                <w:rFonts w:ascii="Calibri" w:cs="Calibri" w:eastAsia="Calibri" w:hAnsi="Calibri"/>
                <w:b w:val="false"/>
                <w:bCs w:val="false"/>
                <w:color w:val="000000"/>
                <w:sz w:val="17"/>
                <w:szCs w:val="17"/>
              </w:rPr>
              <w:t xml:space="preserve">0</w:t>
            </w:r>
          </w:p>
        </w:tc>
        <w:tc>
          <w:tcPr>
            <w:tcW w:type="pct" w:w="15%"/>
          </w:tcPr>
          <w:p>
            <w:pPr>
              <w:spacing w:after="30" w:before="30"/>
            </w:pPr>
            <w:r>
              <w:rPr>
                <w:rFonts w:ascii="Calibri" w:cs="Calibri" w:eastAsia="Calibri" w:hAnsi="Calibri"/>
                <w:b w:val="false"/>
                <w:bCs w:val="false"/>
                <w:color w:val="000000"/>
                <w:sz w:val="17"/>
                <w:szCs w:val="17"/>
              </w:rPr>
              <w:t xml:space="preserve">8</w:t>
            </w:r>
          </w:p>
        </w:tc>
      </w:tr>
      <w:tr>
        <w:trPr>
          <w:tblHeader w:val="false"/>
        </w:trPr>
        <w:tc>
          <w:tcPr>
            <w:tcW w:type="pct" w:w="25%"/>
          </w:tcPr>
          <w:p>
            <w:pPr>
              <w:spacing w:after="30" w:before="30"/>
            </w:pPr>
            <w:r>
              <w:rPr>
                <w:rFonts w:ascii="Calibri" w:cs="Calibri" w:eastAsia="Calibri" w:hAnsi="Calibri"/>
                <w:b w:val="false"/>
                <w:bCs w:val="false"/>
                <w:color w:val="000000"/>
                <w:sz w:val="17"/>
                <w:szCs w:val="17"/>
              </w:rPr>
              <w:t xml:space="preserve">TOTAL</w:t>
            </w:r>
          </w:p>
        </w:tc>
        <w:tc>
          <w:tcPr>
            <w:tcW w:type="pct" w:w="30%"/>
          </w:tcPr>
          <w:p>
            <w:pPr>
              <w:spacing w:after="30" w:before="30"/>
            </w:pPr>
            <w:r>
              <w:rPr>
                <w:rFonts w:ascii="Calibri" w:cs="Calibri" w:eastAsia="Calibri" w:hAnsi="Calibri"/>
                <w:b w:val="false"/>
                <w:bCs w:val="false"/>
                <w:color w:val="000000"/>
                <w:sz w:val="17"/>
                <w:szCs w:val="17"/>
              </w:rPr>
              <w:t xml:space="preserve">174 (core)</w:t>
            </w:r>
          </w:p>
        </w:tc>
        <w:tc>
          <w:tcPr>
            <w:tcW w:type="pct" w:w="15%"/>
          </w:tcPr>
          <w:p>
            <w:pPr>
              <w:spacing w:after="30" w:before="30"/>
            </w:pPr>
            <w:r>
              <w:rPr>
                <w:rFonts w:ascii="Calibri" w:cs="Calibri" w:eastAsia="Calibri" w:hAnsi="Calibri"/>
                <w:b w:val="false"/>
                <w:bCs w:val="false"/>
                <w:color w:val="000000"/>
                <w:sz w:val="17"/>
                <w:szCs w:val="17"/>
              </w:rPr>
              <w:t xml:space="preserve">41</w:t>
            </w:r>
          </w:p>
        </w:tc>
        <w:tc>
          <w:tcPr>
            <w:tcW w:type="pct" w:w="15%"/>
          </w:tcPr>
          <w:p>
            <w:pPr>
              <w:spacing w:after="30" w:before="30"/>
            </w:pPr>
            <w:r>
              <w:rPr>
                <w:rFonts w:ascii="Calibri" w:cs="Calibri" w:eastAsia="Calibri" w:hAnsi="Calibri"/>
                <w:b w:val="false"/>
                <w:bCs w:val="false"/>
                <w:color w:val="000000"/>
                <w:sz w:val="17"/>
                <w:szCs w:val="17"/>
              </w:rPr>
              <w:t xml:space="preserve">69</w:t>
            </w:r>
          </w:p>
        </w:tc>
        <w:tc>
          <w:tcPr>
            <w:tcW w:type="pct" w:w="15%"/>
          </w:tcPr>
          <w:p>
            <w:pPr>
              <w:spacing w:after="30" w:before="30"/>
            </w:pPr>
            <w:r>
              <w:rPr>
                <w:rFonts w:ascii="Calibri" w:cs="Calibri" w:eastAsia="Calibri" w:hAnsi="Calibri"/>
                <w:b w:val="false"/>
                <w:bCs w:val="false"/>
                <w:color w:val="000000"/>
                <w:sz w:val="17"/>
                <w:szCs w:val="17"/>
              </w:rPr>
              <w:t xml:space="preserve">54</w:t>
            </w:r>
          </w:p>
        </w:tc>
      </w:tr>
    </w:tbl>
    <w:p>
      <w:pPr>
        <w:spacing w:after="80"/>
      </w:pPr>
      <w:r>
        <w:rPr>
          <w:rFonts w:ascii="Calibri" w:cs="Calibri" w:eastAsia="Calibri" w:hAnsi="Calibri"/>
          <w:i/>
          <w:iCs/>
          <w:color w:val="666666"/>
          <w:sz w:val="20"/>
          <w:szCs w:val="20"/>
        </w:rPr>
        <w:t xml:space="preserve">Note: Master inventory tracks 233 total tools including build-stack (Next.js, Supabase, Claude, etc.) and competitive benchmarks. The 174 above are data sources only.</w:t>
      </w:r>
    </w:p>
    <w:sectPr>
      <w:pgSz w:w="12240" w:h="15840" w:orient="portrait"/>
      <w:pgMar w:top="1296" w:right="1152" w:bottom="1296"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2026-06-01T18:29:45.973Z</dcterms:created>
  <dcterms:modified xsi:type="dcterms:W3CDTF">2026-06-01T18:29:45.973Z</dcterms:modified>
</cp:coreProperties>
</file>

<file path=docProps/custom.xml><?xml version="1.0" encoding="utf-8"?>
<Properties xmlns="http://schemas.openxmlformats.org/officeDocument/2006/custom-properties" xmlns:vt="http://schemas.openxmlformats.org/officeDocument/2006/docPropsVTypes"/>
</file>