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F4E79"/>
          <w:sz w:val="60"/>
          <w:szCs w:val="60"/>
        </w:rPr>
        <w:t xml:space="preserve">VERIFY-DR</w:t>
      </w:r>
    </w:p>
    <w:p>
      <w:pPr>
        <w:spacing w:after="300"/>
        <w:jc w:val="center"/>
      </w:pPr>
      <w:r>
        <w:rPr>
          <w:color w:val="444444"/>
          <w:sz w:val="30"/>
          <w:szCs w:val="30"/>
        </w:rPr>
        <w:t xml:space="preserve">Project Assessment and Revised Plan</w:t>
      </w:r>
    </w:p>
    <w:p>
      <w:pPr>
        <w:pBdr>
          <w:top w:val="single" w:color="1F4E79" w:sz="6"/>
        </w:pBdr>
        <w:spacing w:after="700"/>
        <w:jc w:val="center"/>
      </w:pPr>
    </w:p>
    <w:p>
      <w:pPr>
        <w:spacing w:after="120"/>
        <w:jc w:val="center"/>
      </w:pPr>
      <w:r>
        <w:rPr>
          <w:i/>
          <w:iCs/>
          <w:color w:val="444444"/>
          <w:sz w:val="24"/>
          <w:szCs w:val="24"/>
        </w:rPr>
        <w:t xml:space="preserve">Evidence-verified diabetic retinopathy grading with disagreement-gated referral</w:t>
      </w:r>
    </w:p>
    <w:p>
      <w:pPr>
        <w:spacing w:after="1200"/>
        <w:jc w:val="center"/>
      </w:pPr>
      <w:r>
        <w:rPr>
          <w:color w:val="666666"/>
          <w:sz w:val="20"/>
          <w:szCs w:val="20"/>
        </w:rPr>
        <w:t xml:space="preserve">MSc thesis — assessment of the EyePACS-centred blueprint, revised design, and experiment programme</w:t>
      </w:r>
    </w:p>
    <w:p>
      <w:pPr>
        <w:spacing w:after="60"/>
        <w:jc w:val="center"/>
      </w:pPr>
      <w:r>
        <w:rPr>
          <w:color w:val="666666"/>
          <w:sz w:val="20"/>
          <w:szCs w:val="20"/>
        </w:rPr>
        <w:t xml:space="preserve">Prepared for supervisor review</w:t>
      </w:r>
    </w:p>
    <w:p>
      <w:pPr>
        <w:jc w:val="center"/>
      </w:pPr>
      <w:r>
        <w:rPr>
          <w:color w:val="666666"/>
          <w:sz w:val="20"/>
          <w:szCs w:val="20"/>
        </w:rPr>
        <w:t xml:space="preserve">13 September 2026</w:t>
      </w:r>
    </w:p>
    <w:p>
      <w:r>
        <w:br w:type="page"/>
      </w:r>
    </w:p>
    <w:p>
      <w:pPr>
        <w:pStyle w:val="Heading1"/>
        <w:spacing w:after="140" w:before="36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120" w:line="276"/>
      </w:pPr>
      <w:r>
        <w:rPr>
          <w:i/>
          <w:iCs/>
          <w:color w:val="888888"/>
          <w:sz w:val="18"/>
          <w:szCs w:val="18"/>
        </w:rPr>
        <w:t xml:space="preserve">(Right-click → Update Field in Word to populate page numbers.)</w:t>
      </w:r>
    </w:p>
    <w:p>
      <w:r>
        <w:br w:type="page"/>
      </w:r>
    </w:p>
    <w:p>
      <w:pPr>
        <w:pStyle w:val="Heading1"/>
        <w:spacing w:after="140" w:before="360"/>
      </w:pPr>
      <w:r>
        <w:rPr>
          <w:b/>
          <w:bCs/>
          <w:color w:val="1F4E79"/>
          <w:sz w:val="30"/>
          <w:szCs w:val="30"/>
        </w:rPr>
        <w:t xml:space="preserve">1. Executive summary</w:t>
      </w:r>
    </w:p>
    <w:p>
      <w:pPr>
        <w:spacing w:after="120" w:before="0" w:line="276"/>
      </w:pPr>
      <w:r>
        <w:rPr>
          <w:sz w:val="21"/>
          <w:szCs w:val="21"/>
        </w:rPr>
        <w:t xml:space="preserve">The original blueprint describes an ambitious auditable diabetic-retinopathy (DR) grading system built around EyePACS, with an independent lesion-evidence pathway, an ICDR rule reasoner, counterfactual verification, calibration, out-of-distribution screening and selective triage.</w:t>
      </w:r>
    </w:p>
    <w:p>
      <w:pPr>
        <w:spacing w:after="120" w:before="0" w:line="276"/>
      </w:pPr>
      <w:r>
        <w:rPr>
          <w:sz w:val="21"/>
          <w:szCs w:val="21"/>
        </w:rPr>
        <w:t xml:space="preserve">The engineering discipline in that document is unusually good — a locked external dataset, an explicit manifest contract, multi-seed evaluation and an intent to group splits by patient are better than much of the published DR literature. The problems are in scope and in scientific framing, not in care.</w:t>
      </w:r>
    </w:p>
    <w:p>
      <w:pPr>
        <w:spacing w:after="80"/>
      </w:pPr>
    </w:p>
    <w:tbl>
      <w:tblPr>
        <w:tblW w:type="dxa" w:w="9026"/>
        <w:tblBorders>
          <w:top w:val="single" w:color="1F4E79" w:sz="4"/>
          <w:left w:val="none"/>
          <w:bottom w:val="single" w:color="1F4E79" w:sz="4"/>
          <w:right w:val="none"/>
          <w:insideH w:val="single" w:color="BFCDDC" w:sz="1"/>
          <w:insideV w:val="none"/>
        </w:tblBorders>
      </w:tblPr>
      <w:tblGrid>
        <w:gridCol w:w="2600"/>
        <w:gridCol w:w="6426"/>
      </w:tblGrid>
      <w:tr>
        <w:trPr>
          <w:tblHeader/>
        </w:trPr>
        <w:tc>
          <w:tcPr>
            <w:tcW w:type="dxa" w:w="2600"/>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c>
          <w:tcPr>
            <w:tcW w:type="dxa" w:w="6426"/>
            <w:shd w:fill="DCE6F1" w:color="auto" w:val="clear"/>
            <w:tcMar>
              <w:top w:type="dxa" w:w="70"/>
              <w:left w:type="dxa" w:w="110"/>
              <w:bottom w:type="dxa" w:w="70"/>
              <w:right w:type="dxa" w:w="110"/>
            </w:tcMar>
            <w:vAlign w:val="center"/>
          </w:tcPr>
          <w:p>
            <w:pPr>
              <w:spacing w:after="0" w:line="250"/>
            </w:pPr>
            <w:r>
              <w:rPr>
                <w:b/>
                <w:bCs/>
                <w:sz w:val="19"/>
                <w:szCs w:val="19"/>
              </w:rPr>
              <w:t xml:space="preserve">Assessment</w:t>
            </w:r>
          </w:p>
        </w:tc>
      </w:tr>
      <w:tr>
        <w:tc>
          <w:tcPr>
            <w:tcW w:type="dxa" w:w="2600"/>
            <w:tcMar>
              <w:top w:type="dxa" w:w="70"/>
              <w:left w:type="dxa" w:w="110"/>
              <w:bottom w:type="dxa" w:w="70"/>
              <w:right w:type="dxa" w:w="110"/>
            </w:tcMar>
            <w:vAlign w:val="center"/>
          </w:tcPr>
          <w:p>
            <w:pPr>
              <w:spacing w:after="0" w:line="250"/>
            </w:pPr>
            <w:r>
              <w:rPr>
                <w:b/>
                <w:bCs/>
                <w:sz w:val="19"/>
                <w:szCs w:val="19"/>
              </w:rPr>
              <w:t xml:space="preserve">Viable as an MSc thesis?</w:t>
            </w:r>
          </w:p>
        </w:tc>
        <w:tc>
          <w:tcPr>
            <w:tcW w:type="dxa" w:w="6426"/>
            <w:tcMar>
              <w:top w:type="dxa" w:w="70"/>
              <w:left w:type="dxa" w:w="110"/>
              <w:bottom w:type="dxa" w:w="70"/>
              <w:right w:type="dxa" w:w="110"/>
            </w:tcMar>
            <w:vAlign w:val="center"/>
          </w:tcPr>
          <w:p>
            <w:pPr>
              <w:spacing w:after="0" w:line="250"/>
            </w:pPr>
            <w:r>
              <w:rPr>
                <w:b w:val="false"/>
                <w:bCs w:val="false"/>
                <w:sz w:val="19"/>
                <w:szCs w:val="19"/>
              </w:rPr>
              <w:t xml:space="preserve">Yes, but over-scoped by roughly 3× and centred on a component the blueprint itself admits it cannot train.</w:t>
            </w:r>
          </w:p>
        </w:tc>
      </w:tr>
      <w:tr>
        <w:tc>
          <w:tcPr>
            <w:tcW w:type="dxa" w:w="2600"/>
            <w:shd w:fill="F2F6FA" w:color="auto" w:val="clear"/>
            <w:tcMar>
              <w:top w:type="dxa" w:w="70"/>
              <w:left w:type="dxa" w:w="110"/>
              <w:bottom w:type="dxa" w:w="70"/>
              <w:right w:type="dxa" w:w="110"/>
            </w:tcMar>
            <w:vAlign w:val="center"/>
          </w:tcPr>
          <w:p>
            <w:pPr>
              <w:spacing w:after="0" w:line="250"/>
            </w:pPr>
            <w:r>
              <w:rPr>
                <w:b/>
                <w:bCs/>
                <w:sz w:val="19"/>
                <w:szCs w:val="19"/>
              </w:rPr>
              <w:t xml:space="preserve">New or better than existing papers?</w:t>
            </w:r>
          </w:p>
        </w:tc>
        <w:tc>
          <w:tcPr>
            <w:tcW w:type="dxa" w:w="6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Not as written. Every component is individually published, and the specified recipe will produce accuracy below the 2015 Kaggle leaderboard. One narrow axis is genuinely novel.</w:t>
            </w:r>
          </w:p>
        </w:tc>
      </w:tr>
      <w:tr>
        <w:tc>
          <w:tcPr>
            <w:tcW w:type="dxa" w:w="2600"/>
            <w:tcMar>
              <w:top w:type="dxa" w:w="70"/>
              <w:left w:type="dxa" w:w="110"/>
              <w:bottom w:type="dxa" w:w="70"/>
              <w:right w:type="dxa" w:w="110"/>
            </w:tcMar>
            <w:vAlign w:val="center"/>
          </w:tcPr>
          <w:p>
            <w:pPr>
              <w:spacing w:after="0" w:line="250"/>
            </w:pPr>
            <w:r>
              <w:rPr>
                <w:b/>
                <w:bCs/>
                <w:sz w:val="19"/>
                <w:szCs w:val="19"/>
              </w:rPr>
              <w:t xml:space="preserve">Works cross-dataset?</w:t>
            </w:r>
          </w:p>
        </w:tc>
        <w:tc>
          <w:tcPr>
            <w:tcW w:type="dxa" w:w="6426"/>
            <w:tcMar>
              <w:top w:type="dxa" w:w="70"/>
              <w:left w:type="dxa" w:w="110"/>
              <w:bottom w:type="dxa" w:w="70"/>
              <w:right w:type="dxa" w:w="110"/>
            </w:tcMar>
            <w:vAlign w:val="center"/>
          </w:tcPr>
          <w:p>
            <w:pPr>
              <w:spacing w:after="0" w:line="250"/>
            </w:pPr>
            <w:r>
              <w:rPr>
                <w:b w:val="false"/>
                <w:bCs w:val="false"/>
                <w:sz w:val="19"/>
                <w:szCs w:val="19"/>
              </w:rPr>
              <w:t xml:space="preserve">Yes — this is the strongest part of the design. But calibration, not accuracy, is what will break.</w:t>
            </w:r>
          </w:p>
        </w:tc>
      </w:tr>
    </w:tbl>
    <w:p>
      <w:pPr>
        <w:spacing w:after="160"/>
      </w:pP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EAF3FB" w:color="auto" w:val="clear"/>
            <w:tcMar>
              <w:top w:type="dxa" w:w="140"/>
              <w:left w:type="dxa" w:w="200"/>
              <w:bottom w:type="dxa" w:w="140"/>
              <w:right w:type="dxa" w:w="200"/>
            </w:tcMar>
          </w:tcPr>
          <w:p>
            <w:pPr>
              <w:spacing w:after="60"/>
            </w:pPr>
            <w:r>
              <w:rPr>
                <w:b/>
                <w:bCs/>
                <w:color w:val="1F4E79"/>
                <w:sz w:val="21"/>
                <w:szCs w:val="21"/>
              </w:rPr>
              <w:t xml:space="preserve">The single most important change</w:t>
            </w:r>
          </w:p>
          <w:p>
            <w:pPr>
              <w:spacing w:after="40" w:line="276"/>
            </w:pPr>
            <w:r>
              <w:rPr>
                <w:sz w:val="21"/>
                <w:szCs w:val="21"/>
              </w:rPr>
              <w:t xml:space="preserve">Stop competing on grading accuracy. Compete on knowing when the grade can be trusted.</w:t>
            </w:r>
          </w:p>
          <w:p>
            <w:pPr>
              <w:spacing w:after="40" w:line="276"/>
            </w:pPr>
            <w:r>
              <w:rPr>
                <w:sz w:val="21"/>
                <w:szCs w:val="21"/>
              </w:rPr>
              <w:t xml:space="preserve">The revised thesis asks one question: can disagreement between an image-level grader and an independently-supervised lesion-evidence pathway decide which automated gradings to trust — better than the model's own confidence, and does that survive a change of dataset?</w:t>
            </w:r>
          </w:p>
        </w:tc>
      </w:tr>
    </w:tbl>
    <w:p>
      <w:r>
        <w:br w:type="page"/>
      </w:r>
    </w:p>
    <w:p>
      <w:pPr>
        <w:pStyle w:val="Heading1"/>
        <w:spacing w:after="140" w:before="360"/>
      </w:pPr>
      <w:r>
        <w:rPr>
          <w:b/>
          <w:bCs/>
          <w:color w:val="1F4E79"/>
          <w:sz w:val="30"/>
          <w:szCs w:val="30"/>
        </w:rPr>
        <w:t xml:space="preserve">2. Assessment of the original blueprint</w:t>
      </w:r>
    </w:p>
    <w:p>
      <w:pPr>
        <w:pStyle w:val="Heading2"/>
        <w:spacing w:after="140" w:before="260"/>
      </w:pPr>
      <w:r>
        <w:rPr>
          <w:b/>
          <w:bCs/>
          <w:color w:val="1F4E79"/>
          <w:sz w:val="24"/>
          <w:szCs w:val="24"/>
        </w:rPr>
        <w:t xml:space="preserve">2.1 The headline contribution is unimplementable as specified</w:t>
      </w:r>
    </w:p>
    <w:p>
      <w:pPr>
        <w:spacing w:after="120" w:before="0" w:line="276"/>
      </w:pPr>
      <w:r>
        <w:rPr>
          <w:sz w:val="21"/>
          <w:szCs w:val="21"/>
        </w:rPr>
        <w:t xml:space="preserve">The blueprint's pitch is an independent evidence pathway feeding an ICDR reasoner with counterfactual verification. Section 11 then concedes that the datasets carry no lesion masks, so the evidence model is untrained, the reasoner has no facts, and the triage policy defers everything. An examiner will ask what was actually evaluated, and the honest answer is “an ordinal EfficientNet-B0”.</w:t>
      </w:r>
    </w:p>
    <w:p>
      <w:pPr>
        <w:spacing w:after="120" w:before="0" w:line="276"/>
      </w:pPr>
      <w:r>
        <w:rPr>
          <w:b/>
          <w:bCs/>
          <w:sz w:val="21"/>
          <w:szCs w:val="21"/>
        </w:rPr>
        <w:t xml:space="preserve">Two details make this worse than the blueprint suggests.</w:t>
      </w:r>
    </w:p>
    <w:p>
      <w:pPr>
        <w:pStyle w:val="ListParagraph"/>
        <w:numPr>
          <w:ilvl w:val="0"/>
          <w:numId w:val="2"/>
        </w:numPr>
        <w:spacing w:after="80" w:line="276"/>
      </w:pPr>
      <w:r>
        <w:rPr>
          <w:sz w:val="21"/>
          <w:szCs w:val="21"/>
        </w:rPr>
        <w:t xml:space="preserve">The eight lesion channels do not exist in any Kaggle-available dataset. DDR — already loaded by the blueprint for grading — ships a pixel-annotated segmentation subset of roughly 757 images with four lesion types. IDRiD adds 81 more, plus optic-disc and fovea coordinates. The blueprint discards exactly the annotations its architecture requires.</w:t>
      </w:r>
    </w:p>
    <w:p>
      <w:pPr>
        <w:pStyle w:val="ListParagraph"/>
        <w:numPr>
          <w:ilvl w:val="0"/>
          <w:numId w:val="2"/>
        </w:numPr>
        <w:spacing w:after="80" w:line="276"/>
      </w:pPr>
      <w:r>
        <w:rPr>
          <w:sz w:val="21"/>
          <w:szCs w:val="21"/>
        </w:rPr>
        <w:t xml:space="preserve">The ICDR rules cannot be evaluated from masks alone. The 4-2-1 rule needs haemorrhage counts per quadrant, venous beading in at least two quadrants, and IRMA in at least one. Segmentation gives pixels, not quadrants; quadrants need optic-disc and fovea localisation to establish a coordinate frame. Venous beading, IRMA and neovascularisation have no pixel labels anywhere on Kaggle.</w:t>
      </w:r>
    </w:p>
    <w:p>
      <w:pPr>
        <w:spacing w:after="120" w:before="0" w:line="276"/>
      </w:pPr>
      <w:r>
        <w:rPr>
          <w:i/>
          <w:iCs/>
          <w:sz w:val="21"/>
          <w:szCs w:val="21"/>
        </w:rPr>
        <w:t xml:space="preserve">Both are fixable, and the fixes are in Section 4.</w:t>
      </w:r>
    </w:p>
    <w:p>
      <w:pPr>
        <w:pStyle w:val="Heading2"/>
        <w:spacing w:after="140" w:before="260"/>
      </w:pPr>
      <w:r>
        <w:rPr>
          <w:b/>
          <w:bCs/>
          <w:color w:val="1F4E79"/>
          <w:sz w:val="24"/>
          <w:szCs w:val="24"/>
        </w:rPr>
        <w:t xml:space="preserve">2.2 Two flaws that would inflate or invalidate the numbers</w:t>
      </w:r>
    </w:p>
    <w:p>
      <w:pPr>
        <w:spacing w:after="120" w:before="0" w:line="276"/>
      </w:pPr>
      <w:r>
        <w:rPr>
          <w:b/>
          <w:bCs/>
          <w:sz w:val="21"/>
          <w:szCs w:val="21"/>
        </w:rPr>
        <w:t xml:space="preserve">Patient leakage. </w:t>
      </w:r>
      <w:r>
        <w:rPr>
          <w:sz w:val="21"/>
          <w:szCs w:val="21"/>
        </w:rPr>
        <w:t xml:space="preserve">The blueprint's “conservative image-stem proxy” makes every image its own patient, so a patient's left and right eyes land on opposite sides of the split. Both eyes of one diabetic are strongly correlated; this measurably inflates QWK, and DR reviewers check for it. EyePACS filenames are </w:t>
      </w:r>
      <w:r>
        <w:rPr>
          <w:rFonts w:ascii="Consolas" w:cs="Consolas" w:eastAsia="Consolas" w:hAnsi="Consolas"/>
          <w:sz w:val="21"/>
          <w:szCs w:val="21"/>
        </w:rPr>
        <w:t xml:space="preserve">&lt;patient&gt;_left</w:t>
      </w:r>
      <w:r>
        <w:rPr>
          <w:sz w:val="21"/>
          <w:szCs w:val="21"/>
        </w:rPr>
        <w:t xml:space="preserve"> / </w:t>
      </w:r>
      <w:r>
        <w:rPr>
          <w:rFonts w:ascii="Consolas" w:cs="Consolas" w:eastAsia="Consolas" w:hAnsi="Consolas"/>
          <w:sz w:val="21"/>
          <w:szCs w:val="21"/>
        </w:rPr>
        <w:t xml:space="preserve">&lt;patient&gt;_right</w:t>
      </w:r>
      <w:r>
        <w:rPr>
          <w:sz w:val="21"/>
          <w:szCs w:val="21"/>
        </w:rPr>
        <w:t xml:space="preserve"> — real patient identifiers are available for free.</w:t>
      </w:r>
    </w:p>
    <w:p>
      <w:pPr>
        <w:spacing w:after="120" w:before="0" w:line="276"/>
      </w:pPr>
      <w:r>
        <w:rPr>
          <w:b/>
          <w:bCs/>
          <w:sz w:val="21"/>
          <w:szCs w:val="21"/>
        </w:rPr>
        <w:t xml:space="preserve">Unspecified input resolution. </w:t>
      </w:r>
      <w:r>
        <w:rPr>
          <w:sz w:val="21"/>
          <w:szCs w:val="21"/>
        </w:rPr>
        <w:t xml:space="preserve">Grade 1 is microaneurysms only. A microaneurysm is roughly 10–20 pixels at full resolution and does not survive aggressive downsampling. The blueprint pins backbone, sampler, focal gamma and epoch count, but never pins image size — which is the single largest lever on QWK in this task.</w:t>
      </w:r>
    </w:p>
    <w:p>
      <w:pPr>
        <w:spacing w:after="120" w:before="0" w:line="276"/>
      </w:pPr>
      <w:r>
        <w:rPr>
          <w:sz w:val="21"/>
          <w:szCs w:val="21"/>
        </w:rPr>
        <w:t xml:space="preserve">Secondary: no ensembling and no two-eye fusion. Every strong EyePACS result exploits inter-eye correlation. Skipping it while training eight epochs of EfficientNet-B0 makes an internal QWK around 0.75–0.82 the likely outcome, against roughly 0.85 for the 2015 competition winner.</w:t>
      </w:r>
    </w:p>
    <w:p>
      <w:pPr>
        <w:pStyle w:val="Heading2"/>
        <w:spacing w:after="140" w:before="260"/>
      </w:pPr>
      <w:r>
        <w:rPr>
          <w:b/>
          <w:bCs/>
          <w:color w:val="1F4E79"/>
          <w:sz w:val="24"/>
          <w:szCs w:val="24"/>
        </w:rPr>
        <w:t xml:space="preserve">2.3 The compute plan does not fit on Kaggle</w:t>
      </w:r>
    </w:p>
    <w:p>
      <w:pPr>
        <w:spacing w:after="120" w:before="0" w:line="276"/>
      </w:pPr>
      <w:r>
        <w:rPr>
          <w:sz w:val="21"/>
          <w:szCs w:val="21"/>
        </w:rPr>
        <w:t xml:space="preserve">Kaggle provides 30 GPU-hours per week with a 12-hour session cap. Full EyePACS at 512 px for eight epochs on a T4 is roughly 3–5 hours per run, with JPEG decode of large fundus images — not the GPU — as the bottleneck. The blueprint's schedule of four variants × three suites × multiple configurations × three seeds runs into the low hundreds of GPU-hours per variant: approximately a year of wall-clock time.</w:t>
      </w:r>
    </w:p>
    <w:tbl>
      <w:tblPr>
        <w:tblW w:type="dxa" w:w="9026"/>
        <w:tblBorders>
          <w:top w:val="single" w:color="2E7D32" w:sz="2"/>
          <w:left w:val="single" w:color="2E7D32" w:sz="18"/>
          <w:bottom w:val="single" w:color="2E7D32" w:sz="2"/>
          <w:right w:val="single" w:color="2E7D32" w:sz="2"/>
          <w:insideH w:val="none"/>
          <w:insideV w:val="none"/>
        </w:tblBorders>
      </w:tblPr>
      <w:tblGrid>
        <w:gridCol w:w="9026"/>
      </w:tblGrid>
      <w:tr>
        <w:tc>
          <w:tcPr>
            <w:tcW w:type="dxa" w:w="9026"/>
            <w:shd w:fill="E8F5E9" w:color="auto" w:val="clear"/>
            <w:tcMar>
              <w:top w:type="dxa" w:w="140"/>
              <w:left w:type="dxa" w:w="200"/>
              <w:bottom w:type="dxa" w:w="140"/>
              <w:right w:type="dxa" w:w="200"/>
            </w:tcMar>
          </w:tcPr>
          <w:p>
            <w:pPr>
              <w:spacing w:after="60"/>
            </w:pPr>
            <w:r>
              <w:rPr>
                <w:b/>
                <w:bCs/>
                <w:color w:val="2E7D32"/>
                <w:sz w:val="21"/>
                <w:szCs w:val="21"/>
              </w:rPr>
              <w:t xml:space="preserve">The fix that makes the project feasible</w:t>
            </w:r>
          </w:p>
          <w:p>
            <w:pPr>
              <w:spacing w:after="40" w:line="276"/>
            </w:pPr>
            <w:r>
              <w:rPr>
                <w:sz w:val="21"/>
                <w:szCs w:val="21"/>
              </w:rPr>
              <w:t xml:space="preserve">Pre-resize the corpus to 512 px once and publish it as a private Kaggle dataset. Epoch time drops from 25–40 minutes to 7–9 minutes; a training run drops from about 4 hours to about 1.5. Combined with a trimmed experiment grid, total project cost falls to roughly 100 GPU-hours — three to four weeks of quota.</w:t>
            </w:r>
          </w:p>
        </w:tc>
      </w:tr>
    </w:tbl>
    <w:p>
      <w:pPr>
        <w:pStyle w:val="Heading2"/>
        <w:spacing w:after="140" w:before="260"/>
      </w:pPr>
      <w:r>
        <w:rPr>
          <w:b/>
          <w:bCs/>
          <w:color w:val="1F4E79"/>
          <w:sz w:val="24"/>
          <w:szCs w:val="24"/>
        </w:rPr>
        <w:t xml:space="preserve">2.4 Is any of it new?</w:t>
      </w:r>
    </w:p>
    <w:p>
      <w:pPr>
        <w:spacing w:after="120" w:before="0" w:line="276"/>
      </w:pPr>
      <w:r>
        <w:rPr>
          <w:sz w:val="21"/>
          <w:szCs w:val="21"/>
        </w:rPr>
        <w:t xml:space="preserve">Component by component: ordinal thresholds (CORAL/CORN), temperature scaling (Guo 2017), uncertainty-based referral in DR specifically (Leibig 2017), lesion-aware grading (Wei 2020; Sun 2021), counterfactual explanation for DR (Boreiko 2022) and embedding-distance OOD detection are all published, most of them in DR. Integration alone is an engineering contribution, not a research one.</w:t>
      </w:r>
    </w:p>
    <w:p>
      <w:pPr>
        <w:spacing w:after="120" w:before="0" w:line="276"/>
      </w:pPr>
      <w:r>
        <w:rPr>
          <w:b/>
          <w:bCs/>
          <w:sz w:val="21"/>
          <w:szCs w:val="21"/>
        </w:rPr>
        <w:t xml:space="preserve">Where genuine novelty is available:</w:t>
      </w:r>
    </w:p>
    <w:tbl>
      <w:tblPr>
        <w:tblW w:type="dxa" w:w="9026"/>
        <w:tblBorders>
          <w:top w:val="single" w:color="6B21A8" w:sz="2"/>
          <w:left w:val="single" w:color="6B21A8" w:sz="18"/>
          <w:bottom w:val="single" w:color="6B21A8" w:sz="2"/>
          <w:right w:val="single" w:color="6B21A8" w:sz="2"/>
          <w:insideH w:val="none"/>
          <w:insideV w:val="none"/>
        </w:tblBorders>
      </w:tblPr>
      <w:tblGrid>
        <w:gridCol w:w="9026"/>
      </w:tblGrid>
      <w:tr>
        <w:tc>
          <w:tcPr>
            <w:tcW w:type="dxa" w:w="9026"/>
            <w:shd w:fill="F3E8FF" w:color="auto" w:val="clear"/>
            <w:tcMar>
              <w:top w:type="dxa" w:w="140"/>
              <w:left w:type="dxa" w:w="200"/>
              <w:bottom w:type="dxa" w:w="140"/>
              <w:right w:type="dxa" w:w="200"/>
            </w:tcMar>
          </w:tcPr>
          <w:p>
            <w:pPr>
              <w:spacing w:after="60"/>
            </w:pPr>
            <w:r>
              <w:rPr>
                <w:b/>
                <w:bCs/>
                <w:color w:val="6B21A8"/>
                <w:sz w:val="21"/>
                <w:szCs w:val="21"/>
              </w:rPr>
              <w:t xml:space="preserve">Deferral triggered by grade-versus-evidence disagreement, not by confidence</w:t>
            </w:r>
          </w:p>
          <w:p>
            <w:pPr>
              <w:spacing w:after="40" w:line="276"/>
            </w:pPr>
            <w:r>
              <w:rPr>
                <w:sz w:val="21"/>
                <w:szCs w:val="21"/>
              </w:rPr>
              <w:t xml:space="preserve">Standard selective prediction defers when the classifier is unsure. This design can defer when the classifier is confident but an independently-supervised evidence pathway contradicts it — and the counterfactual test becomes a faithfulness check rather than an explanation: if the lesions the reasoner cited are removed and the grade does not move, the stated reason was not the operative one.</w:t>
            </w:r>
          </w:p>
          <w:p>
            <w:pPr>
              <w:spacing w:after="40" w:line="276"/>
            </w:pPr>
            <w:r>
              <w:rPr>
                <w:sz w:val="21"/>
                <w:szCs w:val="21"/>
              </w:rPr>
              <w:t xml:space="preserve">That is testable, falsifiable, and survives the reduced four-channel lesion set.</w:t>
            </w:r>
          </w:p>
        </w:tc>
      </w:tr>
    </w:tbl>
    <w:p>
      <w:r>
        <w:br w:type="page"/>
      </w:r>
    </w:p>
    <w:p>
      <w:pPr>
        <w:pStyle w:val="Heading1"/>
        <w:spacing w:after="140" w:before="360"/>
      </w:pPr>
      <w:r>
        <w:rPr>
          <w:b/>
          <w:bCs/>
          <w:color w:val="1F4E79"/>
          <w:sz w:val="30"/>
          <w:szCs w:val="30"/>
        </w:rPr>
        <w:t xml:space="preserve">3. The revised research question</w:t>
      </w:r>
    </w:p>
    <w:tbl>
      <w:tblPr>
        <w:tblW w:type="dxa" w:w="9026"/>
        <w:tblBorders>
          <w:top w:val="none"/>
          <w:left w:val="single" w:color="1F4E79" w:sz="24"/>
          <w:bottom w:val="none"/>
          <w:right w:val="none"/>
          <w:insideH w:val="none"/>
          <w:insideV w:val="none"/>
        </w:tblBorders>
      </w:tblPr>
      <w:tblGrid>
        <w:gridCol w:w="9026"/>
      </w:tblGrid>
      <w:tr>
        <w:tc>
          <w:tcPr>
            <w:tcW w:type="dxa" w:w="9026"/>
            <w:tcMar>
              <w:top w:type="dxa" w:w="120"/>
              <w:left w:type="dxa" w:w="240"/>
              <w:bottom w:type="dxa" w:w="120"/>
              <w:right w:type="dxa" w:w="120"/>
            </w:tcMar>
          </w:tcPr>
          <w:p>
            <w:pPr>
              <w:spacing w:line="300"/>
            </w:pPr>
            <w:r>
              <w:rPr>
                <w:i/>
                <w:iCs/>
                <w:color w:val="1F3864"/>
                <w:sz w:val="24"/>
                <w:szCs w:val="24"/>
              </w:rPr>
              <w:t xml:space="preserve">Can disagreement between an image-level DR grader and an independently-supervised lesion-evidence pathway be used to decide which automated gradings to trust — and does that decision rule transfer across datasets better than gating on the model's own confidence?</w:t>
            </w:r>
          </w:p>
        </w:tc>
      </w:tr>
    </w:tbl>
    <w:p>
      <w:pPr>
        <w:spacing w:after="240"/>
      </w:pPr>
    </w:p>
    <w:p>
      <w:pPr>
        <w:pStyle w:val="Heading2"/>
        <w:spacing w:after="140" w:before="260"/>
      </w:pPr>
      <w:r>
        <w:rPr>
          <w:b/>
          <w:bCs/>
          <w:color w:val="1F4E79"/>
          <w:sz w:val="24"/>
          <w:szCs w:val="24"/>
        </w:rPr>
        <w:t xml:space="preserve">3.1 Hypotheses, stated before any experiment runs</w:t>
      </w:r>
    </w:p>
    <w:tbl>
      <w:tblPr>
        <w:tblW w:type="dxa" w:w="9026"/>
        <w:tblBorders>
          <w:top w:val="single" w:color="1F4E79" w:sz="4"/>
          <w:left w:val="none"/>
          <w:bottom w:val="single" w:color="1F4E79" w:sz="4"/>
          <w:right w:val="none"/>
          <w:insideH w:val="single" w:color="BFCDDC" w:sz="1"/>
          <w:insideV w:val="none"/>
        </w:tblBorders>
      </w:tblPr>
      <w:tblGrid>
        <w:gridCol w:w="700"/>
        <w:gridCol w:w="4200"/>
        <w:gridCol w:w="1300"/>
        <w:gridCol w:w="28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
            </w:r>
          </w:p>
        </w:tc>
        <w:tc>
          <w:tcPr>
            <w:tcW w:type="dxa" w:w="4200"/>
            <w:shd w:fill="DCE6F1" w:color="auto" w:val="clear"/>
            <w:tcMar>
              <w:top w:type="dxa" w:w="70"/>
              <w:left w:type="dxa" w:w="110"/>
              <w:bottom w:type="dxa" w:w="70"/>
              <w:right w:type="dxa" w:w="110"/>
            </w:tcMar>
            <w:vAlign w:val="center"/>
          </w:tcPr>
          <w:p>
            <w:pPr>
              <w:spacing w:after="0" w:line="250"/>
            </w:pPr>
            <w:r>
              <w:rPr>
                <w:b/>
                <w:bCs/>
                <w:sz w:val="19"/>
                <w:szCs w:val="19"/>
              </w:rPr>
              <w:t xml:space="preserve">Hypothesis</w:t>
            </w:r>
          </w:p>
        </w:tc>
        <w:tc>
          <w:tcPr>
            <w:tcW w:type="dxa" w:w="1300"/>
            <w:shd w:fill="DCE6F1" w:color="auto" w:val="clear"/>
            <w:tcMar>
              <w:top w:type="dxa" w:w="70"/>
              <w:left w:type="dxa" w:w="110"/>
              <w:bottom w:type="dxa" w:w="70"/>
              <w:right w:type="dxa" w:w="110"/>
            </w:tcMar>
            <w:vAlign w:val="center"/>
          </w:tcPr>
          <w:p>
            <w:pPr>
              <w:spacing w:after="0" w:line="250"/>
            </w:pPr>
            <w:r>
              <w:rPr>
                <w:b/>
                <w:bCs/>
                <w:sz w:val="19"/>
                <w:szCs w:val="19"/>
              </w:rPr>
              <w:t xml:space="preserve">Decided by</w:t>
            </w:r>
          </w:p>
        </w:tc>
        <w:tc>
          <w:tcPr>
            <w:tcW w:type="dxa" w:w="2826"/>
            <w:shd w:fill="DCE6F1" w:color="auto" w:val="clear"/>
            <w:tcMar>
              <w:top w:type="dxa" w:w="70"/>
              <w:left w:type="dxa" w:w="110"/>
              <w:bottom w:type="dxa" w:w="70"/>
              <w:right w:type="dxa" w:w="110"/>
            </w:tcMar>
            <w:vAlign w:val="center"/>
          </w:tcPr>
          <w:p>
            <w:pPr>
              <w:spacing w:after="0" w:line="250"/>
            </w:pPr>
            <w:r>
              <w:rPr>
                <w:b/>
                <w:bCs/>
                <w:sz w:val="19"/>
                <w:szCs w:val="19"/>
              </w:rPr>
              <w:t xml:space="preserve">Falsified if</w:t>
            </w:r>
          </w:p>
        </w:tc>
      </w:tr>
      <w:tr>
        <w:tc>
          <w:tcPr>
            <w:tcW w:type="dxa" w:w="700"/>
            <w:tcMar>
              <w:top w:type="dxa" w:w="70"/>
              <w:left w:type="dxa" w:w="110"/>
              <w:bottom w:type="dxa" w:w="70"/>
              <w:right w:type="dxa" w:w="110"/>
            </w:tcMar>
            <w:vAlign w:val="center"/>
          </w:tcPr>
          <w:p>
            <w:pPr>
              <w:spacing w:after="0" w:line="250"/>
            </w:pPr>
            <w:r>
              <w:rPr>
                <w:b/>
                <w:bCs/>
                <w:sz w:val="19"/>
                <w:szCs w:val="19"/>
              </w:rPr>
              <w:t xml:space="preserve">H1</w:t>
            </w:r>
          </w:p>
        </w:tc>
        <w:tc>
          <w:tcPr>
            <w:tcW w:type="dxa" w:w="4200"/>
            <w:tcMar>
              <w:top w:type="dxa" w:w="70"/>
              <w:left w:type="dxa" w:w="110"/>
              <w:bottom w:type="dxa" w:w="70"/>
              <w:right w:type="dxa" w:w="110"/>
            </w:tcMar>
            <w:vAlign w:val="center"/>
          </w:tcPr>
          <w:p>
            <w:pPr>
              <w:spacing w:after="0" w:line="250"/>
            </w:pPr>
            <w:r>
              <w:rPr>
                <w:b w:val="false"/>
                <w:bCs w:val="false"/>
                <w:sz w:val="19"/>
                <w:szCs w:val="19"/>
              </w:rPr>
              <w:t xml:space="preserve">Disagreement-gating dominates confidence-gating on the coverage–accuracy curve</w:t>
            </w:r>
          </w:p>
        </w:tc>
        <w:tc>
          <w:tcPr>
            <w:tcW w:type="dxa" w:w="1300"/>
            <w:tcMar>
              <w:top w:type="dxa" w:w="70"/>
              <w:left w:type="dxa" w:w="110"/>
              <w:bottom w:type="dxa" w:w="70"/>
              <w:right w:type="dxa" w:w="110"/>
            </w:tcMar>
            <w:vAlign w:val="center"/>
          </w:tcPr>
          <w:p>
            <w:pPr>
              <w:spacing w:after="0" w:line="250"/>
            </w:pPr>
            <w:r>
              <w:rPr>
                <w:b w:val="false"/>
                <w:bCs w:val="false"/>
                <w:sz w:val="19"/>
                <w:szCs w:val="19"/>
              </w:rPr>
              <w:t xml:space="preserve">F1</w:t>
            </w:r>
          </w:p>
        </w:tc>
        <w:tc>
          <w:tcPr>
            <w:tcW w:type="dxa" w:w="2826"/>
            <w:tcMar>
              <w:top w:type="dxa" w:w="70"/>
              <w:left w:type="dxa" w:w="110"/>
              <w:bottom w:type="dxa" w:w="70"/>
              <w:right w:type="dxa" w:w="110"/>
            </w:tcMar>
            <w:vAlign w:val="center"/>
          </w:tcPr>
          <w:p>
            <w:pPr>
              <w:spacing w:after="0" w:line="250"/>
            </w:pPr>
            <w:r>
              <w:rPr>
                <w:b w:val="false"/>
                <w:bCs w:val="false"/>
                <w:sz w:val="19"/>
                <w:szCs w:val="19"/>
              </w:rPr>
              <w:t xml:space="preserve">Confidence-gating matches or beats it at equal coverage</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H2</w:t>
            </w:r>
          </w:p>
        </w:tc>
        <w:tc>
          <w:tcPr>
            <w:tcW w:type="dxa" w:w="42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Prior-shift correction restores external calibration that temperature scaling alone loses</w:t>
            </w:r>
          </w:p>
        </w:tc>
        <w:tc>
          <w:tcPr>
            <w:tcW w:type="dxa" w:w="1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D3</w:t>
            </w:r>
          </w:p>
        </w:tc>
        <w:tc>
          <w:tcPr>
            <w:tcW w:type="dxa" w:w="28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External ECE unchanged after correction</w:t>
            </w:r>
          </w:p>
        </w:tc>
      </w:tr>
      <w:tr>
        <w:tc>
          <w:tcPr>
            <w:tcW w:type="dxa" w:w="700"/>
            <w:tcMar>
              <w:top w:type="dxa" w:w="70"/>
              <w:left w:type="dxa" w:w="110"/>
              <w:bottom w:type="dxa" w:w="70"/>
              <w:right w:type="dxa" w:w="110"/>
            </w:tcMar>
            <w:vAlign w:val="center"/>
          </w:tcPr>
          <w:p>
            <w:pPr>
              <w:spacing w:after="0" w:line="250"/>
            </w:pPr>
            <w:r>
              <w:rPr>
                <w:b/>
                <w:bCs/>
                <w:sz w:val="19"/>
                <w:szCs w:val="19"/>
              </w:rPr>
              <w:t xml:space="preserve">H3</w:t>
            </w:r>
          </w:p>
        </w:tc>
        <w:tc>
          <w:tcPr>
            <w:tcW w:type="dxa" w:w="4200"/>
            <w:tcMar>
              <w:top w:type="dxa" w:w="70"/>
              <w:left w:type="dxa" w:w="110"/>
              <w:bottom w:type="dxa" w:w="70"/>
              <w:right w:type="dxa" w:w="110"/>
            </w:tcMar>
            <w:vAlign w:val="center"/>
          </w:tcPr>
          <w:p>
            <w:pPr>
              <w:spacing w:after="0" w:line="250"/>
            </w:pPr>
            <w:r>
              <w:rPr>
                <w:b w:val="false"/>
                <w:bCs w:val="false"/>
                <w:sz w:val="19"/>
                <w:szCs w:val="19"/>
              </w:rPr>
              <w:t xml:space="preserve">Adding DDR to training improves external transfer</w:t>
            </w:r>
          </w:p>
        </w:tc>
        <w:tc>
          <w:tcPr>
            <w:tcW w:type="dxa" w:w="1300"/>
            <w:tcMar>
              <w:top w:type="dxa" w:w="70"/>
              <w:left w:type="dxa" w:w="110"/>
              <w:bottom w:type="dxa" w:w="70"/>
              <w:right w:type="dxa" w:w="110"/>
            </w:tcMar>
            <w:vAlign w:val="center"/>
          </w:tcPr>
          <w:p>
            <w:pPr>
              <w:spacing w:after="0" w:line="250"/>
            </w:pPr>
            <w:r>
              <w:rPr>
                <w:b w:val="false"/>
                <w:bCs w:val="false"/>
                <w:sz w:val="19"/>
                <w:szCs w:val="19"/>
              </w:rPr>
              <w:t xml:space="preserve">B7</w:t>
            </w:r>
          </w:p>
        </w:tc>
        <w:tc>
          <w:tcPr>
            <w:tcW w:type="dxa" w:w="2826"/>
            <w:tcMar>
              <w:top w:type="dxa" w:w="70"/>
              <w:left w:type="dxa" w:w="110"/>
              <w:bottom w:type="dxa" w:w="70"/>
              <w:right w:type="dxa" w:w="110"/>
            </w:tcMar>
            <w:vAlign w:val="center"/>
          </w:tcPr>
          <w:p>
            <w:pPr>
              <w:spacing w:after="0" w:line="250"/>
            </w:pPr>
            <w:r>
              <w:rPr>
                <w:b w:val="false"/>
                <w:bCs w:val="false"/>
                <w:sz w:val="19"/>
                <w:szCs w:val="19"/>
              </w:rPr>
              <w:t xml:space="preserve">External QWK unchanged or worse</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H1′</w:t>
            </w:r>
          </w:p>
        </w:tc>
        <w:tc>
          <w:tcPr>
            <w:tcW w:type="dxa" w:w="42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The H1 ranking survives dataset shift — the one that matters</w:t>
            </w:r>
          </w:p>
        </w:tc>
        <w:tc>
          <w:tcPr>
            <w:tcW w:type="dxa" w:w="1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F2</w:t>
            </w:r>
          </w:p>
        </w:tc>
        <w:tc>
          <w:tcPr>
            <w:tcW w:type="dxa" w:w="28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Disagreement wins internally but not externally</w:t>
            </w:r>
          </w:p>
        </w:tc>
      </w:tr>
    </w:tbl>
    <w:p>
      <w:pPr>
        <w:spacing w:after="200"/>
      </w:pP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EAF3FB" w:color="auto" w:val="clear"/>
            <w:tcMar>
              <w:top w:type="dxa" w:w="140"/>
              <w:left w:type="dxa" w:w="200"/>
              <w:bottom w:type="dxa" w:w="140"/>
              <w:right w:type="dxa" w:w="200"/>
            </w:tcMar>
          </w:tcPr>
          <w:p>
            <w:pPr>
              <w:spacing w:after="60"/>
            </w:pPr>
            <w:r>
              <w:rPr>
                <w:b/>
                <w:bCs/>
                <w:color w:val="1F4E79"/>
                <w:sz w:val="21"/>
                <w:szCs w:val="21"/>
              </w:rPr>
              <w:t xml:space="preserve">Why this works as a thesis question</w:t>
            </w:r>
          </w:p>
          <w:p>
            <w:pPr>
              <w:spacing w:after="40" w:line="276"/>
            </w:pPr>
            <w:r>
              <w:rPr>
                <w:sz w:val="21"/>
                <w:szCs w:val="21"/>
              </w:rPr>
              <w:t xml:space="preserve">All four hypotheses may come out negative and the thesis still stands, provided they were pre-registered. A negative result on selective prediction in DR is worth more to the field than a fudged positive, because almost nobody publishes them.</w:t>
            </w:r>
          </w:p>
          <w:p>
            <w:pPr>
              <w:spacing w:after="40" w:line="276"/>
            </w:pPr>
            <w:r>
              <w:rPr>
                <w:sz w:val="21"/>
                <w:szCs w:val="21"/>
              </w:rPr>
              <w:t xml:space="preserve">What would not be a thesis is discovering the outcome first and writing the question around it. That is what the Phase 5 freeze prevents.</w:t>
            </w:r>
          </w:p>
        </w:tc>
      </w:tr>
    </w:tbl>
    <w:p>
      <w:pPr>
        <w:spacing w:after="200"/>
      </w:pPr>
    </w:p>
    <w:p>
      <w:pPr>
        <w:pStyle w:val="Heading2"/>
        <w:spacing w:after="140" w:before="260"/>
      </w:pPr>
      <w:r>
        <w:rPr>
          <w:b/>
          <w:bCs/>
          <w:color w:val="1F4E79"/>
          <w:sz w:val="24"/>
          <w:szCs w:val="24"/>
        </w:rPr>
        <w:t xml:space="preserve">3.2 Contributions claimed</w:t>
      </w:r>
    </w:p>
    <w:p>
      <w:pPr>
        <w:pStyle w:val="ListParagraph"/>
        <w:numPr>
          <w:ilvl w:val="0"/>
          <w:numId w:val="3"/>
        </w:numPr>
        <w:spacing w:after="80" w:line="276"/>
      </w:pPr>
      <w:r>
        <w:rPr>
          <w:sz w:val="21"/>
          <w:szCs w:val="21"/>
        </w:rPr>
        <w:t xml:space="preserve">Primary — deferral gated on grade-versus-evidence disagreement rather than model confidence, evaluated under dataset shift.</w:t>
      </w:r>
    </w:p>
    <w:p>
      <w:pPr>
        <w:pStyle w:val="ListParagraph"/>
        <w:numPr>
          <w:ilvl w:val="0"/>
          <w:numId w:val="3"/>
        </w:numPr>
        <w:spacing w:after="80" w:line="276"/>
      </w:pPr>
      <w:r>
        <w:rPr>
          <w:sz w:val="21"/>
          <w:szCs w:val="21"/>
        </w:rPr>
        <w:t xml:space="preserve">Secondary — prior-shift-corrected calibration across DR datasets with differing grade prevalence.</w:t>
      </w:r>
    </w:p>
    <w:p>
      <w:pPr>
        <w:pStyle w:val="ListParagraph"/>
        <w:numPr>
          <w:ilvl w:val="0"/>
          <w:numId w:val="3"/>
        </w:numPr>
        <w:spacing w:after="80" w:line="276"/>
      </w:pPr>
      <w:r>
        <w:rPr>
          <w:sz w:val="21"/>
          <w:szCs w:val="21"/>
        </w:rPr>
        <w:t xml:space="preserve">Tertiary — a reasoner that declares its own unobservable findings and abstains upward rather than emitting a confident grade on evidence it does not have.</w:t>
      </w:r>
    </w:p>
    <w:p>
      <w:pPr>
        <w:spacing w:after="120"/>
      </w:pPr>
    </w:p>
    <w:p>
      <w:pPr>
        <w:pStyle w:val="Heading2"/>
        <w:spacing w:after="140" w:before="260"/>
      </w:pPr>
      <w:r>
        <w:rPr>
          <w:b/>
          <w:bCs/>
          <w:color w:val="1F4E79"/>
          <w:sz w:val="24"/>
          <w:szCs w:val="24"/>
        </w:rPr>
        <w:t xml:space="preserve">3.3 Explicitly not claimed</w:t>
      </w:r>
    </w:p>
    <w:p>
      <w:pPr>
        <w:pStyle w:val="ListParagraph"/>
        <w:numPr>
          <w:ilvl w:val="0"/>
          <w:numId w:val="2"/>
        </w:numPr>
        <w:spacing w:after="80" w:line="276"/>
      </w:pPr>
      <w:r>
        <w:rPr>
          <w:sz w:val="21"/>
          <w:szCs w:val="21"/>
        </w:rPr>
        <w:t xml:space="preserve">State-of-the-art grading accuracy. A single EfficientNet-B0 at 512 px with no heavy ensemble will land below the best published EyePACS numbers, and the abstract says so. Framing this as an accuracy contribution would lose the argument in the viva.</w:t>
      </w:r>
    </w:p>
    <w:p>
      <w:pPr>
        <w:pStyle w:val="ListParagraph"/>
        <w:numPr>
          <w:ilvl w:val="0"/>
          <w:numId w:val="2"/>
        </w:numPr>
        <w:spacing w:after="80" w:line="276"/>
      </w:pPr>
      <w:r>
        <w:rPr>
          <w:sz w:val="21"/>
          <w:szCs w:val="21"/>
        </w:rPr>
        <w:t xml:space="preserve">Clinical validity. Research software; deployment would require prospective validation and expert oversight.</w:t>
      </w:r>
    </w:p>
    <w:p>
      <w:pPr>
        <w:pStyle w:val="ListParagraph"/>
        <w:numPr>
          <w:ilvl w:val="0"/>
          <w:numId w:val="2"/>
        </w:numPr>
        <w:spacing w:after="80" w:line="276"/>
      </w:pPr>
      <w:r>
        <w:rPr>
          <w:sz w:val="21"/>
          <w:szCs w:val="21"/>
        </w:rPr>
        <w:t xml:space="preserve">Full ICDR compliance. Venous beading, IRMA and neovascularisation are unobservable with Kaggle data, and single macula-centred fields cannot support true four-quadrant assessment.</w:t>
      </w:r>
    </w:p>
    <w:p>
      <w:r>
        <w:br w:type="page"/>
      </w:r>
    </w:p>
    <w:p>
      <w:pPr>
        <w:pStyle w:val="Heading1"/>
        <w:spacing w:after="140" w:before="360"/>
      </w:pPr>
      <w:r>
        <w:rPr>
          <w:b/>
          <w:bCs/>
          <w:color w:val="1F4E79"/>
          <w:sz w:val="30"/>
          <w:szCs w:val="30"/>
        </w:rPr>
        <w:t xml:space="preserve">4. Changes from the original blueprint</w:t>
      </w:r>
    </w:p>
    <w:p>
      <w:pPr>
        <w:spacing w:after="120" w:before="0" w:line="276"/>
      </w:pPr>
      <w:r>
        <w:rPr>
          <w:sz w:val="21"/>
          <w:szCs w:val="21"/>
        </w:rPr>
        <w:t xml:space="preserve">Every concept in the blueprint, its verdict, and what replaces it. Grouped by area.</w:t>
      </w:r>
    </w:p>
    <w:p>
      <w:pPr>
        <w:spacing w:after="120"/>
      </w:pPr>
    </w:p>
    <w:tbl>
      <w:tblPr>
        <w:tblW w:type="dxa" w:w="9026"/>
        <w:tblBorders>
          <w:top w:val="single" w:color="1F4E79" w:sz="4"/>
          <w:left w:val="none"/>
          <w:bottom w:val="single" w:color="1F4E79" w:sz="4"/>
          <w:right w:val="none"/>
          <w:insideH w:val="single" w:color="BFCDDC" w:sz="1"/>
          <w:insideV w:val="none"/>
        </w:tblBorders>
      </w:tblPr>
      <w:tblGrid>
        <w:gridCol w:w="950"/>
        <w:gridCol w:w="2750"/>
        <w:gridCol w:w="1050"/>
        <w:gridCol w:w="4276"/>
      </w:tblGrid>
      <w:tr>
        <w:trPr>
          <w:tblHeader/>
        </w:trPr>
        <w:tc>
          <w:tcPr>
            <w:tcW w:type="dxa" w:w="950"/>
            <w:shd w:fill="DCE6F1" w:color="auto" w:val="clear"/>
            <w:tcMar>
              <w:top w:type="dxa" w:w="70"/>
              <w:left w:type="dxa" w:w="110"/>
              <w:bottom w:type="dxa" w:w="70"/>
              <w:right w:type="dxa" w:w="110"/>
            </w:tcMar>
            <w:vAlign w:val="center"/>
          </w:tcPr>
          <w:p>
            <w:pPr>
              <w:spacing w:after="0" w:line="250"/>
            </w:pPr>
            <w:r>
              <w:rPr>
                <w:b/>
                <w:bCs/>
                <w:sz w:val="19"/>
                <w:szCs w:val="19"/>
              </w:rPr>
              <w:t xml:space="preserve">Area</w:t>
            </w:r>
          </w:p>
        </w:tc>
        <w:tc>
          <w:tcPr>
            <w:tcW w:type="dxa" w:w="2750"/>
            <w:shd w:fill="DCE6F1" w:color="auto" w:val="clear"/>
            <w:tcMar>
              <w:top w:type="dxa" w:w="70"/>
              <w:left w:type="dxa" w:w="110"/>
              <w:bottom w:type="dxa" w:w="70"/>
              <w:right w:type="dxa" w:w="110"/>
            </w:tcMar>
            <w:vAlign w:val="center"/>
          </w:tcPr>
          <w:p>
            <w:pPr>
              <w:spacing w:after="0" w:line="250"/>
            </w:pPr>
            <w:r>
              <w:rPr>
                <w:b/>
                <w:bCs/>
                <w:sz w:val="19"/>
                <w:szCs w:val="19"/>
              </w:rPr>
              <w:t xml:space="preserve">Current concept</w:t>
            </w:r>
          </w:p>
        </w:tc>
        <w:tc>
          <w:tcPr>
            <w:tcW w:type="dxa" w:w="1050"/>
            <w:shd w:fill="DCE6F1" w:color="auto" w:val="clear"/>
            <w:tcMar>
              <w:top w:type="dxa" w:w="70"/>
              <w:left w:type="dxa" w:w="110"/>
              <w:bottom w:type="dxa" w:w="70"/>
              <w:right w:type="dxa" w:w="110"/>
            </w:tcMar>
            <w:vAlign w:val="center"/>
          </w:tcPr>
          <w:p>
            <w:pPr>
              <w:spacing w:after="0" w:line="250"/>
            </w:pPr>
            <w:r>
              <w:rPr>
                <w:b/>
                <w:bCs/>
                <w:sz w:val="19"/>
                <w:szCs w:val="19"/>
              </w:rPr>
              <w:t xml:space="preserve">Verdict</w:t>
            </w:r>
          </w:p>
        </w:tc>
        <w:tc>
          <w:tcPr>
            <w:tcW w:type="dxa" w:w="4276"/>
            <w:shd w:fill="DCE6F1" w:color="auto" w:val="clear"/>
            <w:tcMar>
              <w:top w:type="dxa" w:w="70"/>
              <w:left w:type="dxa" w:w="110"/>
              <w:bottom w:type="dxa" w:w="70"/>
              <w:right w:type="dxa" w:w="110"/>
            </w:tcMar>
            <w:vAlign w:val="center"/>
          </w:tcPr>
          <w:p>
            <w:pPr>
              <w:spacing w:after="0" w:line="250"/>
            </w:pPr>
            <w:r>
              <w:rPr>
                <w:b/>
                <w:bCs/>
                <w:sz w:val="19"/>
                <w:szCs w:val="19"/>
              </w:rPr>
              <w:t xml:space="preserve">Replacement</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EyePACS as primary development source</w:t>
            </w:r>
          </w:p>
        </w:tc>
        <w:tc>
          <w:tcPr>
            <w:tcW w:type="dxa" w:w="1050"/>
            <w:tcMar>
              <w:top w:type="dxa" w:w="70"/>
              <w:left w:type="dxa" w:w="110"/>
              <w:bottom w:type="dxa" w:w="70"/>
              <w:right w:type="dxa" w:w="110"/>
            </w:tcMar>
            <w:vAlign w:val="center"/>
          </w:tcPr>
          <w:p>
            <w:pPr>
              <w:spacing w:after="0" w:line="250"/>
            </w:pPr>
            <w:r>
              <w:rPr>
                <w:b/>
                <w:bCs/>
                <w:color w:val="2E7D32"/>
                <w:sz w:val="19"/>
                <w:szCs w:val="19"/>
              </w:rPr>
              <w:t xml:space="preserve">Keep</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Unchanged — the right call</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Custom 80 / val / calibration / test split as headline</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Official EyePACS competition split (35,126 / 53,576, already patient-disjoint); carve val and calibration out of train only</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patient_id from image-stem proxy</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Parse ^(\d+)_(left|right)$ for real patient IDs; fixes eye-pair leakage</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Five variants: 500 / 1000 / 2000 / full / merged</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Three: eyepacs_full, eyepacs_balanced_1000, eyepacs_ddr_full</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Balanced variants as headline results</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Demoted to a sampling ablation; all test sets keep natural prevalence</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DDR used for grading merge only</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Dual role — grading merge and lesion-mask source</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DDR grade 5 (ungradable) unhandled</w:t>
            </w:r>
          </w:p>
        </w:tc>
        <w:tc>
          <w:tcPr>
            <w:tcW w:type="dxa" w:w="1050"/>
            <w:tcMar>
              <w:top w:type="dxa" w:w="70"/>
              <w:left w:type="dxa" w:w="110"/>
              <w:bottom w:type="dxa" w:w="70"/>
              <w:right w:type="dxa" w:w="110"/>
            </w:tcMar>
            <w:vAlign w:val="center"/>
          </w:tcPr>
          <w:p>
            <w:pPr>
              <w:spacing w:after="0" w:line="250"/>
            </w:pPr>
            <w:r>
              <w:rPr>
                <w:b/>
                <w:bCs/>
                <w:color w:val="1D4ED8"/>
                <w:sz w:val="19"/>
                <w:szCs w:val="19"/>
              </w:rPr>
              <w:t xml:space="preserve">Add</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Becomes supervision for the quality / REACQUIRE head</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APTOS as the only external set</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Two locked externals: APTOS and Messidor-2 (adjudicated grades)</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IDRiD not used</w:t>
            </w:r>
          </w:p>
        </w:tc>
        <w:tc>
          <w:tcPr>
            <w:tcW w:type="dxa" w:w="1050"/>
            <w:tcMar>
              <w:top w:type="dxa" w:w="70"/>
              <w:left w:type="dxa" w:w="110"/>
              <w:bottom w:type="dxa" w:w="70"/>
              <w:right w:type="dxa" w:w="110"/>
            </w:tcMar>
            <w:vAlign w:val="center"/>
          </w:tcPr>
          <w:p>
            <w:pPr>
              <w:spacing w:after="0" w:line="250"/>
            </w:pPr>
            <w:r>
              <w:rPr>
                <w:b/>
                <w:bCs/>
                <w:color w:val="1D4ED8"/>
                <w:sz w:val="19"/>
                <w:szCs w:val="19"/>
              </w:rPr>
              <w:t xml:space="preserve">Add</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Lesion masks, optic-disc and fovea coordinates, and a 516-image grading set</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Eight-channel mask source (FGADR-class)</w:t>
            </w:r>
          </w:p>
        </w:tc>
        <w:tc>
          <w:tcPr>
            <w:tcW w:type="dxa" w:w="1050"/>
            <w:shd w:fill="F2F6FA" w:color="auto" w:val="clear"/>
            <w:tcMar>
              <w:top w:type="dxa" w:w="70"/>
              <w:left w:type="dxa" w:w="110"/>
              <w:bottom w:type="dxa" w:w="70"/>
              <w:right w:type="dxa" w:w="110"/>
            </w:tcMar>
            <w:vAlign w:val="center"/>
          </w:tcPr>
          <w:p>
            <w:pPr>
              <w:spacing w:after="0" w:line="250"/>
            </w:pPr>
            <w:r>
              <w:rPr>
                <w:b/>
                <w:bCs/>
                <w:color w:val="B91C1C"/>
                <w:sz w:val="19"/>
                <w:szCs w:val="19"/>
              </w:rPr>
              <w:t xml:space="preserve">Remove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Not obtainable on Kaggle — requires a signed agreement. Forces the four-channel design</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Data</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Raw JPEG reads from /kaggle/input</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One-off 512 px pre-resize into a private Kaggle dataset. The compute unlock</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Model</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EfficientNet-B0 / ResNet50 with four monotonic ordinal thresholds</w:t>
            </w:r>
          </w:p>
        </w:tc>
        <w:tc>
          <w:tcPr>
            <w:tcW w:type="dxa" w:w="1050"/>
            <w:shd w:fill="F2F6FA" w:color="auto" w:val="clear"/>
            <w:tcMar>
              <w:top w:type="dxa" w:w="70"/>
              <w:left w:type="dxa" w:w="110"/>
              <w:bottom w:type="dxa" w:w="70"/>
              <w:right w:type="dxa" w:w="110"/>
            </w:tcMar>
            <w:vAlign w:val="center"/>
          </w:tcPr>
          <w:p>
            <w:pPr>
              <w:spacing w:after="0" w:line="250"/>
            </w:pPr>
            <w:r>
              <w:rPr>
                <w:b/>
                <w:bCs/>
                <w:color w:val="2E7D32"/>
                <w:sz w:val="19"/>
                <w:szCs w:val="19"/>
              </w:rPr>
              <w:t xml:space="preserve">Keep</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Unchanged</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Model</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Image size unspecified</w:t>
            </w:r>
          </w:p>
        </w:tc>
        <w:tc>
          <w:tcPr>
            <w:tcW w:type="dxa" w:w="1050"/>
            <w:tcMar>
              <w:top w:type="dxa" w:w="70"/>
              <w:left w:type="dxa" w:w="110"/>
              <w:bottom w:type="dxa" w:w="70"/>
              <w:right w:type="dxa" w:w="110"/>
            </w:tcMar>
            <w:vAlign w:val="center"/>
          </w:tcPr>
          <w:p>
            <w:pPr>
              <w:spacing w:after="0" w:line="250"/>
            </w:pPr>
            <w:r>
              <w:rPr>
                <w:b/>
                <w:bCs/>
                <w:color w:val="1D4ED8"/>
                <w:sz w:val="19"/>
                <w:szCs w:val="19"/>
              </w:rPr>
              <w:t xml:space="preserve">Add</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Fixed at 512 px; 384 / 512 / 768 is experiment B1</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Model</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Single-image prediction</w:t>
            </w:r>
          </w:p>
        </w:tc>
        <w:tc>
          <w:tcPr>
            <w:tcW w:type="dxa" w:w="1050"/>
            <w:shd w:fill="F2F6FA" w:color="auto" w:val="clear"/>
            <w:tcMar>
              <w:top w:type="dxa" w:w="70"/>
              <w:left w:type="dxa" w:w="110"/>
              <w:bottom w:type="dxa" w:w="70"/>
              <w:right w:type="dxa" w:w="110"/>
            </w:tcMar>
            <w:vAlign w:val="center"/>
          </w:tcPr>
          <w:p>
            <w:pPr>
              <w:spacing w:after="0" w:line="250"/>
            </w:pPr>
            <w:r>
              <w:rPr>
                <w:b/>
                <w:bCs/>
                <w:color w:val="1D4ED8"/>
                <w:sz w:val="19"/>
                <w:szCs w:val="19"/>
              </w:rPr>
              <w:t xml:space="preserve">Add</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Eye-pair fusion (concatenate left and right features) — cheap, historically a large QWK gain</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Model</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Eight lesion channels</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Four: microaneurysm, haemorrhage, hard exudate, soft exudate</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Model</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Evidence path untrained (no masks)</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ResNet18-UNet trained on DDR-seg and IDRiD-seg; reported with Dice and IoU</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Model</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No optic-disc / fovea localiser</w:t>
            </w:r>
          </w:p>
        </w:tc>
        <w:tc>
          <w:tcPr>
            <w:tcW w:type="dxa" w:w="1050"/>
            <w:tcMar>
              <w:top w:type="dxa" w:w="70"/>
              <w:left w:type="dxa" w:w="110"/>
              <w:bottom w:type="dxa" w:w="70"/>
              <w:right w:type="dxa" w:w="110"/>
            </w:tcMar>
            <w:vAlign w:val="center"/>
          </w:tcPr>
          <w:p>
            <w:pPr>
              <w:spacing w:after="0" w:line="250"/>
            </w:pPr>
            <w:r>
              <w:rPr>
                <w:b/>
                <w:bCs/>
                <w:color w:val="1D4ED8"/>
                <w:sz w:val="19"/>
                <w:szCs w:val="19"/>
              </w:rPr>
              <w:t xml:space="preserve">Add</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Coordinate regressor trained on IDRiD — enables quadrant geometry</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Reasoner</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Full ICDR including 4-2-1, venous beading, IRMA, neovascularisation</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Partial ICDR: the haemorrhage arm of 4-2-1 via optic-disc/fovea quadrants, plus MA presence</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Reasoner</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Emits a confident evidence grade</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Emits grade plus an explicit unobservable set; abstains upward (“cannot exclude severe NPDR”)</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Reasoner</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Counterfactual “lesion-token test”</w:t>
            </w:r>
          </w:p>
        </w:tc>
        <w:tc>
          <w:tcPr>
            <w:tcW w:type="dxa" w:w="1050"/>
            <w:shd w:fill="F2F6FA" w:color="auto" w:val="clear"/>
            <w:tcMar>
              <w:top w:type="dxa" w:w="70"/>
              <w:left w:type="dxa" w:w="110"/>
              <w:bottom w:type="dxa" w:w="70"/>
              <w:right w:type="dxa" w:w="110"/>
            </w:tcMar>
            <w:vAlign w:val="center"/>
          </w:tcPr>
          <w:p>
            <w:pPr>
              <w:spacing w:after="0" w:line="250"/>
            </w:pPr>
            <w:r>
              <w:rPr>
                <w:b/>
                <w:bCs/>
                <w:color w:val="6B21A8"/>
                <w:sz w:val="19"/>
                <w:szCs w:val="19"/>
              </w:rPr>
              <w:t xml:space="preserve">Promote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Lesion-region inpainting counterfactual as a faithfulness test — the headline mechanism</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Triage</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Gate on confidence plus OOD z-score</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Gate on grade-versus-evidence disagreement; confidence-only and OOD-only become baselines</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Triage</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OOD z-score as a contribution</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Demoted to a comparator arm — keep the code, drop the novelty claim</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Calibration</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Temperature scaling on the internal split</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Plus prior-shift correction (Saerens–Decock EM / logit adjustment) for externals — contribution #2</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Evaluation</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QWK on a custom split</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Report on the official EyePACS test split — directly comparable to the 0.8496 leaderboard; state the protocol explicitly</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Evaluation</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Bootstrap CI only</w:t>
            </w:r>
          </w:p>
        </w:tc>
        <w:tc>
          <w:tcPr>
            <w:tcW w:type="dxa" w:w="1050"/>
            <w:tcMar>
              <w:top w:type="dxa" w:w="70"/>
              <w:left w:type="dxa" w:w="110"/>
              <w:bottom w:type="dxa" w:w="70"/>
              <w:right w:type="dxa" w:w="110"/>
            </w:tcMar>
            <w:vAlign w:val="center"/>
          </w:tcPr>
          <w:p>
            <w:pPr>
              <w:spacing w:after="0" w:line="250"/>
            </w:pPr>
            <w:r>
              <w:rPr>
                <w:b/>
                <w:bCs/>
                <w:color w:val="1D4ED8"/>
                <w:sz w:val="19"/>
                <w:szCs w:val="19"/>
              </w:rPr>
              <w:t xml:space="preserve">Add</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Paired seed-level tests plus coverage–accuracy AUC for the selective claim</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Protocol</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“APTOS never used for tuning”</w:t>
            </w:r>
          </w:p>
        </w:tc>
        <w:tc>
          <w:tcPr>
            <w:tcW w:type="dxa" w:w="1050"/>
            <w:shd w:fill="F2F6FA" w:color="auto" w:val="clear"/>
            <w:tcMar>
              <w:top w:type="dxa" w:w="70"/>
              <w:left w:type="dxa" w:w="110"/>
              <w:bottom w:type="dxa" w:w="70"/>
              <w:right w:type="dxa" w:w="110"/>
            </w:tcMar>
            <w:vAlign w:val="center"/>
          </w:tcPr>
          <w:p>
            <w:pPr>
              <w:spacing w:after="0" w:line="250"/>
            </w:pPr>
            <w:r>
              <w:rPr>
                <w:b/>
                <w:bCs/>
                <w:color w:val="2E7D32"/>
                <w:sz w:val="19"/>
                <w:szCs w:val="19"/>
              </w:rPr>
              <w:t xml:space="preserve">Keep + harden</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Pre-register the frozen recipe (commit hash and config) before the first external run</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Framing</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“Combines ordinal + evidence + reasoner + CF + calibration + OOD + triage”</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One question: does disagreement-gating beat confidence-gating, and does it transfer?</w:t>
            </w:r>
          </w:p>
        </w:tc>
      </w:tr>
      <w:tr>
        <w:tc>
          <w:tcPr>
            <w:tcW w:type="dxa" w:w="9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Scope</w:t>
            </w:r>
          </w:p>
        </w:tc>
        <w:tc>
          <w:tcPr>
            <w:tcW w:type="dxa" w:w="27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Verification suite “only when masks are available”</w:t>
            </w:r>
          </w:p>
        </w:tc>
        <w:tc>
          <w:tcPr>
            <w:tcW w:type="dxa" w:w="1050"/>
            <w:shd w:fill="F2F6FA" w:color="auto" w:val="clear"/>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Now runnable — it is the thesis</w:t>
            </w:r>
          </w:p>
        </w:tc>
      </w:tr>
      <w:tr>
        <w:tc>
          <w:tcPr>
            <w:tcW w:type="dxa" w:w="950"/>
            <w:tcMar>
              <w:top w:type="dxa" w:w="70"/>
              <w:left w:type="dxa" w:w="110"/>
              <w:bottom w:type="dxa" w:w="70"/>
              <w:right w:type="dxa" w:w="110"/>
            </w:tcMar>
            <w:vAlign w:val="center"/>
          </w:tcPr>
          <w:p>
            <w:pPr>
              <w:spacing w:after="0" w:line="250"/>
            </w:pPr>
            <w:r>
              <w:rPr>
                <w:b w:val="false"/>
                <w:bCs w:val="false"/>
                <w:sz w:val="19"/>
                <w:szCs w:val="19"/>
              </w:rPr>
              <w:t xml:space="preserve">Compute</w:t>
            </w:r>
          </w:p>
        </w:tc>
        <w:tc>
          <w:tcPr>
            <w:tcW w:type="dxa" w:w="2750"/>
            <w:tcMar>
              <w:top w:type="dxa" w:w="70"/>
              <w:left w:type="dxa" w:w="110"/>
              <w:bottom w:type="dxa" w:w="70"/>
              <w:right w:type="dxa" w:w="110"/>
            </w:tcMar>
            <w:vAlign w:val="center"/>
          </w:tcPr>
          <w:p>
            <w:pPr>
              <w:spacing w:after="0" w:line="250"/>
            </w:pPr>
            <w:r>
              <w:rPr>
                <w:b w:val="false"/>
                <w:bCs w:val="false"/>
                <w:sz w:val="19"/>
                <w:szCs w:val="19"/>
              </w:rPr>
              <w:t xml:space="preserve">Four variants × three suites × three seeds × eight epochs</w:t>
            </w:r>
          </w:p>
        </w:tc>
        <w:tc>
          <w:tcPr>
            <w:tcW w:type="dxa" w:w="1050"/>
            <w:tcMar>
              <w:top w:type="dxa" w:w="70"/>
              <w:left w:type="dxa" w:w="110"/>
              <w:bottom w:type="dxa" w:w="70"/>
              <w:right w:type="dxa" w:w="110"/>
            </w:tcMar>
            <w:vAlign w:val="center"/>
          </w:tcPr>
          <w:p>
            <w:pPr>
              <w:spacing w:after="0" w:line="250"/>
            </w:pPr>
            <w:r>
              <w:rPr>
                <w:b/>
                <w:bCs/>
                <w:color w:val="B45309"/>
                <w:sz w:val="19"/>
                <w:szCs w:val="19"/>
              </w:rPr>
              <w:t xml:space="preserve">Change</w:t>
            </w:r>
          </w:p>
        </w:tc>
        <w:tc>
          <w:tcPr>
            <w:tcW w:type="dxa" w:w="4276"/>
            <w:tcMar>
              <w:top w:type="dxa" w:w="70"/>
              <w:left w:type="dxa" w:w="110"/>
              <w:bottom w:type="dxa" w:w="70"/>
              <w:right w:type="dxa" w:w="110"/>
            </w:tcMar>
            <w:vAlign w:val="center"/>
          </w:tcPr>
          <w:p>
            <w:pPr>
              <w:spacing w:after="0" w:line="250"/>
            </w:pPr>
            <w:r>
              <w:rPr>
                <w:b w:val="false"/>
                <w:bCs w:val="false"/>
                <w:sz w:val="19"/>
                <w:szCs w:val="19"/>
              </w:rPr>
              <w:t xml:space="preserve">Staged: one seed to explore, three seeds only on the frozen recipe (~100 GPU-h total)</w:t>
            </w:r>
          </w:p>
        </w:tc>
      </w:tr>
    </w:tbl>
    <w:p>
      <w:pPr>
        <w:spacing w:after="240"/>
      </w:pPr>
    </w:p>
    <w:tbl>
      <w:tblPr>
        <w:tblW w:type="dxa" w:w="9026"/>
        <w:tblBorders>
          <w:top w:val="single" w:color="6B21A8" w:sz="2"/>
          <w:left w:val="single" w:color="6B21A8" w:sz="18"/>
          <w:bottom w:val="single" w:color="6B21A8" w:sz="2"/>
          <w:right w:val="single" w:color="6B21A8" w:sz="2"/>
          <w:insideH w:val="none"/>
          <w:insideV w:val="none"/>
        </w:tblBorders>
      </w:tblPr>
      <w:tblGrid>
        <w:gridCol w:w="9026"/>
      </w:tblGrid>
      <w:tr>
        <w:tc>
          <w:tcPr>
            <w:tcW w:type="dxa" w:w="9026"/>
            <w:shd w:fill="F3E8FF" w:color="auto" w:val="clear"/>
            <w:tcMar>
              <w:top w:type="dxa" w:w="140"/>
              <w:left w:type="dxa" w:w="200"/>
              <w:bottom w:type="dxa" w:w="140"/>
              <w:right w:type="dxa" w:w="200"/>
            </w:tcMar>
          </w:tcPr>
          <w:p>
            <w:pPr>
              <w:spacing w:after="60"/>
            </w:pPr>
            <w:r>
              <w:rPr>
                <w:b/>
                <w:bCs/>
                <w:color w:val="6B21A8"/>
                <w:sz w:val="21"/>
                <w:szCs w:val="21"/>
              </w:rPr>
              <w:t xml:space="preserve">The one genuinely new idea in that table</w:t>
            </w:r>
          </w:p>
          <w:p>
            <w:pPr>
              <w:spacing w:after="40" w:line="276"/>
            </w:pPr>
            <w:r>
              <w:rPr>
                <w:sz w:val="21"/>
                <w:szCs w:val="21"/>
              </w:rPr>
              <w:t xml:space="preserve">The reasoner will know things it cannot see. Venous beading, IRMA and neovascularisation have no pixel labels on Kaggle, and single macula-centred fields cannot support proper four-quadrant assessment.</w:t>
            </w:r>
          </w:p>
          <w:p>
            <w:pPr>
              <w:spacing w:after="40" w:line="276"/>
            </w:pPr>
            <w:r>
              <w:rPr>
                <w:sz w:val="21"/>
                <w:szCs w:val="21"/>
              </w:rPr>
              <w:t xml:space="preserve">Rather than hiding that, the reasoner emits its own blind spots and abstains upward. A system that says “I see 12 haemorrhages across 3 quadrants and no exudate, but I cannot observe IRMA, so I cannot exclude severe NPDR — defer” is more clinically honest than one that guesses. The dataset limitation becomes the contribution.</w:t>
            </w:r>
          </w:p>
        </w:tc>
      </w:tr>
    </w:tbl>
    <w:p>
      <w:r>
        <w:br w:type="page"/>
      </w:r>
    </w:p>
    <w:p>
      <w:pPr>
        <w:pStyle w:val="Heading1"/>
        <w:spacing w:after="140" w:before="360"/>
      </w:pPr>
      <w:r>
        <w:rPr>
          <w:b/>
          <w:bCs/>
          <w:color w:val="1F4E79"/>
          <w:sz w:val="30"/>
          <w:szCs w:val="30"/>
        </w:rPr>
        <w:t xml:space="preserve">5. Dataset roster — Kaggle only</w:t>
      </w:r>
    </w:p>
    <w:p>
      <w:pPr>
        <w:spacing w:after="120" w:before="0" w:line="276"/>
      </w:pPr>
      <w:r>
        <w:rPr>
          <w:sz w:val="21"/>
          <w:szCs w:val="21"/>
        </w:rPr>
        <w:t xml:space="preserve">Every source is Kaggle-hosted, so the whole project runs in a Kaggle notebook.</w:t>
      </w:r>
    </w:p>
    <w:p>
      <w:pPr>
        <w:spacing w:after="100"/>
      </w:pPr>
    </w:p>
    <w:tbl>
      <w:tblPr>
        <w:tblW w:type="dxa" w:w="9026"/>
        <w:tblBorders>
          <w:top w:val="single" w:color="1F4E79" w:sz="4"/>
          <w:left w:val="none"/>
          <w:bottom w:val="single" w:color="1F4E79" w:sz="4"/>
          <w:right w:val="none"/>
          <w:insideH w:val="single" w:color="BFCDDC" w:sz="1"/>
          <w:insideV w:val="none"/>
        </w:tblBorders>
      </w:tblPr>
      <w:tblGrid>
        <w:gridCol w:w="2100"/>
        <w:gridCol w:w="2900"/>
        <w:gridCol w:w="2926"/>
        <w:gridCol w:w="1100"/>
      </w:tblGrid>
      <w:tr>
        <w:trPr>
          <w:tblHeader/>
        </w:trPr>
        <w:tc>
          <w:tcPr>
            <w:tcW w:type="dxa" w:w="2100"/>
            <w:shd w:fill="DCE6F1" w:color="auto" w:val="clear"/>
            <w:tcMar>
              <w:top w:type="dxa" w:w="70"/>
              <w:left w:type="dxa" w:w="110"/>
              <w:bottom w:type="dxa" w:w="70"/>
              <w:right w:type="dxa" w:w="110"/>
            </w:tcMar>
            <w:vAlign w:val="center"/>
          </w:tcPr>
          <w:p>
            <w:pPr>
              <w:spacing w:after="0" w:line="250"/>
            </w:pPr>
            <w:r>
              <w:rPr>
                <w:b/>
                <w:bCs/>
                <w:sz w:val="19"/>
                <w:szCs w:val="19"/>
              </w:rPr>
              <w:t xml:space="preserve">Dataset</w:t>
            </w:r>
          </w:p>
        </w:tc>
        <w:tc>
          <w:tcPr>
            <w:tcW w:type="dxa" w:w="2900"/>
            <w:shd w:fill="DCE6F1" w:color="auto" w:val="clear"/>
            <w:tcMar>
              <w:top w:type="dxa" w:w="70"/>
              <w:left w:type="dxa" w:w="110"/>
              <w:bottom w:type="dxa" w:w="70"/>
              <w:right w:type="dxa" w:w="110"/>
            </w:tcMar>
            <w:vAlign w:val="center"/>
          </w:tcPr>
          <w:p>
            <w:pPr>
              <w:spacing w:after="0" w:line="250"/>
            </w:pPr>
            <w:r>
              <w:rPr>
                <w:b/>
                <w:bCs/>
                <w:sz w:val="19"/>
                <w:szCs w:val="19"/>
              </w:rPr>
              <w:t xml:space="preserve">Kaggle slug</w:t>
            </w:r>
          </w:p>
        </w:tc>
        <w:tc>
          <w:tcPr>
            <w:tcW w:type="dxa" w:w="2926"/>
            <w:shd w:fill="DCE6F1" w:color="auto" w:val="clear"/>
            <w:tcMar>
              <w:top w:type="dxa" w:w="70"/>
              <w:left w:type="dxa" w:w="110"/>
              <w:bottom w:type="dxa" w:w="70"/>
              <w:right w:type="dxa" w:w="110"/>
            </w:tcMar>
            <w:vAlign w:val="center"/>
          </w:tcPr>
          <w:p>
            <w:pPr>
              <w:spacing w:after="0" w:line="250"/>
            </w:pPr>
            <w:r>
              <w:rPr>
                <w:b/>
                <w:bCs/>
                <w:sz w:val="19"/>
                <w:szCs w:val="19"/>
              </w:rPr>
              <w:t xml:space="preserve">Role</w:t>
            </w:r>
          </w:p>
        </w:tc>
        <w:tc>
          <w:tcPr>
            <w:tcW w:type="dxa" w:w="1100"/>
            <w:shd w:fill="DCE6F1" w:color="auto" w:val="clear"/>
            <w:tcMar>
              <w:top w:type="dxa" w:w="70"/>
              <w:left w:type="dxa" w:w="110"/>
              <w:bottom w:type="dxa" w:w="70"/>
              <w:right w:type="dxa" w:w="110"/>
            </w:tcMar>
            <w:vAlign w:val="center"/>
          </w:tcPr>
          <w:p>
            <w:pPr>
              <w:spacing w:after="0" w:line="250"/>
            </w:pPr>
            <w:r>
              <w:rPr>
                <w:b/>
                <w:bCs/>
                <w:sz w:val="19"/>
                <w:szCs w:val="19"/>
              </w:rPr>
              <w:t xml:space="preserve">Locked?</w:t>
            </w:r>
          </w:p>
        </w:tc>
      </w:tr>
      <w:tr>
        <w:tc>
          <w:tcPr>
            <w:tcW w:type="dxa" w:w="2100"/>
            <w:tcMar>
              <w:top w:type="dxa" w:w="70"/>
              <w:left w:type="dxa" w:w="110"/>
              <w:bottom w:type="dxa" w:w="70"/>
              <w:right w:type="dxa" w:w="110"/>
            </w:tcMar>
            <w:vAlign w:val="center"/>
          </w:tcPr>
          <w:p>
            <w:pPr>
              <w:spacing w:after="0" w:line="250"/>
            </w:pPr>
            <w:r>
              <w:rPr>
                <w:b/>
                <w:bCs/>
                <w:sz w:val="19"/>
                <w:szCs w:val="19"/>
              </w:rPr>
              <w:t xml:space="preserve">EyePACS</w:t>
            </w:r>
          </w:p>
        </w:tc>
        <w:tc>
          <w:tcPr>
            <w:tcW w:type="dxa" w:w="2900"/>
            <w:tcMar>
              <w:top w:type="dxa" w:w="70"/>
              <w:left w:type="dxa" w:w="110"/>
              <w:bottom w:type="dxa" w:w="70"/>
              <w:right w:type="dxa" w:w="110"/>
            </w:tcMar>
            <w:vAlign w:val="center"/>
          </w:tcPr>
          <w:p>
            <w:pPr>
              <w:spacing w:after="0" w:line="250"/>
            </w:pPr>
            <w:r>
              <w:rPr>
                <w:b w:val="false"/>
                <w:bCs w:val="false"/>
                <w:sz w:val="19"/>
                <w:szCs w:val="19"/>
              </w:rPr>
              <w:t xml:space="preserve">tantai31124/eyepacs-original</w:t>
            </w:r>
          </w:p>
        </w:tc>
        <w:tc>
          <w:tcPr>
            <w:tcW w:type="dxa" w:w="2926"/>
            <w:tcMar>
              <w:top w:type="dxa" w:w="70"/>
              <w:left w:type="dxa" w:w="110"/>
              <w:bottom w:type="dxa" w:w="70"/>
              <w:right w:type="dxa" w:w="110"/>
            </w:tcMar>
            <w:vAlign w:val="center"/>
          </w:tcPr>
          <w:p>
            <w:pPr>
              <w:spacing w:after="0" w:line="250"/>
            </w:pPr>
            <w:r>
              <w:rPr>
                <w:b w:val="false"/>
                <w:bCs w:val="false"/>
                <w:sz w:val="19"/>
                <w:szCs w:val="19"/>
              </w:rPr>
              <w:t xml:space="preserve">Primary development</w:t>
            </w:r>
          </w:p>
        </w:tc>
        <w:tc>
          <w:tcPr>
            <w:tcW w:type="dxa" w:w="1100"/>
            <w:tcMar>
              <w:top w:type="dxa" w:w="70"/>
              <w:left w:type="dxa" w:w="110"/>
              <w:bottom w:type="dxa" w:w="70"/>
              <w:right w:type="dxa" w:w="110"/>
            </w:tcMar>
            <w:vAlign w:val="center"/>
          </w:tcPr>
          <w:p>
            <w:pPr>
              <w:spacing w:after="0" w:line="250"/>
            </w:pPr>
            <w:r>
              <w:rPr>
                <w:b w:val="false"/>
                <w:bCs w:val="false"/>
                <w:sz w:val="19"/>
                <w:szCs w:val="19"/>
              </w:rPr>
              <w:t xml:space="preserve">No</w:t>
            </w:r>
          </w:p>
        </w:tc>
      </w:tr>
      <w:tr>
        <w:tc>
          <w:tcPr>
            <w:tcW w:type="dxa" w:w="2100"/>
            <w:shd w:fill="F2F6FA" w:color="auto" w:val="clear"/>
            <w:tcMar>
              <w:top w:type="dxa" w:w="70"/>
              <w:left w:type="dxa" w:w="110"/>
              <w:bottom w:type="dxa" w:w="70"/>
              <w:right w:type="dxa" w:w="110"/>
            </w:tcMar>
            <w:vAlign w:val="center"/>
          </w:tcPr>
          <w:p>
            <w:pPr>
              <w:spacing w:after="0" w:line="250"/>
            </w:pPr>
            <w:r>
              <w:rPr>
                <w:b/>
                <w:bCs/>
                <w:sz w:val="19"/>
                <w:szCs w:val="19"/>
              </w:rPr>
              <w:t xml:space="preserve">DDR</w:t>
            </w:r>
          </w:p>
        </w:tc>
        <w:tc>
          <w:tcPr>
            <w:tcW w:type="dxa" w:w="29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mariaherrerot/ddrdataset</w:t>
            </w:r>
          </w:p>
        </w:tc>
        <w:tc>
          <w:tcPr>
            <w:tcW w:type="dxa" w:w="29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Merged dev + lesion masks + ungradable class</w:t>
            </w:r>
          </w:p>
        </w:tc>
        <w:tc>
          <w:tcPr>
            <w:tcW w:type="dxa" w:w="11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No</w:t>
            </w:r>
          </w:p>
        </w:tc>
      </w:tr>
      <w:tr>
        <w:tc>
          <w:tcPr>
            <w:tcW w:type="dxa" w:w="2100"/>
            <w:tcMar>
              <w:top w:type="dxa" w:w="70"/>
              <w:left w:type="dxa" w:w="110"/>
              <w:bottom w:type="dxa" w:w="70"/>
              <w:right w:type="dxa" w:w="110"/>
            </w:tcMar>
            <w:vAlign w:val="center"/>
          </w:tcPr>
          <w:p>
            <w:pPr>
              <w:spacing w:after="0" w:line="250"/>
            </w:pPr>
            <w:r>
              <w:rPr>
                <w:b/>
                <w:bCs/>
                <w:sz w:val="19"/>
                <w:szCs w:val="19"/>
              </w:rPr>
              <w:t xml:space="preserve">IDRiD</w:t>
            </w:r>
          </w:p>
        </w:tc>
        <w:tc>
          <w:tcPr>
            <w:tcW w:type="dxa" w:w="2900"/>
            <w:tcMar>
              <w:top w:type="dxa" w:w="70"/>
              <w:left w:type="dxa" w:w="110"/>
              <w:bottom w:type="dxa" w:w="70"/>
              <w:right w:type="dxa" w:w="110"/>
            </w:tcMar>
            <w:vAlign w:val="center"/>
          </w:tcPr>
          <w:p>
            <w:pPr>
              <w:spacing w:after="0" w:line="250"/>
            </w:pPr>
            <w:r>
              <w:rPr>
                <w:b w:val="false"/>
                <w:bCs w:val="false"/>
                <w:sz w:val="19"/>
                <w:szCs w:val="19"/>
              </w:rPr>
              <w:t xml:space="preserve">mariaherrerot/idrid-dataset (or mirror)</w:t>
            </w:r>
          </w:p>
        </w:tc>
        <w:tc>
          <w:tcPr>
            <w:tcW w:type="dxa" w:w="2926"/>
            <w:tcMar>
              <w:top w:type="dxa" w:w="70"/>
              <w:left w:type="dxa" w:w="110"/>
              <w:bottom w:type="dxa" w:w="70"/>
              <w:right w:type="dxa" w:w="110"/>
            </w:tcMar>
            <w:vAlign w:val="center"/>
          </w:tcPr>
          <w:p>
            <w:pPr>
              <w:spacing w:after="0" w:line="250"/>
            </w:pPr>
            <w:r>
              <w:rPr>
                <w:b w:val="false"/>
                <w:bCs w:val="false"/>
                <w:sz w:val="19"/>
                <w:szCs w:val="19"/>
              </w:rPr>
              <w:t xml:space="preserve">Lesion masks + OD/fovea coords + grading</w:t>
            </w:r>
          </w:p>
        </w:tc>
        <w:tc>
          <w:tcPr>
            <w:tcW w:type="dxa" w:w="1100"/>
            <w:tcMar>
              <w:top w:type="dxa" w:w="70"/>
              <w:left w:type="dxa" w:w="110"/>
              <w:bottom w:type="dxa" w:w="70"/>
              <w:right w:type="dxa" w:w="110"/>
            </w:tcMar>
            <w:vAlign w:val="center"/>
          </w:tcPr>
          <w:p>
            <w:pPr>
              <w:spacing w:after="0" w:line="250"/>
            </w:pPr>
            <w:r>
              <w:rPr>
                <w:b w:val="false"/>
                <w:bCs w:val="false"/>
                <w:sz w:val="19"/>
                <w:szCs w:val="19"/>
              </w:rPr>
              <w:t xml:space="preserve">No</w:t>
            </w:r>
          </w:p>
        </w:tc>
      </w:tr>
      <w:tr>
        <w:tc>
          <w:tcPr>
            <w:tcW w:type="dxa" w:w="2100"/>
            <w:shd w:fill="F2F6FA" w:color="auto" w:val="clear"/>
            <w:tcMar>
              <w:top w:type="dxa" w:w="70"/>
              <w:left w:type="dxa" w:w="110"/>
              <w:bottom w:type="dxa" w:w="70"/>
              <w:right w:type="dxa" w:w="110"/>
            </w:tcMar>
            <w:vAlign w:val="center"/>
          </w:tcPr>
          <w:p>
            <w:pPr>
              <w:spacing w:after="0" w:line="250"/>
            </w:pPr>
            <w:r>
              <w:rPr>
                <w:b/>
                <w:bCs/>
                <w:sz w:val="19"/>
                <w:szCs w:val="19"/>
              </w:rPr>
              <w:t xml:space="preserve">APTOS 2019</w:t>
            </w:r>
          </w:p>
        </w:tc>
        <w:tc>
          <w:tcPr>
            <w:tcW w:type="dxa" w:w="29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aptos2019-blindness-detection</w:t>
            </w:r>
          </w:p>
        </w:tc>
        <w:tc>
          <w:tcPr>
            <w:tcW w:type="dxa" w:w="29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External test #1</w:t>
            </w:r>
          </w:p>
        </w:tc>
        <w:tc>
          <w:tcPr>
            <w:tcW w:type="dxa" w:w="11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YES</w:t>
            </w:r>
          </w:p>
        </w:tc>
      </w:tr>
      <w:tr>
        <w:tc>
          <w:tcPr>
            <w:tcW w:type="dxa" w:w="2100"/>
            <w:tcMar>
              <w:top w:type="dxa" w:w="70"/>
              <w:left w:type="dxa" w:w="110"/>
              <w:bottom w:type="dxa" w:w="70"/>
              <w:right w:type="dxa" w:w="110"/>
            </w:tcMar>
            <w:vAlign w:val="center"/>
          </w:tcPr>
          <w:p>
            <w:pPr>
              <w:spacing w:after="0" w:line="250"/>
            </w:pPr>
            <w:r>
              <w:rPr>
                <w:b/>
                <w:bCs/>
                <w:sz w:val="19"/>
                <w:szCs w:val="19"/>
              </w:rPr>
              <w:t xml:space="preserve">Messidor-2 images</w:t>
            </w:r>
          </w:p>
        </w:tc>
        <w:tc>
          <w:tcPr>
            <w:tcW w:type="dxa" w:w="2900"/>
            <w:tcMar>
              <w:top w:type="dxa" w:w="70"/>
              <w:left w:type="dxa" w:w="110"/>
              <w:bottom w:type="dxa" w:w="70"/>
              <w:right w:type="dxa" w:w="110"/>
            </w:tcMar>
            <w:vAlign w:val="center"/>
          </w:tcPr>
          <w:p>
            <w:pPr>
              <w:spacing w:after="0" w:line="250"/>
            </w:pPr>
            <w:r>
              <w:rPr>
                <w:b w:val="false"/>
                <w:bCs w:val="false"/>
                <w:sz w:val="19"/>
                <w:szCs w:val="19"/>
              </w:rPr>
              <w:t xml:space="preserve">mariaherrerot/messidor2preprocess</w:t>
            </w:r>
          </w:p>
        </w:tc>
        <w:tc>
          <w:tcPr>
            <w:tcW w:type="dxa" w:w="2926"/>
            <w:tcMar>
              <w:top w:type="dxa" w:w="70"/>
              <w:left w:type="dxa" w:w="110"/>
              <w:bottom w:type="dxa" w:w="70"/>
              <w:right w:type="dxa" w:w="110"/>
            </w:tcMar>
            <w:vAlign w:val="center"/>
          </w:tcPr>
          <w:p>
            <w:pPr>
              <w:spacing w:after="0" w:line="250"/>
            </w:pPr>
            <w:r>
              <w:rPr>
                <w:b w:val="false"/>
                <w:bCs w:val="false"/>
                <w:sz w:val="19"/>
                <w:szCs w:val="19"/>
              </w:rPr>
              <w:t xml:space="preserve">External test #2</w:t>
            </w:r>
          </w:p>
        </w:tc>
        <w:tc>
          <w:tcPr>
            <w:tcW w:type="dxa" w:w="1100"/>
            <w:tcMar>
              <w:top w:type="dxa" w:w="70"/>
              <w:left w:type="dxa" w:w="110"/>
              <w:bottom w:type="dxa" w:w="70"/>
              <w:right w:type="dxa" w:w="110"/>
            </w:tcMar>
            <w:vAlign w:val="center"/>
          </w:tcPr>
          <w:p>
            <w:pPr>
              <w:spacing w:after="0" w:line="250"/>
            </w:pPr>
            <w:r>
              <w:rPr>
                <w:b w:val="false"/>
                <w:bCs w:val="false"/>
                <w:sz w:val="19"/>
                <w:szCs w:val="19"/>
              </w:rPr>
              <w:t xml:space="preserve">YES</w:t>
            </w:r>
          </w:p>
        </w:tc>
      </w:tr>
      <w:tr>
        <w:tc>
          <w:tcPr>
            <w:tcW w:type="dxa" w:w="2100"/>
            <w:shd w:fill="F2F6FA" w:color="auto" w:val="clear"/>
            <w:tcMar>
              <w:top w:type="dxa" w:w="70"/>
              <w:left w:type="dxa" w:w="110"/>
              <w:bottom w:type="dxa" w:w="70"/>
              <w:right w:type="dxa" w:w="110"/>
            </w:tcMar>
            <w:vAlign w:val="center"/>
          </w:tcPr>
          <w:p>
            <w:pPr>
              <w:spacing w:after="0" w:line="250"/>
            </w:pPr>
            <w:r>
              <w:rPr>
                <w:b/>
                <w:bCs/>
                <w:sz w:val="19"/>
                <w:szCs w:val="19"/>
              </w:rPr>
              <w:t xml:space="preserve">Messidor-2 grades</w:t>
            </w:r>
          </w:p>
        </w:tc>
        <w:tc>
          <w:tcPr>
            <w:tcW w:type="dxa" w:w="29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google-brain/messidor2-dr-grades</w:t>
            </w:r>
          </w:p>
        </w:tc>
        <w:tc>
          <w:tcPr>
            <w:tcW w:type="dxa" w:w="29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Adjudicated labels — join by image ID</w:t>
            </w:r>
          </w:p>
        </w:tc>
        <w:tc>
          <w:tcPr>
            <w:tcW w:type="dxa" w:w="11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YES</w:t>
            </w:r>
          </w:p>
        </w:tc>
      </w:tr>
    </w:tbl>
    <w:p>
      <w:pPr>
        <w:spacing w:after="200"/>
      </w:pPr>
    </w:p>
    <w:p>
      <w:pPr>
        <w:pStyle w:val="Heading2"/>
        <w:spacing w:after="140" w:before="260"/>
      </w:pPr>
      <w:r>
        <w:rPr>
          <w:b/>
          <w:bCs/>
          <w:color w:val="1F4E79"/>
          <w:sz w:val="24"/>
          <w:szCs w:val="24"/>
        </w:rPr>
        <w:t xml:space="preserve">5.1 Two verification questions to answer before anything else</w:t>
      </w:r>
    </w:p>
    <w:p>
      <w:pPr>
        <w:pStyle w:val="ListParagraph"/>
        <w:numPr>
          <w:ilvl w:val="0"/>
          <w:numId w:val="3"/>
        </w:numPr>
        <w:spacing w:after="80" w:line="276"/>
      </w:pPr>
      <w:r>
        <w:rPr>
          <w:sz w:val="21"/>
          <w:szCs w:val="21"/>
        </w:rPr>
        <w:t xml:space="preserve">Does the DDR mirror actually ship lesion_segmentation/, not only DR_grading/? If it does not, the evidence pathway has no training data and there is no version of this thesis without it.</w:t>
      </w:r>
    </w:p>
    <w:p>
      <w:pPr>
        <w:pStyle w:val="ListParagraph"/>
        <w:numPr>
          <w:ilvl w:val="0"/>
          <w:numId w:val="3"/>
        </w:numPr>
        <w:spacing w:after="80" w:line="276"/>
      </w:pPr>
      <w:r>
        <w:rPr>
          <w:sz w:val="21"/>
          <w:szCs w:val="21"/>
        </w:rPr>
        <w:t xml:space="preserve">What preprocessing has messidor2preprocess already applied? If the images are already contrast-normalised, the measured “domain gap” is partly an artefact and must be matched or reported.</w:t>
      </w:r>
    </w:p>
    <w:p>
      <w:pPr>
        <w:spacing w:after="160"/>
      </w:pPr>
    </w:p>
    <w:p>
      <w:pPr>
        <w:pStyle w:val="Heading2"/>
        <w:spacing w:after="140" w:before="260"/>
      </w:pPr>
      <w:r>
        <w:rPr>
          <w:b/>
          <w:bCs/>
          <w:color w:val="1F4E79"/>
          <w:sz w:val="24"/>
          <w:szCs w:val="24"/>
        </w:rPr>
        <w:t xml:space="preserve">5.2 The prevalence shift is the point</w:t>
      </w:r>
    </w:p>
    <w:tbl>
      <w:tblPr>
        <w:tblW w:type="dxa" w:w="9026"/>
        <w:tblBorders>
          <w:top w:val="single" w:color="1F4E79" w:sz="4"/>
          <w:left w:val="none"/>
          <w:bottom w:val="single" w:color="1F4E79" w:sz="4"/>
          <w:right w:val="none"/>
          <w:insideH w:val="single" w:color="BFCDDC" w:sz="1"/>
          <w:insideV w:val="none"/>
        </w:tblBorders>
      </w:tblPr>
      <w:tblGrid>
        <w:gridCol w:w="2200"/>
        <w:gridCol w:w="1150"/>
        <w:gridCol w:w="1150"/>
        <w:gridCol w:w="1150"/>
        <w:gridCol w:w="1150"/>
        <w:gridCol w:w="1150"/>
        <w:gridCol w:w="1076"/>
      </w:tblGrid>
      <w:tr>
        <w:trPr>
          <w:tblHeader/>
        </w:trPr>
        <w:tc>
          <w:tcPr>
            <w:tcW w:type="dxa" w:w="2200"/>
            <w:shd w:fill="DCE6F1" w:color="auto" w:val="clear"/>
            <w:tcMar>
              <w:top w:type="dxa" w:w="70"/>
              <w:left w:type="dxa" w:w="110"/>
              <w:bottom w:type="dxa" w:w="70"/>
              <w:right w:type="dxa" w:w="110"/>
            </w:tcMar>
            <w:vAlign w:val="center"/>
          </w:tcPr>
          <w:p>
            <w:pPr>
              <w:spacing w:after="0" w:line="250"/>
            </w:pPr>
            <w:r>
              <w:rPr>
                <w:b/>
                <w:bCs/>
                <w:sz w:val="19"/>
                <w:szCs w:val="19"/>
              </w:rPr>
              <w:t xml:space="preserve">Dataset</w:t>
            </w:r>
          </w:p>
        </w:tc>
        <w:tc>
          <w:tcPr>
            <w:tcW w:type="dxa" w:w="1150"/>
            <w:shd w:fill="DCE6F1" w:color="auto" w:val="clear"/>
            <w:tcMar>
              <w:top w:type="dxa" w:w="70"/>
              <w:left w:type="dxa" w:w="110"/>
              <w:bottom w:type="dxa" w:w="70"/>
              <w:right w:type="dxa" w:w="110"/>
            </w:tcMar>
            <w:vAlign w:val="center"/>
          </w:tcPr>
          <w:p>
            <w:pPr>
              <w:spacing w:after="0" w:line="250"/>
            </w:pPr>
            <w:r>
              <w:rPr>
                <w:b/>
                <w:bCs/>
                <w:sz w:val="19"/>
                <w:szCs w:val="19"/>
              </w:rPr>
              <w:t xml:space="preserve">Grade 0</w:t>
            </w:r>
          </w:p>
        </w:tc>
        <w:tc>
          <w:tcPr>
            <w:tcW w:type="dxa" w:w="1150"/>
            <w:shd w:fill="DCE6F1" w:color="auto" w:val="clear"/>
            <w:tcMar>
              <w:top w:type="dxa" w:w="70"/>
              <w:left w:type="dxa" w:w="110"/>
              <w:bottom w:type="dxa" w:w="70"/>
              <w:right w:type="dxa" w:w="110"/>
            </w:tcMar>
            <w:vAlign w:val="center"/>
          </w:tcPr>
          <w:p>
            <w:pPr>
              <w:spacing w:after="0" w:line="250"/>
            </w:pPr>
            <w:r>
              <w:rPr>
                <w:b/>
                <w:bCs/>
                <w:sz w:val="19"/>
                <w:szCs w:val="19"/>
              </w:rPr>
              <w:t xml:space="preserve">Grade 1</w:t>
            </w:r>
          </w:p>
        </w:tc>
        <w:tc>
          <w:tcPr>
            <w:tcW w:type="dxa" w:w="1150"/>
            <w:shd w:fill="DCE6F1" w:color="auto" w:val="clear"/>
            <w:tcMar>
              <w:top w:type="dxa" w:w="70"/>
              <w:left w:type="dxa" w:w="110"/>
              <w:bottom w:type="dxa" w:w="70"/>
              <w:right w:type="dxa" w:w="110"/>
            </w:tcMar>
            <w:vAlign w:val="center"/>
          </w:tcPr>
          <w:p>
            <w:pPr>
              <w:spacing w:after="0" w:line="250"/>
            </w:pPr>
            <w:r>
              <w:rPr>
                <w:b/>
                <w:bCs/>
                <w:sz w:val="19"/>
                <w:szCs w:val="19"/>
              </w:rPr>
              <w:t xml:space="preserve">Grade 2</w:t>
            </w:r>
          </w:p>
        </w:tc>
        <w:tc>
          <w:tcPr>
            <w:tcW w:type="dxa" w:w="1150"/>
            <w:shd w:fill="DCE6F1" w:color="auto" w:val="clear"/>
            <w:tcMar>
              <w:top w:type="dxa" w:w="70"/>
              <w:left w:type="dxa" w:w="110"/>
              <w:bottom w:type="dxa" w:w="70"/>
              <w:right w:type="dxa" w:w="110"/>
            </w:tcMar>
            <w:vAlign w:val="center"/>
          </w:tcPr>
          <w:p>
            <w:pPr>
              <w:spacing w:after="0" w:line="250"/>
            </w:pPr>
            <w:r>
              <w:rPr>
                <w:b/>
                <w:bCs/>
                <w:sz w:val="19"/>
                <w:szCs w:val="19"/>
              </w:rPr>
              <w:t xml:space="preserve">Grade 3</w:t>
            </w:r>
          </w:p>
        </w:tc>
        <w:tc>
          <w:tcPr>
            <w:tcW w:type="dxa" w:w="1150"/>
            <w:shd w:fill="DCE6F1" w:color="auto" w:val="clear"/>
            <w:tcMar>
              <w:top w:type="dxa" w:w="70"/>
              <w:left w:type="dxa" w:w="110"/>
              <w:bottom w:type="dxa" w:w="70"/>
              <w:right w:type="dxa" w:w="110"/>
            </w:tcMar>
            <w:vAlign w:val="center"/>
          </w:tcPr>
          <w:p>
            <w:pPr>
              <w:spacing w:after="0" w:line="250"/>
            </w:pPr>
            <w:r>
              <w:rPr>
                <w:b/>
                <w:bCs/>
                <w:sz w:val="19"/>
                <w:szCs w:val="19"/>
              </w:rPr>
              <w:t xml:space="preserve">Grade 4</w:t>
            </w:r>
          </w:p>
        </w:tc>
        <w:tc>
          <w:tcPr>
            <w:tcW w:type="dxa" w:w="1076"/>
            <w:shd w:fill="DCE6F1" w:color="auto" w:val="clear"/>
            <w:tcMar>
              <w:top w:type="dxa" w:w="70"/>
              <w:left w:type="dxa" w:w="110"/>
              <w:bottom w:type="dxa" w:w="70"/>
              <w:right w:type="dxa" w:w="110"/>
            </w:tcMar>
            <w:vAlign w:val="center"/>
          </w:tcPr>
          <w:p>
            <w:pPr>
              <w:spacing w:after="0" w:line="250"/>
            </w:pPr>
            <w:r>
              <w:rPr>
                <w:b/>
                <w:bCs/>
                <w:sz w:val="19"/>
                <w:szCs w:val="19"/>
              </w:rPr>
              <w:t xml:space="preserve">n</w:t>
            </w:r>
          </w:p>
        </w:tc>
      </w:tr>
      <w:tr>
        <w:tc>
          <w:tcPr>
            <w:tcW w:type="dxa" w:w="2200"/>
            <w:tcMar>
              <w:top w:type="dxa" w:w="70"/>
              <w:left w:type="dxa" w:w="110"/>
              <w:bottom w:type="dxa" w:w="70"/>
              <w:right w:type="dxa" w:w="110"/>
            </w:tcMar>
            <w:vAlign w:val="center"/>
          </w:tcPr>
          <w:p>
            <w:pPr>
              <w:spacing w:after="0" w:line="250"/>
            </w:pPr>
            <w:r>
              <w:rPr>
                <w:b/>
                <w:bCs/>
                <w:sz w:val="19"/>
                <w:szCs w:val="19"/>
              </w:rPr>
              <w:t xml:space="preserve">EyePACS (train)</w:t>
            </w:r>
          </w:p>
        </w:tc>
        <w:tc>
          <w:tcPr>
            <w:tcW w:type="dxa" w:w="1150"/>
            <w:tcMar>
              <w:top w:type="dxa" w:w="70"/>
              <w:left w:type="dxa" w:w="110"/>
              <w:bottom w:type="dxa" w:w="70"/>
              <w:right w:type="dxa" w:w="110"/>
            </w:tcMar>
            <w:vAlign w:val="center"/>
          </w:tcPr>
          <w:p>
            <w:pPr>
              <w:spacing w:after="0" w:line="250"/>
            </w:pPr>
            <w:r>
              <w:rPr>
                <w:b w:val="false"/>
                <w:bCs w:val="false"/>
                <w:sz w:val="19"/>
                <w:szCs w:val="19"/>
              </w:rPr>
              <w:t xml:space="preserve">73.5%</w:t>
            </w:r>
          </w:p>
        </w:tc>
        <w:tc>
          <w:tcPr>
            <w:tcW w:type="dxa" w:w="1150"/>
            <w:tcMar>
              <w:top w:type="dxa" w:w="70"/>
              <w:left w:type="dxa" w:w="110"/>
              <w:bottom w:type="dxa" w:w="70"/>
              <w:right w:type="dxa" w:w="110"/>
            </w:tcMar>
            <w:vAlign w:val="center"/>
          </w:tcPr>
          <w:p>
            <w:pPr>
              <w:spacing w:after="0" w:line="250"/>
            </w:pPr>
            <w:r>
              <w:rPr>
                <w:b w:val="false"/>
                <w:bCs w:val="false"/>
                <w:sz w:val="19"/>
                <w:szCs w:val="19"/>
              </w:rPr>
              <w:t xml:space="preserve">7.0%</w:t>
            </w:r>
          </w:p>
        </w:tc>
        <w:tc>
          <w:tcPr>
            <w:tcW w:type="dxa" w:w="1150"/>
            <w:tcMar>
              <w:top w:type="dxa" w:w="70"/>
              <w:left w:type="dxa" w:w="110"/>
              <w:bottom w:type="dxa" w:w="70"/>
              <w:right w:type="dxa" w:w="110"/>
            </w:tcMar>
            <w:vAlign w:val="center"/>
          </w:tcPr>
          <w:p>
            <w:pPr>
              <w:spacing w:after="0" w:line="250"/>
            </w:pPr>
            <w:r>
              <w:rPr>
                <w:b w:val="false"/>
                <w:bCs w:val="false"/>
                <w:sz w:val="19"/>
                <w:szCs w:val="19"/>
              </w:rPr>
              <w:t xml:space="preserve">15.1%</w:t>
            </w:r>
          </w:p>
        </w:tc>
        <w:tc>
          <w:tcPr>
            <w:tcW w:type="dxa" w:w="1150"/>
            <w:tcMar>
              <w:top w:type="dxa" w:w="70"/>
              <w:left w:type="dxa" w:w="110"/>
              <w:bottom w:type="dxa" w:w="70"/>
              <w:right w:type="dxa" w:w="110"/>
            </w:tcMar>
            <w:vAlign w:val="center"/>
          </w:tcPr>
          <w:p>
            <w:pPr>
              <w:spacing w:after="0" w:line="250"/>
            </w:pPr>
            <w:r>
              <w:rPr>
                <w:b w:val="false"/>
                <w:bCs w:val="false"/>
                <w:sz w:val="19"/>
                <w:szCs w:val="19"/>
              </w:rPr>
              <w:t xml:space="preserve">2.5%</w:t>
            </w:r>
          </w:p>
        </w:tc>
        <w:tc>
          <w:tcPr>
            <w:tcW w:type="dxa" w:w="1150"/>
            <w:tcMar>
              <w:top w:type="dxa" w:w="70"/>
              <w:left w:type="dxa" w:w="110"/>
              <w:bottom w:type="dxa" w:w="70"/>
              <w:right w:type="dxa" w:w="110"/>
            </w:tcMar>
            <w:vAlign w:val="center"/>
          </w:tcPr>
          <w:p>
            <w:pPr>
              <w:spacing w:after="0" w:line="250"/>
            </w:pPr>
            <w:r>
              <w:rPr>
                <w:b w:val="false"/>
                <w:bCs w:val="false"/>
                <w:sz w:val="19"/>
                <w:szCs w:val="19"/>
              </w:rPr>
              <w:t xml:space="preserve">2.0%</w:t>
            </w:r>
          </w:p>
        </w:tc>
        <w:tc>
          <w:tcPr>
            <w:tcW w:type="dxa" w:w="1076"/>
            <w:tcMar>
              <w:top w:type="dxa" w:w="70"/>
              <w:left w:type="dxa" w:w="110"/>
              <w:bottom w:type="dxa" w:w="70"/>
              <w:right w:type="dxa" w:w="110"/>
            </w:tcMar>
            <w:vAlign w:val="center"/>
          </w:tcPr>
          <w:p>
            <w:pPr>
              <w:spacing w:after="0" w:line="250"/>
            </w:pPr>
            <w:r>
              <w:rPr>
                <w:b w:val="false"/>
                <w:bCs w:val="false"/>
                <w:sz w:val="19"/>
                <w:szCs w:val="19"/>
              </w:rPr>
              <w:t xml:space="preserve">35,126</w:t>
            </w:r>
          </w:p>
        </w:tc>
      </w:tr>
      <w:tr>
        <w:tc>
          <w:tcPr>
            <w:tcW w:type="dxa" w:w="2200"/>
            <w:shd w:fill="F2F6FA" w:color="auto" w:val="clear"/>
            <w:tcMar>
              <w:top w:type="dxa" w:w="70"/>
              <w:left w:type="dxa" w:w="110"/>
              <w:bottom w:type="dxa" w:w="70"/>
              <w:right w:type="dxa" w:w="110"/>
            </w:tcMar>
            <w:vAlign w:val="center"/>
          </w:tcPr>
          <w:p>
            <w:pPr>
              <w:spacing w:after="0" w:line="250"/>
            </w:pPr>
            <w:r>
              <w:rPr>
                <w:b/>
                <w:bCs/>
                <w:sz w:val="19"/>
                <w:szCs w:val="19"/>
              </w:rPr>
              <w:t xml:space="preserve">APTOS 2019 (train)</w:t>
            </w:r>
          </w:p>
        </w:tc>
        <w:tc>
          <w:tcPr>
            <w:tcW w:type="dxa" w:w="11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49.3%</w:t>
            </w:r>
          </w:p>
        </w:tc>
        <w:tc>
          <w:tcPr>
            <w:tcW w:type="dxa" w:w="11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10.1%</w:t>
            </w:r>
          </w:p>
        </w:tc>
        <w:tc>
          <w:tcPr>
            <w:tcW w:type="dxa" w:w="11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27.3%</w:t>
            </w:r>
          </w:p>
        </w:tc>
        <w:tc>
          <w:tcPr>
            <w:tcW w:type="dxa" w:w="11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5.3%</w:t>
            </w:r>
          </w:p>
        </w:tc>
        <w:tc>
          <w:tcPr>
            <w:tcW w:type="dxa" w:w="115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8.1%</w:t>
            </w:r>
          </w:p>
        </w:tc>
        <w:tc>
          <w:tcPr>
            <w:tcW w:type="dxa" w:w="107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3,662</w:t>
            </w:r>
          </w:p>
        </w:tc>
      </w:tr>
    </w:tbl>
    <w:p>
      <w:pPr>
        <w:spacing w:after="140"/>
      </w:pPr>
    </w:p>
    <w:p>
      <w:pPr>
        <w:spacing w:after="120" w:before="0" w:line="276"/>
      </w:pPr>
      <w:r>
        <w:rPr>
          <w:sz w:val="21"/>
          <w:szCs w:val="21"/>
        </w:rPr>
        <w:t xml:space="preserve">Grade-0 prevalence moves from roughly 73% to 49% between the two. That is why a temperature fitted on EyePACS will not transfer to APTOS (experiment D2), and why prior-shift correction is a real contribution rather than a technicality (D3). Positive predictive value depends entirely on getting this right.</w:t>
      </w:r>
    </w:p>
    <w:p>
      <w:r>
        <w:br w:type="page"/>
      </w:r>
    </w:p>
    <w:p>
      <w:pPr>
        <w:pStyle w:val="Heading1"/>
        <w:spacing w:after="140" w:before="360"/>
      </w:pPr>
      <w:r>
        <w:rPr>
          <w:b/>
          <w:bCs/>
          <w:color w:val="1F4E79"/>
          <w:sz w:val="30"/>
          <w:szCs w:val="30"/>
        </w:rPr>
        <w:t xml:space="preserve">6. Experiment programme</w:t>
      </w:r>
    </w:p>
    <w:p>
      <w:pPr>
        <w:spacing w:after="120" w:before="0" w:line="276"/>
      </w:pPr>
      <w:r>
        <w:rPr>
          <w:sz w:val="21"/>
          <w:szCs w:val="21"/>
        </w:rPr>
        <w:t xml:space="preserve">Twenty-six experiments. Everything before Stage F exists to make Stage F trustworthy. Model selection happens only in B1–B5; external data is touched exactly once, after the freeze.</w:t>
      </w:r>
    </w:p>
    <w:p>
      <w:pPr>
        <w:pStyle w:val="Heading2"/>
        <w:spacing w:after="140" w:before="260"/>
      </w:pPr>
      <w:r>
        <w:rPr>
          <w:b/>
          <w:bCs/>
          <w:color w:val="1F4E79"/>
          <w:sz w:val="24"/>
          <w:szCs w:val="24"/>
        </w:rPr>
        <w:t xml:space="preserve">Stage A — Infrastructure (no claims)</w:t>
      </w:r>
    </w:p>
    <w:tbl>
      <w:tblPr>
        <w:tblW w:type="dxa" w:w="9026"/>
        <w:tblBorders>
          <w:top w:val="single" w:color="1F4E79" w:sz="4"/>
          <w:left w:val="none"/>
          <w:bottom w:val="single" w:color="1F4E79" w:sz="4"/>
          <w:right w:val="none"/>
          <w:insideH w:val="single" w:color="BFCDDC" w:sz="1"/>
          <w:insideV w:val="none"/>
        </w:tblBorders>
      </w:tblPr>
      <w:tblGrid>
        <w:gridCol w:w="700"/>
        <w:gridCol w:w="4100"/>
        <w:gridCol w:w="42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ID</w:t>
            </w:r>
          </w:p>
        </w:tc>
        <w:tc>
          <w:tcPr>
            <w:tcW w:type="dxa" w:w="4100"/>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c>
          <w:tcPr>
            <w:tcW w:type="dxa" w:w="4226"/>
            <w:shd w:fill="DCE6F1" w:color="auto" w:val="clear"/>
            <w:tcMar>
              <w:top w:type="dxa" w:w="70"/>
              <w:left w:type="dxa" w:w="110"/>
              <w:bottom w:type="dxa" w:w="70"/>
              <w:right w:type="dxa" w:w="110"/>
            </w:tcMar>
            <w:vAlign w:val="center"/>
          </w:tcPr>
          <w:p>
            <w:pPr>
              <w:spacing w:after="0" w:line="250"/>
            </w:pPr>
            <w:r>
              <w:rPr>
                <w:b/>
                <w:bCs/>
                <w:sz w:val="19"/>
                <w:szCs w:val="19"/>
              </w:rPr>
              <w:t xml:space="preserve">Decided by</w:t>
            </w:r>
          </w:p>
        </w:tc>
      </w:tr>
      <w:tr>
        <w:tc>
          <w:tcPr>
            <w:tcW w:type="dxa" w:w="700"/>
            <w:tcMar>
              <w:top w:type="dxa" w:w="70"/>
              <w:left w:type="dxa" w:w="110"/>
              <w:bottom w:type="dxa" w:w="70"/>
              <w:right w:type="dxa" w:w="110"/>
            </w:tcMar>
            <w:vAlign w:val="center"/>
          </w:tcPr>
          <w:p>
            <w:pPr>
              <w:spacing w:after="0" w:line="250"/>
            </w:pPr>
            <w:r>
              <w:rPr>
                <w:b/>
                <w:bCs/>
                <w:sz w:val="19"/>
                <w:szCs w:val="19"/>
              </w:rPr>
              <w:t xml:space="preserve">A0</w:t>
            </w:r>
          </w:p>
        </w:tc>
        <w:tc>
          <w:tcPr>
            <w:tcW w:type="dxa" w:w="4100"/>
            <w:tcMar>
              <w:top w:type="dxa" w:w="70"/>
              <w:left w:type="dxa" w:w="110"/>
              <w:bottom w:type="dxa" w:w="70"/>
              <w:right w:type="dxa" w:w="110"/>
            </w:tcMar>
            <w:vAlign w:val="center"/>
          </w:tcPr>
          <w:p>
            <w:pPr>
              <w:spacing w:after="0" w:line="250"/>
            </w:pPr>
            <w:r>
              <w:rPr>
                <w:b w:val="false"/>
                <w:bCs w:val="false"/>
                <w:sz w:val="19"/>
                <w:szCs w:val="19"/>
              </w:rPr>
              <w:t xml:space="preserve">Did the 512 px cache preserve the data?</w:t>
            </w:r>
          </w:p>
        </w:tc>
        <w:tc>
          <w:tcPr>
            <w:tcW w:type="dxa" w:w="4226"/>
            <w:tcMar>
              <w:top w:type="dxa" w:w="70"/>
              <w:left w:type="dxa" w:w="110"/>
              <w:bottom w:type="dxa" w:w="70"/>
              <w:right w:type="dxa" w:w="110"/>
            </w:tcMar>
            <w:vAlign w:val="center"/>
          </w:tcPr>
          <w:p>
            <w:pPr>
              <w:spacing w:after="0" w:line="250"/>
            </w:pPr>
            <w:r>
              <w:rPr>
                <w:b w:val="false"/>
                <w:bCs w:val="false"/>
                <w:sz w:val="19"/>
                <w:szCs w:val="19"/>
              </w:rPr>
              <w:t xml:space="preserve">Counts reconcile per grade; crop failures &lt; 0.5%; 100-crop visual audit</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A1</w:t>
            </w:r>
          </w:p>
        </w:tc>
        <w:tc>
          <w:tcPr>
            <w:tcW w:type="dxa" w:w="41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Does the pipeline run end to end?</w:t>
            </w:r>
          </w:p>
        </w:tc>
        <w:tc>
          <w:tcPr>
            <w:tcW w:type="dxa" w:w="42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Smoke test completes; one-epoch pilot gives non-trivial QWK</w:t>
            </w:r>
          </w:p>
        </w:tc>
      </w:tr>
    </w:tbl>
    <w:p>
      <w:pPr>
        <w:spacing w:after="200"/>
      </w:pPr>
    </w:p>
    <w:p>
      <w:pPr>
        <w:pStyle w:val="Heading2"/>
        <w:spacing w:after="140" w:before="260"/>
      </w:pPr>
      <w:r>
        <w:rPr>
          <w:b/>
          <w:bCs/>
          <w:color w:val="1F4E79"/>
          <w:sz w:val="24"/>
          <w:szCs w:val="24"/>
        </w:rPr>
        <w:t xml:space="preserve">Stage B — Grading pathway (selection; validation only)</w:t>
      </w:r>
    </w:p>
    <w:tbl>
      <w:tblPr>
        <w:tblW w:type="dxa" w:w="9026"/>
        <w:tblBorders>
          <w:top w:val="single" w:color="1F4E79" w:sz="4"/>
          <w:left w:val="none"/>
          <w:bottom w:val="single" w:color="1F4E79" w:sz="4"/>
          <w:right w:val="none"/>
          <w:insideH w:val="single" w:color="BFCDDC" w:sz="1"/>
          <w:insideV w:val="none"/>
        </w:tblBorders>
      </w:tblPr>
      <w:tblGrid>
        <w:gridCol w:w="700"/>
        <w:gridCol w:w="3300"/>
        <w:gridCol w:w="2300"/>
        <w:gridCol w:w="27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ID</w:t>
            </w:r>
          </w:p>
        </w:tc>
        <w:tc>
          <w:tcPr>
            <w:tcW w:type="dxa" w:w="3300"/>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c>
          <w:tcPr>
            <w:tcW w:type="dxa" w:w="2300"/>
            <w:shd w:fill="DCE6F1" w:color="auto" w:val="clear"/>
            <w:tcMar>
              <w:top w:type="dxa" w:w="70"/>
              <w:left w:type="dxa" w:w="110"/>
              <w:bottom w:type="dxa" w:w="70"/>
              <w:right w:type="dxa" w:w="110"/>
            </w:tcMar>
            <w:vAlign w:val="center"/>
          </w:tcPr>
          <w:p>
            <w:pPr>
              <w:spacing w:after="0" w:line="250"/>
            </w:pPr>
            <w:r>
              <w:rPr>
                <w:b/>
                <w:bCs/>
                <w:sz w:val="19"/>
                <w:szCs w:val="19"/>
              </w:rPr>
              <w:t xml:space="preserve">Varies</w:t>
            </w:r>
          </w:p>
        </w:tc>
        <w:tc>
          <w:tcPr>
            <w:tcW w:type="dxa" w:w="2726"/>
            <w:shd w:fill="DCE6F1" w:color="auto" w:val="clear"/>
            <w:tcMar>
              <w:top w:type="dxa" w:w="70"/>
              <w:left w:type="dxa" w:w="110"/>
              <w:bottom w:type="dxa" w:w="70"/>
              <w:right w:type="dxa" w:w="110"/>
            </w:tcMar>
            <w:vAlign w:val="center"/>
          </w:tcPr>
          <w:p>
            <w:pPr>
              <w:spacing w:after="0" w:line="250"/>
            </w:pPr>
            <w:r>
              <w:rPr>
                <w:b/>
                <w:bCs/>
                <w:sz w:val="19"/>
                <w:szCs w:val="19"/>
              </w:rPr>
              <w:t xml:space="preserve">Decided by</w:t>
            </w:r>
          </w:p>
        </w:tc>
      </w:tr>
      <w:tr>
        <w:tc>
          <w:tcPr>
            <w:tcW w:type="dxa" w:w="700"/>
            <w:tcMar>
              <w:top w:type="dxa" w:w="70"/>
              <w:left w:type="dxa" w:w="110"/>
              <w:bottom w:type="dxa" w:w="70"/>
              <w:right w:type="dxa" w:w="110"/>
            </w:tcMar>
            <w:vAlign w:val="center"/>
          </w:tcPr>
          <w:p>
            <w:pPr>
              <w:spacing w:after="0" w:line="250"/>
            </w:pPr>
            <w:r>
              <w:rPr>
                <w:b/>
                <w:bCs/>
                <w:sz w:val="19"/>
                <w:szCs w:val="19"/>
              </w:rPr>
              <w:t xml:space="preserve">B1</w:t>
            </w:r>
          </w:p>
        </w:tc>
        <w:tc>
          <w:tcPr>
            <w:tcW w:type="dxa" w:w="3300"/>
            <w:tcMar>
              <w:top w:type="dxa" w:w="70"/>
              <w:left w:type="dxa" w:w="110"/>
              <w:bottom w:type="dxa" w:w="70"/>
              <w:right w:type="dxa" w:w="110"/>
            </w:tcMar>
            <w:vAlign w:val="center"/>
          </w:tcPr>
          <w:p>
            <w:pPr>
              <w:spacing w:after="0" w:line="250"/>
            </w:pPr>
            <w:r>
              <w:rPr>
                <w:b w:val="false"/>
                <w:bCs w:val="false"/>
                <w:sz w:val="19"/>
                <w:szCs w:val="19"/>
              </w:rPr>
              <w:t xml:space="preserve">What resolution is needed?</w:t>
            </w:r>
          </w:p>
        </w:tc>
        <w:tc>
          <w:tcPr>
            <w:tcW w:type="dxa" w:w="2300"/>
            <w:tcMar>
              <w:top w:type="dxa" w:w="70"/>
              <w:left w:type="dxa" w:w="110"/>
              <w:bottom w:type="dxa" w:w="70"/>
              <w:right w:type="dxa" w:w="110"/>
            </w:tcMar>
            <w:vAlign w:val="center"/>
          </w:tcPr>
          <w:p>
            <w:pPr>
              <w:spacing w:after="0" w:line="250"/>
            </w:pPr>
            <w:r>
              <w:rPr>
                <w:b w:val="false"/>
                <w:bCs w:val="false"/>
                <w:sz w:val="19"/>
                <w:szCs w:val="19"/>
              </w:rPr>
              <w:t xml:space="preserve">384 / 512 / 768 px</w:t>
            </w:r>
          </w:p>
        </w:tc>
        <w:tc>
          <w:tcPr>
            <w:tcW w:type="dxa" w:w="2726"/>
            <w:tcMar>
              <w:top w:type="dxa" w:w="70"/>
              <w:left w:type="dxa" w:w="110"/>
              <w:bottom w:type="dxa" w:w="70"/>
              <w:right w:type="dxa" w:w="110"/>
            </w:tcMar>
            <w:vAlign w:val="center"/>
          </w:tcPr>
          <w:p>
            <w:pPr>
              <w:spacing w:after="0" w:line="250"/>
            </w:pPr>
            <w:r>
              <w:rPr>
                <w:b w:val="false"/>
                <w:bCs w:val="false"/>
                <w:sz w:val="19"/>
                <w:szCs w:val="19"/>
              </w:rPr>
              <w:t xml:space="preserve">Val QWK and grade-1 recall</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B2</w:t>
            </w:r>
          </w:p>
        </w:tc>
        <w:tc>
          <w:tcPr>
            <w:tcW w:type="dxa" w:w="3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Which encoder?</w:t>
            </w:r>
          </w:p>
        </w:tc>
        <w:tc>
          <w:tcPr>
            <w:tcW w:type="dxa" w:w="2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EfficientNet-B0 / ResNet50</w:t>
            </w:r>
          </w:p>
        </w:tc>
        <w:tc>
          <w:tcPr>
            <w:tcW w:type="dxa" w:w="27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Val QWK per GPU-hour</w:t>
            </w:r>
          </w:p>
        </w:tc>
      </w:tr>
      <w:tr>
        <w:tc>
          <w:tcPr>
            <w:tcW w:type="dxa" w:w="700"/>
            <w:tcMar>
              <w:top w:type="dxa" w:w="70"/>
              <w:left w:type="dxa" w:w="110"/>
              <w:bottom w:type="dxa" w:w="70"/>
              <w:right w:type="dxa" w:w="110"/>
            </w:tcMar>
            <w:vAlign w:val="center"/>
          </w:tcPr>
          <w:p>
            <w:pPr>
              <w:spacing w:after="0" w:line="250"/>
            </w:pPr>
            <w:r>
              <w:rPr>
                <w:b/>
                <w:bCs/>
                <w:sz w:val="19"/>
                <w:szCs w:val="19"/>
              </w:rPr>
              <w:t xml:space="preserve">B3</w:t>
            </w:r>
          </w:p>
        </w:tc>
        <w:tc>
          <w:tcPr>
            <w:tcW w:type="dxa" w:w="3300"/>
            <w:tcMar>
              <w:top w:type="dxa" w:w="70"/>
              <w:left w:type="dxa" w:w="110"/>
              <w:bottom w:type="dxa" w:w="70"/>
              <w:right w:type="dxa" w:w="110"/>
            </w:tcMar>
            <w:vAlign w:val="center"/>
          </w:tcPr>
          <w:p>
            <w:pPr>
              <w:spacing w:after="0" w:line="250"/>
            </w:pPr>
            <w:r>
              <w:rPr>
                <w:b w:val="false"/>
                <w:bCs w:val="false"/>
                <w:sz w:val="19"/>
                <w:szCs w:val="19"/>
              </w:rPr>
              <w:t xml:space="preserve">Which head?</w:t>
            </w:r>
          </w:p>
        </w:tc>
        <w:tc>
          <w:tcPr>
            <w:tcW w:type="dxa" w:w="2300"/>
            <w:tcMar>
              <w:top w:type="dxa" w:w="70"/>
              <w:left w:type="dxa" w:w="110"/>
              <w:bottom w:type="dxa" w:w="70"/>
              <w:right w:type="dxa" w:w="110"/>
            </w:tcMar>
            <w:vAlign w:val="center"/>
          </w:tcPr>
          <w:p>
            <w:pPr>
              <w:spacing w:after="0" w:line="250"/>
            </w:pPr>
            <w:r>
              <w:rPr>
                <w:b w:val="false"/>
                <w:bCs w:val="false"/>
                <w:sz w:val="19"/>
                <w:szCs w:val="19"/>
              </w:rPr>
              <w:t xml:space="preserve">CE / ordinal / focal-ordinal</w:t>
            </w:r>
          </w:p>
        </w:tc>
        <w:tc>
          <w:tcPr>
            <w:tcW w:type="dxa" w:w="2726"/>
            <w:tcMar>
              <w:top w:type="dxa" w:w="70"/>
              <w:left w:type="dxa" w:w="110"/>
              <w:bottom w:type="dxa" w:w="70"/>
              <w:right w:type="dxa" w:w="110"/>
            </w:tcMar>
            <w:vAlign w:val="center"/>
          </w:tcPr>
          <w:p>
            <w:pPr>
              <w:spacing w:after="0" w:line="250"/>
            </w:pPr>
            <w:r>
              <w:rPr>
                <w:b w:val="false"/>
                <w:bCs w:val="false"/>
                <w:sz w:val="19"/>
                <w:szCs w:val="19"/>
              </w:rPr>
              <w:t xml:space="preserve">Val QWK and MAE</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B4</w:t>
            </w:r>
          </w:p>
        </w:tc>
        <w:tc>
          <w:tcPr>
            <w:tcW w:type="dxa" w:w="3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Which sampler?</w:t>
            </w:r>
          </w:p>
        </w:tc>
        <w:tc>
          <w:tcPr>
            <w:tcW w:type="dxa" w:w="2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Natural / stratified / balanced</w:t>
            </w:r>
          </w:p>
        </w:tc>
        <w:tc>
          <w:tcPr>
            <w:tcW w:type="dxa" w:w="27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Val QWK at natural prevalence</w:t>
            </w:r>
          </w:p>
        </w:tc>
      </w:tr>
      <w:tr>
        <w:tc>
          <w:tcPr>
            <w:tcW w:type="dxa" w:w="700"/>
            <w:tcMar>
              <w:top w:type="dxa" w:w="70"/>
              <w:left w:type="dxa" w:w="110"/>
              <w:bottom w:type="dxa" w:w="70"/>
              <w:right w:type="dxa" w:w="110"/>
            </w:tcMar>
            <w:vAlign w:val="center"/>
          </w:tcPr>
          <w:p>
            <w:pPr>
              <w:spacing w:after="0" w:line="250"/>
            </w:pPr>
            <w:r>
              <w:rPr>
                <w:b/>
                <w:bCs/>
                <w:sz w:val="19"/>
                <w:szCs w:val="19"/>
              </w:rPr>
              <w:t xml:space="preserve">B5</w:t>
            </w:r>
          </w:p>
        </w:tc>
        <w:tc>
          <w:tcPr>
            <w:tcW w:type="dxa" w:w="3300"/>
            <w:tcMar>
              <w:top w:type="dxa" w:w="70"/>
              <w:left w:type="dxa" w:w="110"/>
              <w:bottom w:type="dxa" w:w="70"/>
              <w:right w:type="dxa" w:w="110"/>
            </w:tcMar>
            <w:vAlign w:val="center"/>
          </w:tcPr>
          <w:p>
            <w:pPr>
              <w:spacing w:after="0" w:line="250"/>
            </w:pPr>
            <w:r>
              <w:rPr>
                <w:b w:val="false"/>
                <w:bCs w:val="false"/>
                <w:sz w:val="19"/>
                <w:szCs w:val="19"/>
              </w:rPr>
              <w:t xml:space="preserve">Does eye-pair fusion help?</w:t>
            </w:r>
          </w:p>
        </w:tc>
        <w:tc>
          <w:tcPr>
            <w:tcW w:type="dxa" w:w="2300"/>
            <w:tcMar>
              <w:top w:type="dxa" w:w="70"/>
              <w:left w:type="dxa" w:w="110"/>
              <w:bottom w:type="dxa" w:w="70"/>
              <w:right w:type="dxa" w:w="110"/>
            </w:tcMar>
            <w:vAlign w:val="center"/>
          </w:tcPr>
          <w:p>
            <w:pPr>
              <w:spacing w:after="0" w:line="250"/>
            </w:pPr>
            <w:r>
              <w:rPr>
                <w:b w:val="false"/>
                <w:bCs w:val="false"/>
                <w:sz w:val="19"/>
                <w:szCs w:val="19"/>
              </w:rPr>
              <w:t xml:space="preserve">Single vs left+right fusion</w:t>
            </w:r>
          </w:p>
        </w:tc>
        <w:tc>
          <w:tcPr>
            <w:tcW w:type="dxa" w:w="2726"/>
            <w:tcMar>
              <w:top w:type="dxa" w:w="70"/>
              <w:left w:type="dxa" w:w="110"/>
              <w:bottom w:type="dxa" w:w="70"/>
              <w:right w:type="dxa" w:w="110"/>
            </w:tcMar>
            <w:vAlign w:val="center"/>
          </w:tcPr>
          <w:p>
            <w:pPr>
              <w:spacing w:after="0" w:line="250"/>
            </w:pPr>
            <w:r>
              <w:rPr>
                <w:b w:val="false"/>
                <w:bCs w:val="false"/>
                <w:sz w:val="19"/>
                <w:szCs w:val="19"/>
              </w:rPr>
              <w:t xml:space="preserve">Val QWK, paired across seeds</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B6</w:t>
            </w:r>
          </w:p>
        </w:tc>
        <w:tc>
          <w:tcPr>
            <w:tcW w:type="dxa" w:w="3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Does balancing the dataset help? (ablation)</w:t>
            </w:r>
          </w:p>
        </w:tc>
        <w:tc>
          <w:tcPr>
            <w:tcW w:type="dxa" w:w="23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full vs balanced_1000</w:t>
            </w:r>
          </w:p>
        </w:tc>
        <w:tc>
          <w:tcPr>
            <w:tcW w:type="dxa" w:w="27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QWK on natural-prevalence test</w:t>
            </w:r>
          </w:p>
        </w:tc>
      </w:tr>
      <w:tr>
        <w:tc>
          <w:tcPr>
            <w:tcW w:type="dxa" w:w="700"/>
            <w:tcMar>
              <w:top w:type="dxa" w:w="70"/>
              <w:left w:type="dxa" w:w="110"/>
              <w:bottom w:type="dxa" w:w="70"/>
              <w:right w:type="dxa" w:w="110"/>
            </w:tcMar>
            <w:vAlign w:val="center"/>
          </w:tcPr>
          <w:p>
            <w:pPr>
              <w:spacing w:after="0" w:line="250"/>
            </w:pPr>
            <w:r>
              <w:rPr>
                <w:b/>
                <w:bCs/>
                <w:sz w:val="19"/>
                <w:szCs w:val="19"/>
              </w:rPr>
              <w:t xml:space="preserve">B7</w:t>
            </w:r>
          </w:p>
        </w:tc>
        <w:tc>
          <w:tcPr>
            <w:tcW w:type="dxa" w:w="3300"/>
            <w:tcMar>
              <w:top w:type="dxa" w:w="70"/>
              <w:left w:type="dxa" w:w="110"/>
              <w:bottom w:type="dxa" w:w="70"/>
              <w:right w:type="dxa" w:w="110"/>
            </w:tcMar>
            <w:vAlign w:val="center"/>
          </w:tcPr>
          <w:p>
            <w:pPr>
              <w:spacing w:after="0" w:line="250"/>
            </w:pPr>
            <w:r>
              <w:rPr>
                <w:b w:val="false"/>
                <w:bCs w:val="false"/>
                <w:sz w:val="19"/>
                <w:szCs w:val="19"/>
              </w:rPr>
              <w:t xml:space="preserve">Does DDR improve transfer? (H3)</w:t>
            </w:r>
          </w:p>
        </w:tc>
        <w:tc>
          <w:tcPr>
            <w:tcW w:type="dxa" w:w="2300"/>
            <w:tcMar>
              <w:top w:type="dxa" w:w="70"/>
              <w:left w:type="dxa" w:w="110"/>
              <w:bottom w:type="dxa" w:w="70"/>
              <w:right w:type="dxa" w:w="110"/>
            </w:tcMar>
            <w:vAlign w:val="center"/>
          </w:tcPr>
          <w:p>
            <w:pPr>
              <w:spacing w:after="0" w:line="250"/>
            </w:pPr>
            <w:r>
              <w:rPr>
                <w:b w:val="false"/>
                <w:bCs w:val="false"/>
                <w:sz w:val="19"/>
                <w:szCs w:val="19"/>
              </w:rPr>
              <w:t xml:space="preserve">full vs ddr_full</w:t>
            </w:r>
          </w:p>
        </w:tc>
        <w:tc>
          <w:tcPr>
            <w:tcW w:type="dxa" w:w="2726"/>
            <w:tcMar>
              <w:top w:type="dxa" w:w="70"/>
              <w:left w:type="dxa" w:w="110"/>
              <w:bottom w:type="dxa" w:w="70"/>
              <w:right w:type="dxa" w:w="110"/>
            </w:tcMar>
            <w:vAlign w:val="center"/>
          </w:tcPr>
          <w:p>
            <w:pPr>
              <w:spacing w:after="0" w:line="250"/>
            </w:pPr>
            <w:r>
              <w:rPr>
                <w:b w:val="false"/>
                <w:bCs w:val="false"/>
                <w:sz w:val="19"/>
                <w:szCs w:val="19"/>
              </w:rPr>
              <w:t xml:space="preserve">External QWK — single unblinding</w:t>
            </w:r>
          </w:p>
        </w:tc>
      </w:tr>
    </w:tbl>
    <w:p>
      <w:pPr>
        <w:spacing w:after="140"/>
      </w:pPr>
    </w:p>
    <w:tbl>
      <w:tblPr>
        <w:tblW w:type="dxa" w:w="9026"/>
        <w:tblBorders>
          <w:top w:val="single" w:color="C55A11" w:sz="2"/>
          <w:left w:val="single" w:color="C55A11" w:sz="18"/>
          <w:bottom w:val="single" w:color="C55A11" w:sz="2"/>
          <w:right w:val="single" w:color="C55A11" w:sz="2"/>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b/>
                <w:bCs/>
                <w:color w:val="C55A11"/>
                <w:sz w:val="21"/>
                <w:szCs w:val="21"/>
              </w:rPr>
              <w:t xml:space="preserve">B1 warning</w:t>
            </w:r>
          </w:p>
          <w:p>
            <w:pPr>
              <w:spacing w:after="40" w:line="276"/>
            </w:pPr>
            <w:r>
              <w:rPr>
                <w:sz w:val="21"/>
                <w:szCs w:val="21"/>
              </w:rPr>
              <w:t xml:space="preserve">Judge B1 on grade-1 recall, not overall QWK. Grade 1 is microaneurysms only and an MA is 10–20 pixels. A model that silently skips grade 1 can still post a respectable QWK, and the resulting thesis would rest on a hollow number.</w:t>
            </w:r>
          </w:p>
        </w:tc>
      </w:tr>
    </w:tbl>
    <w:p>
      <w:pPr>
        <w:spacing w:after="200"/>
      </w:pPr>
    </w:p>
    <w:p>
      <w:pPr>
        <w:pStyle w:val="Heading2"/>
        <w:spacing w:after="140" w:before="260"/>
      </w:pPr>
      <w:r>
        <w:rPr>
          <w:b/>
          <w:bCs/>
          <w:color w:val="1F4E79"/>
          <w:sz w:val="24"/>
          <w:szCs w:val="24"/>
        </w:rPr>
        <w:t xml:space="preserve">Stage C — Evidence pathway</w:t>
      </w:r>
    </w:p>
    <w:tbl>
      <w:tblPr>
        <w:tblW w:type="dxa" w:w="9026"/>
        <w:tblBorders>
          <w:top w:val="single" w:color="1F4E79" w:sz="4"/>
          <w:left w:val="none"/>
          <w:bottom w:val="single" w:color="1F4E79" w:sz="4"/>
          <w:right w:val="none"/>
          <w:insideH w:val="single" w:color="BFCDDC" w:sz="1"/>
          <w:insideV w:val="none"/>
        </w:tblBorders>
      </w:tblPr>
      <w:tblGrid>
        <w:gridCol w:w="700"/>
        <w:gridCol w:w="3800"/>
        <w:gridCol w:w="45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ID</w:t>
            </w:r>
          </w:p>
        </w:tc>
        <w:tc>
          <w:tcPr>
            <w:tcW w:type="dxa" w:w="3800"/>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c>
          <w:tcPr>
            <w:tcW w:type="dxa" w:w="4526"/>
            <w:shd w:fill="DCE6F1" w:color="auto" w:val="clear"/>
            <w:tcMar>
              <w:top w:type="dxa" w:w="70"/>
              <w:left w:type="dxa" w:w="110"/>
              <w:bottom w:type="dxa" w:w="70"/>
              <w:right w:type="dxa" w:w="110"/>
            </w:tcMar>
            <w:vAlign w:val="center"/>
          </w:tcPr>
          <w:p>
            <w:pPr>
              <w:spacing w:after="0" w:line="250"/>
            </w:pPr>
            <w:r>
              <w:rPr>
                <w:b/>
                <w:bCs/>
                <w:sz w:val="19"/>
                <w:szCs w:val="19"/>
              </w:rPr>
              <w:t xml:space="preserve">Decided by</w:t>
            </w:r>
          </w:p>
        </w:tc>
      </w:tr>
      <w:tr>
        <w:tc>
          <w:tcPr>
            <w:tcW w:type="dxa" w:w="700"/>
            <w:tcMar>
              <w:top w:type="dxa" w:w="70"/>
              <w:left w:type="dxa" w:w="110"/>
              <w:bottom w:type="dxa" w:w="70"/>
              <w:right w:type="dxa" w:w="110"/>
            </w:tcMar>
            <w:vAlign w:val="center"/>
          </w:tcPr>
          <w:p>
            <w:pPr>
              <w:spacing w:after="0" w:line="250"/>
            </w:pPr>
            <w:r>
              <w:rPr>
                <w:b/>
                <w:bCs/>
                <w:sz w:val="19"/>
                <w:szCs w:val="19"/>
              </w:rPr>
              <w:t xml:space="preserve">C1</w:t>
            </w:r>
          </w:p>
        </w:tc>
        <w:tc>
          <w:tcPr>
            <w:tcW w:type="dxa" w:w="3800"/>
            <w:tcMar>
              <w:top w:type="dxa" w:w="70"/>
              <w:left w:type="dxa" w:w="110"/>
              <w:bottom w:type="dxa" w:w="70"/>
              <w:right w:type="dxa" w:w="110"/>
            </w:tcMar>
            <w:vAlign w:val="center"/>
          </w:tcPr>
          <w:p>
            <w:pPr>
              <w:spacing w:after="0" w:line="250"/>
            </w:pPr>
            <w:r>
              <w:rPr>
                <w:b w:val="false"/>
                <w:bCs w:val="false"/>
                <w:sz w:val="19"/>
                <w:szCs w:val="19"/>
              </w:rPr>
              <w:t xml:space="preserve">Can we locate disc and fovea well enough for quadrants?</w:t>
            </w:r>
          </w:p>
        </w:tc>
        <w:tc>
          <w:tcPr>
            <w:tcW w:type="dxa" w:w="4526"/>
            <w:tcMar>
              <w:top w:type="dxa" w:w="70"/>
              <w:left w:type="dxa" w:w="110"/>
              <w:bottom w:type="dxa" w:w="70"/>
              <w:right w:type="dxa" w:w="110"/>
            </w:tcMar>
            <w:vAlign w:val="center"/>
          </w:tcPr>
          <w:p>
            <w:pPr>
              <w:spacing w:after="0" w:line="250"/>
            </w:pPr>
            <w:r>
              <w:rPr>
                <w:b w:val="false"/>
                <w:bCs w:val="false"/>
                <w:sz w:val="19"/>
                <w:szCs w:val="19"/>
              </w:rPr>
              <w:t xml:space="preserve">Euclidean error on IDRiD test in disc diameters (target &lt; 0.5 DD)</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C2</w:t>
            </w:r>
          </w:p>
        </w:tc>
        <w:tc>
          <w:tcPr>
            <w:tcW w:type="dxa" w:w="38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How well do the four lesion channels segment?</w:t>
            </w:r>
          </w:p>
        </w:tc>
        <w:tc>
          <w:tcPr>
            <w:tcW w:type="dxa" w:w="45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Per-lesion Dice and IoU</w:t>
            </w:r>
          </w:p>
        </w:tc>
      </w:tr>
      <w:tr>
        <w:tc>
          <w:tcPr>
            <w:tcW w:type="dxa" w:w="700"/>
            <w:tcMar>
              <w:top w:type="dxa" w:w="70"/>
              <w:left w:type="dxa" w:w="110"/>
              <w:bottom w:type="dxa" w:w="70"/>
              <w:right w:type="dxa" w:w="110"/>
            </w:tcMar>
            <w:vAlign w:val="center"/>
          </w:tcPr>
          <w:p>
            <w:pPr>
              <w:spacing w:after="0" w:line="250"/>
            </w:pPr>
            <w:r>
              <w:rPr>
                <w:b/>
                <w:bCs/>
                <w:sz w:val="19"/>
                <w:szCs w:val="19"/>
              </w:rPr>
              <w:t xml:space="preserve">C3</w:t>
            </w:r>
          </w:p>
        </w:tc>
        <w:tc>
          <w:tcPr>
            <w:tcW w:type="dxa" w:w="3800"/>
            <w:tcMar>
              <w:top w:type="dxa" w:w="70"/>
              <w:left w:type="dxa" w:w="110"/>
              <w:bottom w:type="dxa" w:w="70"/>
              <w:right w:type="dxa" w:w="110"/>
            </w:tcMar>
            <w:vAlign w:val="center"/>
          </w:tcPr>
          <w:p>
            <w:pPr>
              <w:spacing w:after="0" w:line="250"/>
            </w:pPr>
            <w:r>
              <w:rPr>
                <w:b w:val="false"/>
                <w:bCs w:val="false"/>
                <w:sz w:val="19"/>
                <w:szCs w:val="19"/>
              </w:rPr>
              <w:t xml:space="preserve">Does the segmenter itself transfer?</w:t>
            </w:r>
          </w:p>
        </w:tc>
        <w:tc>
          <w:tcPr>
            <w:tcW w:type="dxa" w:w="4526"/>
            <w:tcMar>
              <w:top w:type="dxa" w:w="70"/>
              <w:left w:type="dxa" w:w="110"/>
              <w:bottom w:type="dxa" w:w="70"/>
              <w:right w:type="dxa" w:w="110"/>
            </w:tcMar>
            <w:vAlign w:val="center"/>
          </w:tcPr>
          <w:p>
            <w:pPr>
              <w:spacing w:after="0" w:line="250"/>
            </w:pPr>
            <w:r>
              <w:rPr>
                <w:b w:val="false"/>
                <w:bCs w:val="false"/>
                <w:sz w:val="19"/>
                <w:szCs w:val="19"/>
              </w:rPr>
              <w:t xml:space="preserve">Dice drop, DDR→IDRiD and reverse</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C4</w:t>
            </w:r>
          </w:p>
        </w:tc>
        <w:tc>
          <w:tcPr>
            <w:tcW w:type="dxa" w:w="38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How informative is evidence alone?</w:t>
            </w:r>
          </w:p>
        </w:tc>
        <w:tc>
          <w:tcPr>
            <w:tcW w:type="dxa" w:w="45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QWK of evidence-grade against the true label</w:t>
            </w:r>
          </w:p>
        </w:tc>
      </w:tr>
    </w:tbl>
    <w:p>
      <w:pPr>
        <w:spacing w:after="140"/>
      </w:pPr>
    </w:p>
    <w:tbl>
      <w:tblPr>
        <w:tblW w:type="dxa" w:w="9026"/>
        <w:tblBorders>
          <w:top w:val="single" w:color="C55A11" w:sz="2"/>
          <w:left w:val="single" w:color="C55A11" w:sz="18"/>
          <w:bottom w:val="single" w:color="C55A11" w:sz="2"/>
          <w:right w:val="single" w:color="C55A11" w:sz="2"/>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b/>
                <w:bCs/>
                <w:color w:val="C55A11"/>
                <w:sz w:val="21"/>
                <w:szCs w:val="21"/>
              </w:rPr>
              <w:t xml:space="preserve">C4 is load-bearing</w:t>
            </w:r>
          </w:p>
          <w:p>
            <w:pPr>
              <w:spacing w:after="40" w:line="276"/>
            </w:pPr>
            <w:r>
              <w:rPr>
                <w:sz w:val="21"/>
                <w:szCs w:val="21"/>
              </w:rPr>
              <w:t xml:space="preserve">The evidence pathway must be informative but weaker than the grader. If it matches the grader, the grader is redundant; if it is noise, disagreement means nothing. Report this number honestly whichever way it lands — the thesis needs it interpretable, not good.</w:t>
            </w:r>
          </w:p>
        </w:tc>
      </w:tr>
    </w:tbl>
    <w:p>
      <w:pPr>
        <w:spacing w:after="200"/>
      </w:pPr>
    </w:p>
    <w:p>
      <w:pPr>
        <w:pStyle w:val="Heading2"/>
        <w:spacing w:after="140" w:before="260"/>
      </w:pPr>
      <w:r>
        <w:rPr>
          <w:b/>
          <w:bCs/>
          <w:color w:val="1F4E79"/>
          <w:sz w:val="24"/>
          <w:szCs w:val="24"/>
        </w:rPr>
        <w:t xml:space="preserve">Stage D — Calibration (H2)</w:t>
      </w:r>
    </w:p>
    <w:tbl>
      <w:tblPr>
        <w:tblW w:type="dxa" w:w="9026"/>
        <w:tblBorders>
          <w:top w:val="single" w:color="1F4E79" w:sz="4"/>
          <w:left w:val="none"/>
          <w:bottom w:val="single" w:color="1F4E79" w:sz="4"/>
          <w:right w:val="none"/>
          <w:insideH w:val="single" w:color="BFCDDC" w:sz="1"/>
          <w:insideV w:val="none"/>
        </w:tblBorders>
      </w:tblPr>
      <w:tblGrid>
        <w:gridCol w:w="700"/>
        <w:gridCol w:w="3800"/>
        <w:gridCol w:w="45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ID</w:t>
            </w:r>
          </w:p>
        </w:tc>
        <w:tc>
          <w:tcPr>
            <w:tcW w:type="dxa" w:w="3800"/>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c>
          <w:tcPr>
            <w:tcW w:type="dxa" w:w="4526"/>
            <w:shd w:fill="DCE6F1" w:color="auto" w:val="clear"/>
            <w:tcMar>
              <w:top w:type="dxa" w:w="70"/>
              <w:left w:type="dxa" w:w="110"/>
              <w:bottom w:type="dxa" w:w="70"/>
              <w:right w:type="dxa" w:w="110"/>
            </w:tcMar>
            <w:vAlign w:val="center"/>
          </w:tcPr>
          <w:p>
            <w:pPr>
              <w:spacing w:after="0" w:line="250"/>
            </w:pPr>
            <w:r>
              <w:rPr>
                <w:b/>
                <w:bCs/>
                <w:sz w:val="19"/>
                <w:szCs w:val="19"/>
              </w:rPr>
              <w:t xml:space="preserve">Decided by</w:t>
            </w:r>
          </w:p>
        </w:tc>
      </w:tr>
      <w:tr>
        <w:tc>
          <w:tcPr>
            <w:tcW w:type="dxa" w:w="700"/>
            <w:tcMar>
              <w:top w:type="dxa" w:w="70"/>
              <w:left w:type="dxa" w:w="110"/>
              <w:bottom w:type="dxa" w:w="70"/>
              <w:right w:type="dxa" w:w="110"/>
            </w:tcMar>
            <w:vAlign w:val="center"/>
          </w:tcPr>
          <w:p>
            <w:pPr>
              <w:spacing w:after="0" w:line="250"/>
            </w:pPr>
            <w:r>
              <w:rPr>
                <w:b/>
                <w:bCs/>
                <w:sz w:val="19"/>
                <w:szCs w:val="19"/>
              </w:rPr>
              <w:t xml:space="preserve">D1</w:t>
            </w:r>
          </w:p>
        </w:tc>
        <w:tc>
          <w:tcPr>
            <w:tcW w:type="dxa" w:w="3800"/>
            <w:tcMar>
              <w:top w:type="dxa" w:w="70"/>
              <w:left w:type="dxa" w:w="110"/>
              <w:bottom w:type="dxa" w:w="70"/>
              <w:right w:type="dxa" w:w="110"/>
            </w:tcMar>
            <w:vAlign w:val="center"/>
          </w:tcPr>
          <w:p>
            <w:pPr>
              <w:spacing w:after="0" w:line="250"/>
            </w:pPr>
            <w:r>
              <w:rPr>
                <w:b w:val="false"/>
                <w:bCs w:val="false"/>
                <w:sz w:val="19"/>
                <w:szCs w:val="19"/>
              </w:rPr>
              <w:t xml:space="preserve">Is the model calibrated internally?</w:t>
            </w:r>
          </w:p>
        </w:tc>
        <w:tc>
          <w:tcPr>
            <w:tcW w:type="dxa" w:w="4526"/>
            <w:tcMar>
              <w:top w:type="dxa" w:w="70"/>
              <w:left w:type="dxa" w:w="110"/>
              <w:bottom w:type="dxa" w:w="70"/>
              <w:right w:type="dxa" w:w="110"/>
            </w:tcMar>
            <w:vAlign w:val="center"/>
          </w:tcPr>
          <w:p>
            <w:pPr>
              <w:spacing w:after="0" w:line="250"/>
            </w:pPr>
            <w:r>
              <w:rPr>
                <w:b w:val="false"/>
                <w:bCs w:val="false"/>
                <w:sz w:val="19"/>
                <w:szCs w:val="19"/>
              </w:rPr>
              <w:t xml:space="preserve">ECE, NLL, Brier — uncalibrated vs temperature scaling</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D2</w:t>
            </w:r>
          </w:p>
        </w:tc>
        <w:tc>
          <w:tcPr>
            <w:tcW w:type="dxa" w:w="38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Does internal temperature transfer?</w:t>
            </w:r>
          </w:p>
        </w:tc>
        <w:tc>
          <w:tcPr>
            <w:tcW w:type="dxa" w:w="45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External ECE on APTOS and Messidor-2 — expected to fail</w:t>
            </w:r>
          </w:p>
        </w:tc>
      </w:tr>
      <w:tr>
        <w:tc>
          <w:tcPr>
            <w:tcW w:type="dxa" w:w="700"/>
            <w:tcMar>
              <w:top w:type="dxa" w:w="70"/>
              <w:left w:type="dxa" w:w="110"/>
              <w:bottom w:type="dxa" w:w="70"/>
              <w:right w:type="dxa" w:w="110"/>
            </w:tcMar>
            <w:vAlign w:val="center"/>
          </w:tcPr>
          <w:p>
            <w:pPr>
              <w:spacing w:after="0" w:line="250"/>
            </w:pPr>
            <w:r>
              <w:rPr>
                <w:b/>
                <w:bCs/>
                <w:sz w:val="19"/>
                <w:szCs w:val="19"/>
              </w:rPr>
              <w:t xml:space="preserve">D3</w:t>
            </w:r>
          </w:p>
        </w:tc>
        <w:tc>
          <w:tcPr>
            <w:tcW w:type="dxa" w:w="3800"/>
            <w:tcMar>
              <w:top w:type="dxa" w:w="70"/>
              <w:left w:type="dxa" w:w="110"/>
              <w:bottom w:type="dxa" w:w="70"/>
              <w:right w:type="dxa" w:w="110"/>
            </w:tcMar>
            <w:vAlign w:val="center"/>
          </w:tcPr>
          <w:p>
            <w:pPr>
              <w:spacing w:after="0" w:line="250"/>
            </w:pPr>
            <w:r>
              <w:rPr>
                <w:b w:val="false"/>
                <w:bCs w:val="false"/>
                <w:sz w:val="19"/>
                <w:szCs w:val="19"/>
              </w:rPr>
              <w:t xml:space="preserve">Does prior-shift correction fix it?</w:t>
            </w:r>
          </w:p>
        </w:tc>
        <w:tc>
          <w:tcPr>
            <w:tcW w:type="dxa" w:w="4526"/>
            <w:tcMar>
              <w:top w:type="dxa" w:w="70"/>
              <w:left w:type="dxa" w:w="110"/>
              <w:bottom w:type="dxa" w:w="70"/>
              <w:right w:type="dxa" w:w="110"/>
            </w:tcMar>
            <w:vAlign w:val="center"/>
          </w:tcPr>
          <w:p>
            <w:pPr>
              <w:spacing w:after="0" w:line="250"/>
            </w:pPr>
            <w:r>
              <w:rPr>
                <w:b w:val="false"/>
                <w:bCs w:val="false"/>
                <w:sz w:val="19"/>
                <w:szCs w:val="19"/>
              </w:rPr>
              <w:t xml:space="preserve">External ECE; Saerens–Decock EM against an oracle-prior upper bound</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D4</w:t>
            </w:r>
          </w:p>
        </w:tc>
        <w:tc>
          <w:tcPr>
            <w:tcW w:type="dxa" w:w="38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How much unlabelled target data does EM need?</w:t>
            </w:r>
          </w:p>
        </w:tc>
        <w:tc>
          <w:tcPr>
            <w:tcW w:type="dxa" w:w="45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ECE versus n = 50 / 200 / 500 / all</w:t>
            </w:r>
          </w:p>
        </w:tc>
      </w:tr>
    </w:tbl>
    <w:p>
      <w:pPr>
        <w:spacing w:after="140"/>
      </w:pPr>
    </w:p>
    <w:p>
      <w:pPr>
        <w:spacing w:after="120" w:before="0" w:line="276"/>
      </w:pPr>
      <w:r>
        <w:rPr>
          <w:i/>
          <w:iCs/>
          <w:sz w:val="21"/>
          <w:szCs w:val="21"/>
        </w:rPr>
        <w:t xml:space="preserve">D2 failing is the finding, not a bug. The EM step in D3 reads unlabelled target images only — no target labels — so it does not break the external lock. This must be stated in the methods so no reviewer mistakes it for leakage.</w:t>
      </w:r>
    </w:p>
    <w:p>
      <w:pPr>
        <w:spacing w:after="200"/>
      </w:pPr>
    </w:p>
    <w:p>
      <w:pPr>
        <w:pStyle w:val="Heading2"/>
        <w:spacing w:after="140" w:before="260"/>
      </w:pPr>
      <w:r>
        <w:rPr>
          <w:b/>
          <w:bCs/>
          <w:color w:val="1F4E79"/>
          <w:sz w:val="24"/>
          <w:szCs w:val="24"/>
        </w:rPr>
        <w:t xml:space="preserve">Stage E — Verification and faithfulness</w:t>
      </w:r>
    </w:p>
    <w:tbl>
      <w:tblPr>
        <w:tblW w:type="dxa" w:w="9026"/>
        <w:tblBorders>
          <w:top w:val="single" w:color="1F4E79" w:sz="4"/>
          <w:left w:val="none"/>
          <w:bottom w:val="single" w:color="1F4E79" w:sz="4"/>
          <w:right w:val="none"/>
          <w:insideH w:val="single" w:color="BFCDDC" w:sz="1"/>
          <w:insideV w:val="none"/>
        </w:tblBorders>
      </w:tblPr>
      <w:tblGrid>
        <w:gridCol w:w="700"/>
        <w:gridCol w:w="3800"/>
        <w:gridCol w:w="45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ID</w:t>
            </w:r>
          </w:p>
        </w:tc>
        <w:tc>
          <w:tcPr>
            <w:tcW w:type="dxa" w:w="3800"/>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c>
          <w:tcPr>
            <w:tcW w:type="dxa" w:w="4526"/>
            <w:shd w:fill="DCE6F1" w:color="auto" w:val="clear"/>
            <w:tcMar>
              <w:top w:type="dxa" w:w="70"/>
              <w:left w:type="dxa" w:w="110"/>
              <w:bottom w:type="dxa" w:w="70"/>
              <w:right w:type="dxa" w:w="110"/>
            </w:tcMar>
            <w:vAlign w:val="center"/>
          </w:tcPr>
          <w:p>
            <w:pPr>
              <w:spacing w:after="0" w:line="250"/>
            </w:pPr>
            <w:r>
              <w:rPr>
                <w:b/>
                <w:bCs/>
                <w:sz w:val="19"/>
                <w:szCs w:val="19"/>
              </w:rPr>
              <w:t xml:space="preserve">Decided by</w:t>
            </w:r>
          </w:p>
        </w:tc>
      </w:tr>
      <w:tr>
        <w:tc>
          <w:tcPr>
            <w:tcW w:type="dxa" w:w="700"/>
            <w:tcMar>
              <w:top w:type="dxa" w:w="70"/>
              <w:left w:type="dxa" w:w="110"/>
              <w:bottom w:type="dxa" w:w="70"/>
              <w:right w:type="dxa" w:w="110"/>
            </w:tcMar>
            <w:vAlign w:val="center"/>
          </w:tcPr>
          <w:p>
            <w:pPr>
              <w:spacing w:after="0" w:line="250"/>
            </w:pPr>
            <w:r>
              <w:rPr>
                <w:b/>
                <w:bCs/>
                <w:sz w:val="19"/>
                <w:szCs w:val="19"/>
              </w:rPr>
              <w:t xml:space="preserve">E1</w:t>
            </w:r>
          </w:p>
        </w:tc>
        <w:tc>
          <w:tcPr>
            <w:tcW w:type="dxa" w:w="3800"/>
            <w:tcMar>
              <w:top w:type="dxa" w:w="70"/>
              <w:left w:type="dxa" w:w="110"/>
              <w:bottom w:type="dxa" w:w="70"/>
              <w:right w:type="dxa" w:w="110"/>
            </w:tcMar>
            <w:vAlign w:val="center"/>
          </w:tcPr>
          <w:p>
            <w:pPr>
              <w:spacing w:after="0" w:line="250"/>
            </w:pPr>
            <w:r>
              <w:rPr>
                <w:b w:val="false"/>
                <w:bCs w:val="false"/>
                <w:sz w:val="19"/>
                <w:szCs w:val="19"/>
              </w:rPr>
              <w:t xml:space="preserve">Does removing cited lesions change the grade?</w:t>
            </w:r>
          </w:p>
        </w:tc>
        <w:tc>
          <w:tcPr>
            <w:tcW w:type="dxa" w:w="4526"/>
            <w:tcMar>
              <w:top w:type="dxa" w:w="70"/>
              <w:left w:type="dxa" w:w="110"/>
              <w:bottom w:type="dxa" w:w="70"/>
              <w:right w:type="dxa" w:w="110"/>
            </w:tcMar>
            <w:vAlign w:val="center"/>
          </w:tcPr>
          <w:p>
            <w:pPr>
              <w:spacing w:after="0" w:line="250"/>
            </w:pPr>
            <w:r>
              <w:rPr>
                <w:b w:val="false"/>
                <w:bCs w:val="false"/>
                <w:sz w:val="19"/>
                <w:szCs w:val="19"/>
              </w:rPr>
              <w:t xml:space="preserve">Δgrade distribution after inpainting predicted lesion regions</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E2</w:t>
            </w:r>
          </w:p>
        </w:tc>
        <w:tc>
          <w:tcPr>
            <w:tcW w:type="dxa" w:w="38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Is that shift lesion-specific?</w:t>
            </w:r>
          </w:p>
        </w:tc>
        <w:tc>
          <w:tcPr>
            <w:tcW w:type="dxa" w:w="45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Δ(lesion) versus Δ(random regions of equal area)</w:t>
            </w:r>
          </w:p>
        </w:tc>
      </w:tr>
      <w:tr>
        <w:tc>
          <w:tcPr>
            <w:tcW w:type="dxa" w:w="700"/>
            <w:tcMar>
              <w:top w:type="dxa" w:w="70"/>
              <w:left w:type="dxa" w:w="110"/>
              <w:bottom w:type="dxa" w:w="70"/>
              <w:right w:type="dxa" w:w="110"/>
            </w:tcMar>
            <w:vAlign w:val="center"/>
          </w:tcPr>
          <w:p>
            <w:pPr>
              <w:spacing w:after="0" w:line="250"/>
            </w:pPr>
            <w:r>
              <w:rPr>
                <w:b/>
                <w:bCs/>
                <w:sz w:val="19"/>
                <w:szCs w:val="19"/>
              </w:rPr>
              <w:t xml:space="preserve">E3</w:t>
            </w:r>
          </w:p>
        </w:tc>
        <w:tc>
          <w:tcPr>
            <w:tcW w:type="dxa" w:w="3800"/>
            <w:tcMar>
              <w:top w:type="dxa" w:w="70"/>
              <w:left w:type="dxa" w:w="110"/>
              <w:bottom w:type="dxa" w:w="70"/>
              <w:right w:type="dxa" w:w="110"/>
            </w:tcMar>
            <w:vAlign w:val="center"/>
          </w:tcPr>
          <w:p>
            <w:pPr>
              <w:spacing w:after="0" w:line="250"/>
            </w:pPr>
            <w:r>
              <w:rPr>
                <w:b w:val="false"/>
                <w:bCs w:val="false"/>
                <w:sz w:val="19"/>
                <w:szCs w:val="19"/>
              </w:rPr>
              <w:t xml:space="preserve">Does faithfulness hold at every severity?</w:t>
            </w:r>
          </w:p>
        </w:tc>
        <w:tc>
          <w:tcPr>
            <w:tcW w:type="dxa" w:w="4526"/>
            <w:tcMar>
              <w:top w:type="dxa" w:w="70"/>
              <w:left w:type="dxa" w:w="110"/>
              <w:bottom w:type="dxa" w:w="70"/>
              <w:right w:type="dxa" w:w="110"/>
            </w:tcMar>
            <w:vAlign w:val="center"/>
          </w:tcPr>
          <w:p>
            <w:pPr>
              <w:spacing w:after="0" w:line="250"/>
            </w:pPr>
            <w:r>
              <w:rPr>
                <w:b w:val="false"/>
                <w:bCs w:val="false"/>
                <w:sz w:val="19"/>
                <w:szCs w:val="19"/>
              </w:rPr>
              <w:t xml:space="preserve">Δgrade stratified by true grade — grade 1 is the hard case</w:t>
            </w:r>
          </w:p>
        </w:tc>
      </w:tr>
    </w:tbl>
    <w:p>
      <w:pPr>
        <w:spacing w:after="140"/>
      </w:pPr>
    </w:p>
    <w:tbl>
      <w:tblPr>
        <w:tblW w:type="dxa" w:w="9026"/>
        <w:tblBorders>
          <w:top w:val="single" w:color="B91C1C" w:sz="2"/>
          <w:left w:val="single" w:color="B91C1C" w:sz="18"/>
          <w:bottom w:val="single" w:color="B91C1C" w:sz="2"/>
          <w:right w:val="single" w:color="B91C1C" w:sz="2"/>
          <w:insideH w:val="none"/>
          <w:insideV w:val="none"/>
        </w:tblBorders>
      </w:tblPr>
      <w:tblGrid>
        <w:gridCol w:w="9026"/>
      </w:tblGrid>
      <w:tr>
        <w:tc>
          <w:tcPr>
            <w:tcW w:type="dxa" w:w="9026"/>
            <w:shd w:fill="FDECEC" w:color="auto" w:val="clear"/>
            <w:tcMar>
              <w:top w:type="dxa" w:w="140"/>
              <w:left w:type="dxa" w:w="200"/>
              <w:bottom w:type="dxa" w:w="140"/>
              <w:right w:type="dxa" w:w="200"/>
            </w:tcMar>
          </w:tcPr>
          <w:p>
            <w:pPr>
              <w:spacing w:after="60"/>
            </w:pPr>
            <w:r>
              <w:rPr>
                <w:b/>
                <w:bCs/>
                <w:color w:val="B91C1C"/>
                <w:sz w:val="21"/>
                <w:szCs w:val="21"/>
              </w:rPr>
              <w:t xml:space="preserve">E2 is mandatory</w:t>
            </w:r>
          </w:p>
          <w:p>
            <w:pPr>
              <w:spacing w:after="40" w:line="276"/>
            </w:pPr>
            <w:r>
              <w:rPr>
                <w:sz w:val="21"/>
                <w:szCs w:val="21"/>
              </w:rPr>
              <w:t xml:space="preserve">Without the random-region control, E1 measures that the model reacts to inpainting — not that it uses the lesions. This control is the difference between a faithfulness test and a demonstration of nothing. Every reviewer will ask for it.</w:t>
            </w:r>
          </w:p>
        </w:tc>
      </w:tr>
    </w:tbl>
    <w:p>
      <w:pPr>
        <w:spacing w:after="200"/>
      </w:pPr>
    </w:p>
    <w:p>
      <w:pPr>
        <w:pStyle w:val="Heading2"/>
        <w:spacing w:after="140" w:before="260"/>
      </w:pPr>
      <w:r>
        <w:rPr>
          <w:b/>
          <w:bCs/>
          <w:color w:val="1F4E79"/>
          <w:sz w:val="24"/>
          <w:szCs w:val="24"/>
        </w:rPr>
        <w:t xml:space="preserve">Stage F — Selective triage (H1, the headline)</w:t>
      </w:r>
    </w:p>
    <w:tbl>
      <w:tblPr>
        <w:tblW w:type="dxa" w:w="9026"/>
        <w:tblBorders>
          <w:top w:val="single" w:color="1F4E79" w:sz="4"/>
          <w:left w:val="none"/>
          <w:bottom w:val="single" w:color="1F4E79" w:sz="4"/>
          <w:right w:val="none"/>
          <w:insideH w:val="single" w:color="BFCDDC" w:sz="1"/>
          <w:insideV w:val="none"/>
        </w:tblBorders>
      </w:tblPr>
      <w:tblGrid>
        <w:gridCol w:w="700"/>
        <w:gridCol w:w="3600"/>
        <w:gridCol w:w="47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ID</w:t>
            </w:r>
          </w:p>
        </w:tc>
        <w:tc>
          <w:tcPr>
            <w:tcW w:type="dxa" w:w="3600"/>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c>
          <w:tcPr>
            <w:tcW w:type="dxa" w:w="4726"/>
            <w:shd w:fill="DCE6F1" w:color="auto" w:val="clear"/>
            <w:tcMar>
              <w:top w:type="dxa" w:w="70"/>
              <w:left w:type="dxa" w:w="110"/>
              <w:bottom w:type="dxa" w:w="70"/>
              <w:right w:type="dxa" w:w="110"/>
            </w:tcMar>
            <w:vAlign w:val="center"/>
          </w:tcPr>
          <w:p>
            <w:pPr>
              <w:spacing w:after="0" w:line="250"/>
            </w:pPr>
            <w:r>
              <w:rPr>
                <w:b/>
                <w:bCs/>
                <w:sz w:val="19"/>
                <w:szCs w:val="19"/>
              </w:rPr>
              <w:t xml:space="preserve">Decided by</w:t>
            </w:r>
          </w:p>
        </w:tc>
      </w:tr>
      <w:tr>
        <w:tc>
          <w:tcPr>
            <w:tcW w:type="dxa" w:w="700"/>
            <w:tcMar>
              <w:top w:type="dxa" w:w="70"/>
              <w:left w:type="dxa" w:w="110"/>
              <w:bottom w:type="dxa" w:w="70"/>
              <w:right w:type="dxa" w:w="110"/>
            </w:tcMar>
            <w:vAlign w:val="center"/>
          </w:tcPr>
          <w:p>
            <w:pPr>
              <w:spacing w:after="0" w:line="250"/>
            </w:pPr>
            <w:r>
              <w:rPr>
                <w:b/>
                <w:bCs/>
                <w:sz w:val="19"/>
                <w:szCs w:val="19"/>
              </w:rPr>
              <w:t xml:space="preserve">F1</w:t>
            </w:r>
          </w:p>
        </w:tc>
        <w:tc>
          <w:tcPr>
            <w:tcW w:type="dxa" w:w="3600"/>
            <w:tcMar>
              <w:top w:type="dxa" w:w="70"/>
              <w:left w:type="dxa" w:w="110"/>
              <w:bottom w:type="dxa" w:w="70"/>
              <w:right w:type="dxa" w:w="110"/>
            </w:tcMar>
            <w:vAlign w:val="center"/>
          </w:tcPr>
          <w:p>
            <w:pPr>
              <w:spacing w:after="0" w:line="250"/>
            </w:pPr>
            <w:r>
              <w:rPr>
                <w:b w:val="false"/>
                <w:bCs w:val="false"/>
                <w:sz w:val="19"/>
                <w:szCs w:val="19"/>
              </w:rPr>
              <w:t xml:space="preserve">Best gating signal, internally?</w:t>
            </w:r>
          </w:p>
        </w:tc>
        <w:tc>
          <w:tcPr>
            <w:tcW w:type="dxa" w:w="4726"/>
            <w:tcMar>
              <w:top w:type="dxa" w:w="70"/>
              <w:left w:type="dxa" w:w="110"/>
              <w:bottom w:type="dxa" w:w="70"/>
              <w:right w:type="dxa" w:w="110"/>
            </w:tcMar>
            <w:vAlign w:val="center"/>
          </w:tcPr>
          <w:p>
            <w:pPr>
              <w:spacing w:after="0" w:line="250"/>
            </w:pPr>
            <w:r>
              <w:rPr>
                <w:b w:val="false"/>
                <w:bCs w:val="false"/>
                <w:sz w:val="19"/>
                <w:szCs w:val="19"/>
              </w:rPr>
              <w:t xml:space="preserve">Coverage–accuracy AUC; accuracy at 80% and 90% coverage, across five arms</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F2</w:t>
            </w:r>
          </w:p>
        </w:tc>
        <w:tc>
          <w:tcPr>
            <w:tcW w:type="dxa" w:w="36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Does the ranking survive dataset shift?</w:t>
            </w:r>
          </w:p>
        </w:tc>
        <w:tc>
          <w:tcPr>
            <w:tcW w:type="dxa" w:w="47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Same metrics on APTOS and Messidor-2</w:t>
            </w:r>
          </w:p>
        </w:tc>
      </w:tr>
      <w:tr>
        <w:tc>
          <w:tcPr>
            <w:tcW w:type="dxa" w:w="700"/>
            <w:tcMar>
              <w:top w:type="dxa" w:w="70"/>
              <w:left w:type="dxa" w:w="110"/>
              <w:bottom w:type="dxa" w:w="70"/>
              <w:right w:type="dxa" w:w="110"/>
            </w:tcMar>
            <w:vAlign w:val="center"/>
          </w:tcPr>
          <w:p>
            <w:pPr>
              <w:spacing w:after="0" w:line="250"/>
            </w:pPr>
            <w:r>
              <w:rPr>
                <w:b/>
                <w:bCs/>
                <w:sz w:val="19"/>
                <w:szCs w:val="19"/>
              </w:rPr>
              <w:t xml:space="preserve">F3</w:t>
            </w:r>
          </w:p>
        </w:tc>
        <w:tc>
          <w:tcPr>
            <w:tcW w:type="dxa" w:w="3600"/>
            <w:tcMar>
              <w:top w:type="dxa" w:w="70"/>
              <w:left w:type="dxa" w:w="110"/>
              <w:bottom w:type="dxa" w:w="70"/>
              <w:right w:type="dxa" w:w="110"/>
            </w:tcMar>
            <w:vAlign w:val="center"/>
          </w:tcPr>
          <w:p>
            <w:pPr>
              <w:spacing w:after="0" w:line="250"/>
            </w:pPr>
            <w:r>
              <w:rPr>
                <w:b w:val="false"/>
                <w:bCs w:val="false"/>
                <w:sz w:val="19"/>
                <w:szCs w:val="19"/>
              </w:rPr>
              <w:t xml:space="preserve">What does it mean clinically?</w:t>
            </w:r>
          </w:p>
        </w:tc>
        <w:tc>
          <w:tcPr>
            <w:tcW w:type="dxa" w:w="4726"/>
            <w:tcMar>
              <w:top w:type="dxa" w:w="70"/>
              <w:left w:type="dxa" w:w="110"/>
              <w:bottom w:type="dxa" w:w="70"/>
              <w:right w:type="dxa" w:w="110"/>
            </w:tcMar>
            <w:vAlign w:val="center"/>
          </w:tcPr>
          <w:p>
            <w:pPr>
              <w:spacing w:after="0" w:line="250"/>
            </w:pPr>
            <w:r>
              <w:rPr>
                <w:b w:val="false"/>
                <w:bCs w:val="false"/>
                <w:sz w:val="19"/>
                <w:szCs w:val="19"/>
              </w:rPr>
              <w:t xml:space="preserve">rDR sensitivity and specificity at fixed coverage</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F4</w:t>
            </w:r>
          </w:p>
        </w:tc>
        <w:tc>
          <w:tcPr>
            <w:tcW w:type="dxa" w:w="36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Which form of the signal works?</w:t>
            </w:r>
          </w:p>
        </w:tc>
        <w:tc>
          <w:tcPr>
            <w:tcW w:type="dxa" w:w="47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Binary / magnitude / magnitude plus unobservable set</w:t>
            </w:r>
          </w:p>
        </w:tc>
      </w:tr>
      <w:tr>
        <w:tc>
          <w:tcPr>
            <w:tcW w:type="dxa" w:w="700"/>
            <w:tcMar>
              <w:top w:type="dxa" w:w="70"/>
              <w:left w:type="dxa" w:w="110"/>
              <w:bottom w:type="dxa" w:w="70"/>
              <w:right w:type="dxa" w:w="110"/>
            </w:tcMar>
            <w:vAlign w:val="center"/>
          </w:tcPr>
          <w:p>
            <w:pPr>
              <w:spacing w:after="0" w:line="250"/>
            </w:pPr>
            <w:r>
              <w:rPr>
                <w:b/>
                <w:bCs/>
                <w:sz w:val="19"/>
                <w:szCs w:val="19"/>
              </w:rPr>
              <w:t xml:space="preserve">F5</w:t>
            </w:r>
          </w:p>
        </w:tc>
        <w:tc>
          <w:tcPr>
            <w:tcW w:type="dxa" w:w="3600"/>
            <w:tcMar>
              <w:top w:type="dxa" w:w="70"/>
              <w:left w:type="dxa" w:w="110"/>
              <w:bottom w:type="dxa" w:w="70"/>
              <w:right w:type="dxa" w:w="110"/>
            </w:tcMar>
            <w:vAlign w:val="center"/>
          </w:tcPr>
          <w:p>
            <w:pPr>
              <w:spacing w:after="0" w:line="250"/>
            </w:pPr>
            <w:r>
              <w:rPr>
                <w:b w:val="false"/>
                <w:bCs w:val="false"/>
                <w:sz w:val="19"/>
                <w:szCs w:val="19"/>
              </w:rPr>
              <w:t xml:space="preserve">Where do cases actually land?</w:t>
            </w:r>
          </w:p>
        </w:tc>
        <w:tc>
          <w:tcPr>
            <w:tcW w:type="dxa" w:w="4726"/>
            <w:tcMar>
              <w:top w:type="dxa" w:w="70"/>
              <w:left w:type="dxa" w:w="110"/>
              <w:bottom w:type="dxa" w:w="70"/>
              <w:right w:type="dxa" w:w="110"/>
            </w:tcMar>
            <w:vAlign w:val="center"/>
          </w:tcPr>
          <w:p>
            <w:pPr>
              <w:spacing w:after="0" w:line="250"/>
            </w:pPr>
            <w:r>
              <w:rPr>
                <w:b w:val="false"/>
                <w:bCs w:val="false"/>
                <w:sz w:val="19"/>
                <w:szCs w:val="19"/>
              </w:rPr>
              <w:t xml:space="preserve">Fraction and accuracy per action bucket</w:t>
            </w:r>
          </w:p>
        </w:tc>
      </w:tr>
    </w:tbl>
    <w:p>
      <w:pPr>
        <w:spacing w:after="140"/>
      </w:pPr>
    </w:p>
    <w:p>
      <w:pPr>
        <w:spacing w:after="120" w:before="0" w:line="276"/>
      </w:pPr>
      <w:r>
        <w:rPr>
          <w:i/>
          <w:iCs/>
          <w:sz w:val="21"/>
          <w:szCs w:val="21"/>
        </w:rPr>
        <w:t xml:space="preserve">The five arms are: no gate, confidence only, OOD-z only, disagreement only, and combined. Confidence-only is the Leibig-style baseline this project exists to test against.</w:t>
      </w:r>
    </w:p>
    <w:p>
      <w:pPr>
        <w:spacing w:after="100"/>
      </w:pP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EAF3FB" w:color="auto" w:val="clear"/>
            <w:tcMar>
              <w:top w:type="dxa" w:w="140"/>
              <w:left w:type="dxa" w:w="200"/>
              <w:bottom w:type="dxa" w:w="140"/>
              <w:right w:type="dxa" w:w="200"/>
            </w:tcMar>
          </w:tcPr>
          <w:p>
            <w:pPr>
              <w:spacing w:after="60"/>
            </w:pPr>
            <w:r>
              <w:rPr>
                <w:b/>
                <w:bCs/>
                <w:color w:val="1F4E79"/>
                <w:sz w:val="21"/>
                <w:szCs w:val="21"/>
              </w:rPr>
              <w:t xml:space="preserve">F2 is the thesis</w:t>
            </w:r>
          </w:p>
          <w:p>
            <w:pPr>
              <w:spacing w:after="40" w:line="276"/>
            </w:pPr>
            <w:r>
              <w:rPr>
                <w:sz w:val="21"/>
                <w:szCs w:val="21"/>
              </w:rPr>
              <w:t xml:space="preserve">A signal that only wins in-domain is a curiosity. One that holds up under dataset shift is a contribution.</w:t>
            </w:r>
          </w:p>
        </w:tc>
      </w:tr>
    </w:tbl>
    <w:p>
      <w:pPr>
        <w:spacing w:after="200"/>
      </w:pPr>
    </w:p>
    <w:p>
      <w:pPr>
        <w:pStyle w:val="Heading2"/>
        <w:spacing w:after="140" w:before="260"/>
      </w:pPr>
      <w:r>
        <w:rPr>
          <w:b/>
          <w:bCs/>
          <w:color w:val="1F4E79"/>
          <w:sz w:val="24"/>
          <w:szCs w:val="24"/>
        </w:rPr>
        <w:t xml:space="preserve">Stages G and H — Error analysis and benchmark</w:t>
      </w:r>
    </w:p>
    <w:tbl>
      <w:tblPr>
        <w:tblW w:type="dxa" w:w="9026"/>
        <w:tblBorders>
          <w:top w:val="single" w:color="1F4E79" w:sz="4"/>
          <w:left w:val="none"/>
          <w:bottom w:val="single" w:color="1F4E79" w:sz="4"/>
          <w:right w:val="none"/>
          <w:insideH w:val="single" w:color="BFCDDC" w:sz="1"/>
          <w:insideV w:val="none"/>
        </w:tblBorders>
      </w:tblPr>
      <w:tblGrid>
        <w:gridCol w:w="700"/>
        <w:gridCol w:w="8326"/>
      </w:tblGrid>
      <w:tr>
        <w:trPr>
          <w:tblHeader/>
        </w:trPr>
        <w:tc>
          <w:tcPr>
            <w:tcW w:type="dxa" w:w="700"/>
            <w:shd w:fill="DCE6F1" w:color="auto" w:val="clear"/>
            <w:tcMar>
              <w:top w:type="dxa" w:w="70"/>
              <w:left w:type="dxa" w:w="110"/>
              <w:bottom w:type="dxa" w:w="70"/>
              <w:right w:type="dxa" w:w="110"/>
            </w:tcMar>
            <w:vAlign w:val="center"/>
          </w:tcPr>
          <w:p>
            <w:pPr>
              <w:spacing w:after="0" w:line="250"/>
            </w:pPr>
            <w:r>
              <w:rPr>
                <w:b/>
                <w:bCs/>
                <w:sz w:val="19"/>
                <w:szCs w:val="19"/>
              </w:rPr>
              <w:t xml:space="preserve">ID</w:t>
            </w:r>
          </w:p>
        </w:tc>
        <w:tc>
          <w:tcPr>
            <w:tcW w:type="dxa" w:w="8326"/>
            <w:shd w:fill="DCE6F1" w:color="auto" w:val="clear"/>
            <w:tcMar>
              <w:top w:type="dxa" w:w="70"/>
              <w:left w:type="dxa" w:w="110"/>
              <w:bottom w:type="dxa" w:w="70"/>
              <w:right w:type="dxa" w:w="110"/>
            </w:tcMar>
            <w:vAlign w:val="center"/>
          </w:tcPr>
          <w:p>
            <w:pPr>
              <w:spacing w:after="0" w:line="250"/>
            </w:pPr>
            <w:r>
              <w:rPr>
                <w:b/>
                <w:bCs/>
                <w:sz w:val="19"/>
                <w:szCs w:val="19"/>
              </w:rPr>
              <w:t xml:space="preserve">Question</w:t>
            </w:r>
          </w:p>
        </w:tc>
      </w:tr>
      <w:tr>
        <w:tc>
          <w:tcPr>
            <w:tcW w:type="dxa" w:w="700"/>
            <w:tcMar>
              <w:top w:type="dxa" w:w="70"/>
              <w:left w:type="dxa" w:w="110"/>
              <w:bottom w:type="dxa" w:w="70"/>
              <w:right w:type="dxa" w:w="110"/>
            </w:tcMar>
            <w:vAlign w:val="center"/>
          </w:tcPr>
          <w:p>
            <w:pPr>
              <w:spacing w:after="0" w:line="250"/>
            </w:pPr>
            <w:r>
              <w:rPr>
                <w:b/>
                <w:bCs/>
                <w:sz w:val="19"/>
                <w:szCs w:val="19"/>
              </w:rPr>
              <w:t xml:space="preserve">G1</w:t>
            </w:r>
          </w:p>
        </w:tc>
        <w:tc>
          <w:tcPr>
            <w:tcW w:type="dxa" w:w="8326"/>
            <w:tcMar>
              <w:top w:type="dxa" w:w="70"/>
              <w:left w:type="dxa" w:w="110"/>
              <w:bottom w:type="dxa" w:w="70"/>
              <w:right w:type="dxa" w:w="110"/>
            </w:tcMar>
            <w:vAlign w:val="center"/>
          </w:tcPr>
          <w:p>
            <w:pPr>
              <w:spacing w:after="0" w:line="250"/>
            </w:pPr>
            <w:r>
              <w:rPr>
                <w:b w:val="false"/>
                <w:bCs w:val="false"/>
                <w:sz w:val="19"/>
                <w:szCs w:val="19"/>
              </w:rPr>
              <w:t xml:space="preserve">Which errors does disagreement catch that confidence misses, and vice versa? Set overlap plus real examples — this produces figure 1</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G2</w:t>
            </w:r>
          </w:p>
        </w:tc>
        <w:tc>
          <w:tcPr>
            <w:tcW w:type="dxa" w:w="83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Does the quality head flag genuinely ungradable images? Held-out DDR grade-5 as ground truth</w:t>
            </w:r>
          </w:p>
        </w:tc>
      </w:tr>
      <w:tr>
        <w:tc>
          <w:tcPr>
            <w:tcW w:type="dxa" w:w="700"/>
            <w:tcMar>
              <w:top w:type="dxa" w:w="70"/>
              <w:left w:type="dxa" w:w="110"/>
              <w:bottom w:type="dxa" w:w="70"/>
              <w:right w:type="dxa" w:w="110"/>
            </w:tcMar>
            <w:vAlign w:val="center"/>
          </w:tcPr>
          <w:p>
            <w:pPr>
              <w:spacing w:after="0" w:line="250"/>
            </w:pPr>
            <w:r>
              <w:rPr>
                <w:b/>
                <w:bCs/>
                <w:sz w:val="19"/>
                <w:szCs w:val="19"/>
              </w:rPr>
              <w:t xml:space="preserve">G3</w:t>
            </w:r>
          </w:p>
        </w:tc>
        <w:tc>
          <w:tcPr>
            <w:tcW w:type="dxa" w:w="8326"/>
            <w:tcMar>
              <w:top w:type="dxa" w:w="70"/>
              <w:left w:type="dxa" w:w="110"/>
              <w:bottom w:type="dxa" w:w="70"/>
              <w:right w:type="dxa" w:w="110"/>
            </w:tcMar>
            <w:vAlign w:val="center"/>
          </w:tcPr>
          <w:p>
            <w:pPr>
              <w:spacing w:after="0" w:line="250"/>
            </w:pPr>
            <w:r>
              <w:rPr>
                <w:b w:val="false"/>
                <w:bCs w:val="false"/>
                <w:sz w:val="19"/>
                <w:szCs w:val="19"/>
              </w:rPr>
              <w:t xml:space="preserve">Failure taxonomy: where does the reasoner contradict a correct grade?</w:t>
            </w:r>
          </w:p>
        </w:tc>
      </w:tr>
      <w:tr>
        <w:tc>
          <w:tcPr>
            <w:tcW w:type="dxa" w:w="700"/>
            <w:shd w:fill="F2F6FA" w:color="auto" w:val="clear"/>
            <w:tcMar>
              <w:top w:type="dxa" w:w="70"/>
              <w:left w:type="dxa" w:w="110"/>
              <w:bottom w:type="dxa" w:w="70"/>
              <w:right w:type="dxa" w:w="110"/>
            </w:tcMar>
            <w:vAlign w:val="center"/>
          </w:tcPr>
          <w:p>
            <w:pPr>
              <w:spacing w:after="0" w:line="250"/>
            </w:pPr>
            <w:r>
              <w:rPr>
                <w:b/>
                <w:bCs/>
                <w:sz w:val="19"/>
                <w:szCs w:val="19"/>
              </w:rPr>
              <w:t xml:space="preserve">H1</w:t>
            </w:r>
          </w:p>
        </w:tc>
        <w:tc>
          <w:tcPr>
            <w:tcW w:type="dxa" w:w="83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QWK on the official EyePACS test split, reported beside the 0.8496 leaderboard reference — the one directly comparable number</w:t>
            </w:r>
          </w:p>
        </w:tc>
      </w:tr>
    </w:tbl>
    <w:p>
      <w:r>
        <w:br w:type="page"/>
      </w:r>
    </w:p>
    <w:p>
      <w:pPr>
        <w:pStyle w:val="Heading1"/>
        <w:spacing w:after="140" w:before="360"/>
      </w:pPr>
      <w:r>
        <w:rPr>
          <w:b/>
          <w:bCs/>
          <w:color w:val="1F4E79"/>
          <w:sz w:val="30"/>
          <w:szCs w:val="30"/>
        </w:rPr>
        <w:t xml:space="preserve">7. What the final output looks like</w:t>
      </w:r>
    </w:p>
    <w:p>
      <w:pPr>
        <w:pStyle w:val="Heading2"/>
        <w:spacing w:after="140" w:before="260"/>
      </w:pPr>
      <w:r>
        <w:rPr>
          <w:b/>
          <w:bCs/>
          <w:color w:val="1F4E79"/>
          <w:sz w:val="24"/>
          <w:szCs w:val="24"/>
        </w:rPr>
        <w:t xml:space="preserve">7.1 Per image, at inference</w:t>
      </w:r>
    </w:p>
    <w:p>
      <w:pPr>
        <w:spacing w:after="120" w:before="0" w:line="276"/>
      </w:pPr>
      <w:r>
        <w:rPr>
          <w:sz w:val="21"/>
          <w:szCs w:val="21"/>
        </w:rPr>
        <w:t xml:space="preserve">Every image produces a structured decision record, not just a grade:</w:t>
      </w:r>
    </w:p>
    <w:p>
      <w:pPr>
        <w:spacing w:after="40" w:line="240"/>
        <w:ind w:left="280"/>
      </w:pPr>
      <w:r>
        <w:rPr>
          <w:rFonts w:ascii="Consolas" w:cs="Consolas" w:eastAsia="Consolas" w:hAnsi="Consolas"/>
          <w:sz w:val="17"/>
          <w:szCs w:val="17"/>
        </w:rPr>
        <w:t xml:space="preserve">{</w:t>
      </w:r>
    </w:p>
    <w:p>
      <w:pPr>
        <w:spacing w:after="40" w:line="240"/>
        <w:ind w:left="280"/>
      </w:pPr>
      <w:r>
        <w:rPr>
          <w:rFonts w:ascii="Consolas" w:cs="Consolas" w:eastAsia="Consolas" w:hAnsi="Consolas"/>
          <w:sz w:val="17"/>
          <w:szCs w:val="17"/>
        </w:rPr>
        <w:t xml:space="preserve">  "image_id": "16_left.jpeg",  "patient_id": "EyePACS::16",</w:t>
      </w:r>
    </w:p>
    <w:p>
      <w:pPr>
        <w:spacing w:after="40" w:line="240"/>
        <w:ind w:left="280"/>
      </w:pPr>
      <w:r>
        <w:rPr>
          <w:rFonts w:ascii="Consolas" w:cs="Consolas" w:eastAsia="Consolas" w:hAnsi="Consolas"/>
          <w:sz w:val="17"/>
          <w:szCs w:val="17"/>
        </w:rPr>
        <w:t xml:space="preserve">  "quality":       { "score": 0.87, "gradable": true },</w:t>
      </w:r>
    </w:p>
    <w:p>
      <w:pPr>
        <w:spacing w:after="40" w:line="240"/>
        <w:ind w:left="280"/>
      </w:pPr>
      <w:r>
        <w:rPr>
          <w:rFonts w:ascii="Consolas" w:cs="Consolas" w:eastAsia="Consolas" w:hAnsi="Consolas"/>
          <w:sz w:val="17"/>
          <w:szCs w:val="17"/>
        </w:rPr>
        <w:t xml:space="preserve">  "grade_pathway": { "predicted_grade": 2,</w:t>
      </w:r>
    </w:p>
    <w:p>
      <w:pPr>
        <w:spacing w:after="40" w:line="240"/>
        <w:ind w:left="280"/>
      </w:pPr>
      <w:r>
        <w:rPr>
          <w:rFonts w:ascii="Consolas" w:cs="Consolas" w:eastAsia="Consolas" w:hAnsi="Consolas"/>
          <w:sz w:val="17"/>
          <w:szCs w:val="17"/>
        </w:rPr>
        <w:t xml:space="preserve">                     "probabilities": [0.03, 0.11, 0.68, 0.15, 0.03],</w:t>
      </w:r>
    </w:p>
    <w:p>
      <w:pPr>
        <w:spacing w:after="40" w:line="240"/>
        <w:ind w:left="280"/>
      </w:pPr>
      <w:r>
        <w:rPr>
          <w:rFonts w:ascii="Consolas" w:cs="Consolas" w:eastAsia="Consolas" w:hAnsi="Consolas"/>
          <w:sz w:val="17"/>
          <w:szCs w:val="17"/>
        </w:rPr>
        <w:t xml:space="preserve">                     "rDR_score": 0.86, "VTDR_score": 0.18 },</w:t>
      </w:r>
    </w:p>
    <w:p>
      <w:pPr>
        <w:spacing w:after="40" w:line="240"/>
        <w:ind w:left="280"/>
      </w:pPr>
      <w:r>
        <w:rPr>
          <w:rFonts w:ascii="Consolas" w:cs="Consolas" w:eastAsia="Consolas" w:hAnsi="Consolas"/>
          <w:sz w:val="17"/>
          <w:szCs w:val="17"/>
        </w:rPr>
        <w:t xml:space="preserve">  "evidence_pathway": {</w:t>
      </w:r>
    </w:p>
    <w:p>
      <w:pPr>
        <w:spacing w:after="40" w:line="240"/>
        <w:ind w:left="280"/>
      </w:pPr>
      <w:r>
        <w:rPr>
          <w:rFonts w:ascii="Consolas" w:cs="Consolas" w:eastAsia="Consolas" w:hAnsi="Consolas"/>
          <w:sz w:val="17"/>
          <w:szCs w:val="17"/>
        </w:rPr>
        <w:t xml:space="preserve">      "lesion_counts": { "microaneurysm": 14, "haemorrhage": 9,</w:t>
      </w:r>
    </w:p>
    <w:p>
      <w:pPr>
        <w:spacing w:after="40" w:line="240"/>
        <w:ind w:left="280"/>
      </w:pPr>
      <w:r>
        <w:rPr>
          <w:rFonts w:ascii="Consolas" w:cs="Consolas" w:eastAsia="Consolas" w:hAnsi="Consolas"/>
          <w:sz w:val="17"/>
          <w:szCs w:val="17"/>
        </w:rPr>
        <w:t xml:space="preserve">                         "hard_exudate": 3, "soft_exudate": 0 },</w:t>
      </w:r>
    </w:p>
    <w:p>
      <w:pPr>
        <w:spacing w:after="40" w:line="240"/>
        <w:ind w:left="280"/>
      </w:pPr>
      <w:r>
        <w:rPr>
          <w:rFonts w:ascii="Consolas" w:cs="Consolas" w:eastAsia="Consolas" w:hAnsi="Consolas"/>
          <w:sz w:val="17"/>
          <w:szCs w:val="17"/>
        </w:rPr>
        <w:t xml:space="preserve">      "haemorrhages_by_quadrant": { "sup": 4, "inf": 3, "nas": 2, "temp": 0 } },</w:t>
      </w:r>
    </w:p>
    <w:p>
      <w:pPr>
        <w:spacing w:after="40" w:line="240"/>
        <w:ind w:left="280"/>
      </w:pPr>
      <w:r>
        <w:rPr>
          <w:rFonts w:ascii="Consolas" w:cs="Consolas" w:eastAsia="Consolas" w:hAnsi="Consolas"/>
          <w:sz w:val="17"/>
          <w:szCs w:val="17"/>
        </w:rPr>
        <w:t xml:space="preserve">  "reasoner": {</w:t>
      </w:r>
    </w:p>
    <w:p>
      <w:pPr>
        <w:spacing w:after="40" w:line="240"/>
        <w:ind w:left="280"/>
      </w:pPr>
      <w:r>
        <w:rPr>
          <w:rFonts w:ascii="Consolas" w:cs="Consolas" w:eastAsia="Consolas" w:hAnsi="Consolas"/>
          <w:sz w:val="17"/>
          <w:szCs w:val="17"/>
        </w:rPr>
        <w:t xml:space="preserve">      "evidence_grade": 2,</w:t>
      </w:r>
    </w:p>
    <w:p>
      <w:pPr>
        <w:spacing w:after="40" w:line="240"/>
        <w:ind w:left="280"/>
      </w:pPr>
      <w:r>
        <w:rPr>
          <w:rFonts w:ascii="Consolas" w:cs="Consolas" w:eastAsia="Consolas" w:hAnsi="Consolas"/>
          <w:sz w:val="17"/>
          <w:szCs w:val="17"/>
        </w:rPr>
        <w:t xml:space="preserve">      "rules_fired": ["MA present -&gt; at least mild NPDR",</w:t>
      </w:r>
    </w:p>
    <w:p>
      <w:pPr>
        <w:spacing w:after="40" w:line="240"/>
        <w:ind w:left="280"/>
      </w:pPr>
      <w:r>
        <w:rPr>
          <w:rFonts w:ascii="Consolas" w:cs="Consolas" w:eastAsia="Consolas" w:hAnsi="Consolas"/>
          <w:sz w:val="17"/>
          <w:szCs w:val="17"/>
        </w:rPr>
        <w:t xml:space="preserve">                      "haemorrhages in 3 quadrants, none &gt;=20 -&gt; 4-2-1 NOT met",</w:t>
      </w:r>
    </w:p>
    <w:p>
      <w:pPr>
        <w:spacing w:after="40" w:line="240"/>
        <w:ind w:left="280"/>
      </w:pPr>
      <w:r>
        <w:rPr>
          <w:rFonts w:ascii="Consolas" w:cs="Consolas" w:eastAsia="Consolas" w:hAnsi="Consolas"/>
          <w:sz w:val="17"/>
          <w:szCs w:val="17"/>
        </w:rPr>
        <w:t xml:space="preserve">                      "neovascularisation not observable -&gt; PDR cannot be excluded"],</w:t>
      </w:r>
    </w:p>
    <w:p>
      <w:pPr>
        <w:spacing w:after="40" w:line="240"/>
        <w:ind w:left="280"/>
      </w:pPr>
      <w:r>
        <w:rPr>
          <w:rFonts w:ascii="Consolas" w:cs="Consolas" w:eastAsia="Consolas" w:hAnsi="Consolas"/>
          <w:sz w:val="17"/>
          <w:szCs w:val="17"/>
        </w:rPr>
        <w:t xml:space="preserve">      "unobservable": ["venous_beading", "IRMA", "neovascularisation"],</w:t>
      </w:r>
    </w:p>
    <w:p>
      <w:pPr>
        <w:spacing w:after="40" w:line="240"/>
        <w:ind w:left="280"/>
      </w:pPr>
      <w:r>
        <w:rPr>
          <w:rFonts w:ascii="Consolas" w:cs="Consolas" w:eastAsia="Consolas" w:hAnsi="Consolas"/>
          <w:sz w:val="17"/>
          <w:szCs w:val="17"/>
        </w:rPr>
        <w:t xml:space="preserve">      "max_excludable_grade": 3 },</w:t>
      </w:r>
    </w:p>
    <w:p>
      <w:pPr>
        <w:spacing w:after="40" w:line="240"/>
        <w:ind w:left="280"/>
      </w:pPr>
      <w:r>
        <w:rPr>
          <w:rFonts w:ascii="Consolas" w:cs="Consolas" w:eastAsia="Consolas" w:hAnsi="Consolas"/>
          <w:sz w:val="17"/>
          <w:szCs w:val="17"/>
        </w:rPr>
        <w:t xml:space="preserve">  "verification": { "counterfactual_delta": -2,</w:t>
      </w:r>
    </w:p>
    <w:p>
      <w:pPr>
        <w:spacing w:after="40" w:line="240"/>
        <w:ind w:left="280"/>
      </w:pPr>
      <w:r>
        <w:rPr>
          <w:rFonts w:ascii="Consolas" w:cs="Consolas" w:eastAsia="Consolas" w:hAnsi="Consolas"/>
          <w:sz w:val="17"/>
          <w:szCs w:val="17"/>
        </w:rPr>
        <w:t xml:space="preserve">                    "random_region_control_delta": -0.1, "faithful": true },</w:t>
      </w:r>
    </w:p>
    <w:p>
      <w:pPr>
        <w:spacing w:after="40" w:line="240"/>
        <w:ind w:left="280"/>
      </w:pPr>
      <w:r>
        <w:rPr>
          <w:rFonts w:ascii="Consolas" w:cs="Consolas" w:eastAsia="Consolas" w:hAnsi="Consolas"/>
          <w:sz w:val="17"/>
          <w:szCs w:val="17"/>
        </w:rPr>
        <w:t xml:space="preserve">  "agreement":   { "grade_vs_evidence_delta": 0, "disagreement_score": 0.09 },</w:t>
      </w:r>
    </w:p>
    <w:p>
      <w:pPr>
        <w:spacing w:after="40" w:line="240"/>
        <w:ind w:left="280"/>
      </w:pPr>
      <w:r>
        <w:rPr>
          <w:rFonts w:ascii="Consolas" w:cs="Consolas" w:eastAsia="Consolas" w:hAnsi="Consolas"/>
          <w:sz w:val="17"/>
          <w:szCs w:val="17"/>
        </w:rPr>
        <w:t xml:space="preserve">  "decision":    { "action": "ACCEPT", "final_grade": 2, "referable": true }</w:t>
      </w:r>
    </w:p>
    <w:p>
      <w:pPr>
        <w:spacing w:after="40" w:line="240"/>
        <w:ind w:left="280"/>
      </w:pPr>
      <w:r>
        <w:rPr>
          <w:rFonts w:ascii="Consolas" w:cs="Consolas" w:eastAsia="Consolas" w:hAnsi="Consolas"/>
          <w:sz w:val="17"/>
          <w:szCs w:val="17"/>
        </w:rPr>
        <w:t xml:space="preserve">}</w:t>
      </w:r>
    </w:p>
    <w:p>
      <w:pPr>
        <w:spacing w:after="200"/>
      </w:pPr>
    </w:p>
    <w:p>
      <w:pPr>
        <w:spacing w:after="120" w:before="0" w:line="276"/>
      </w:pPr>
      <w:r>
        <w:rPr>
          <w:b/>
          <w:bCs/>
          <w:sz w:val="21"/>
          <w:szCs w:val="21"/>
        </w:rPr>
        <w:t xml:space="preserve">The contrasting case is the one that sells the thesis:</w:t>
      </w:r>
    </w:p>
    <w:p>
      <w:pPr>
        <w:spacing w:after="40" w:line="240"/>
        <w:ind w:left="280"/>
      </w:pPr>
      <w:r>
        <w:rPr>
          <w:rFonts w:ascii="Consolas" w:cs="Consolas" w:eastAsia="Consolas" w:hAnsi="Consolas"/>
          <w:sz w:val="17"/>
          <w:szCs w:val="17"/>
        </w:rPr>
        <w:t xml:space="preserve">"grade_pathway": { "predicted_grade": 0, "probabilities": [0.91, ...] },</w:t>
      </w:r>
    </w:p>
    <w:p>
      <w:pPr>
        <w:spacing w:after="40" w:line="240"/>
        <w:ind w:left="280"/>
      </w:pPr>
      <w:r>
        <w:rPr>
          <w:rFonts w:ascii="Consolas" w:cs="Consolas" w:eastAsia="Consolas" w:hAnsi="Consolas"/>
          <w:sz w:val="17"/>
          <w:szCs w:val="17"/>
        </w:rPr>
        <w:t xml:space="preserve">"reasoner":      { "evidence_grade": 2, "rules_fired": ["MA in 2 quadrants"] },</w:t>
      </w:r>
    </w:p>
    <w:p>
      <w:pPr>
        <w:spacing w:after="40" w:line="240"/>
        <w:ind w:left="280"/>
      </w:pPr>
      <w:r>
        <w:rPr>
          <w:rFonts w:ascii="Consolas" w:cs="Consolas" w:eastAsia="Consolas" w:hAnsi="Consolas"/>
          <w:sz w:val="17"/>
          <w:szCs w:val="17"/>
        </w:rPr>
        <w:t xml:space="preserve">"agreement":     { "grade_vs_evidence_delta": 2, "disagreement_score": 0.83 },</w:t>
      </w:r>
    </w:p>
    <w:p>
      <w:pPr>
        <w:spacing w:after="40" w:line="240"/>
        <w:ind w:left="280"/>
      </w:pPr>
      <w:r>
        <w:rPr>
          <w:rFonts w:ascii="Consolas" w:cs="Consolas" w:eastAsia="Consolas" w:hAnsi="Consolas"/>
          <w:sz w:val="17"/>
          <w:szCs w:val="17"/>
        </w:rPr>
        <w:t xml:space="preserve">"decision":      { "action": "DEFER", "grade_set": [0, 1, 2],</w:t>
      </w:r>
    </w:p>
    <w:p>
      <w:pPr>
        <w:spacing w:after="40" w:line="240"/>
        <w:ind w:left="280"/>
      </w:pPr>
      <w:r>
        <w:rPr>
          <w:rFonts w:ascii="Consolas" w:cs="Consolas" w:eastAsia="Consolas" w:hAnsi="Consolas"/>
          <w:sz w:val="17"/>
          <w:szCs w:val="17"/>
        </w:rPr>
        <w:t xml:space="preserve">                   "reason": "Grader confident normal (p=0.91) but evidence</w:t>
      </w:r>
    </w:p>
    <w:p>
      <w:pPr>
        <w:spacing w:after="40" w:line="240"/>
        <w:ind w:left="280"/>
      </w:pPr>
      <w:r>
        <w:rPr>
          <w:rFonts w:ascii="Consolas" w:cs="Consolas" w:eastAsia="Consolas" w:hAnsi="Consolas"/>
          <w:sz w:val="17"/>
          <w:szCs w:val="17"/>
        </w:rPr>
        <w:t xml:space="preserve">                              path found MA and haemorrhages. Confidence</w:t>
      </w:r>
    </w:p>
    <w:p>
      <w:pPr>
        <w:spacing w:after="40" w:line="240"/>
        <w:ind w:left="280"/>
      </w:pPr>
      <w:r>
        <w:rPr>
          <w:rFonts w:ascii="Consolas" w:cs="Consolas" w:eastAsia="Consolas" w:hAnsi="Consolas"/>
          <w:sz w:val="17"/>
          <w:szCs w:val="17"/>
        </w:rPr>
        <w:t xml:space="preserve">                              gating would have ACCEPTED this case." }</w:t>
      </w:r>
    </w:p>
    <w:p>
      <w:pPr>
        <w:spacing w:after="180"/>
      </w:pPr>
    </w:p>
    <w:tbl>
      <w:tblPr>
        <w:tblW w:type="dxa" w:w="9026"/>
        <w:tblBorders>
          <w:top w:val="single" w:color="1F4E79" w:sz="2"/>
          <w:left w:val="single" w:color="1F4E79" w:sz="18"/>
          <w:bottom w:val="single" w:color="1F4E79" w:sz="2"/>
          <w:right w:val="single" w:color="1F4E79" w:sz="2"/>
          <w:insideH w:val="none"/>
          <w:insideV w:val="none"/>
        </w:tblBorders>
      </w:tblPr>
      <w:tblGrid>
        <w:gridCol w:w="9026"/>
      </w:tblGrid>
      <w:tr>
        <w:tc>
          <w:tcPr>
            <w:tcW w:type="dxa" w:w="9026"/>
            <w:shd w:fill="EAF3FB" w:color="auto" w:val="clear"/>
            <w:tcMar>
              <w:top w:type="dxa" w:w="140"/>
              <w:left w:type="dxa" w:w="200"/>
              <w:bottom w:type="dxa" w:w="140"/>
              <w:right w:type="dxa" w:w="200"/>
            </w:tcMar>
          </w:tcPr>
          <w:p>
            <w:pPr>
              <w:spacing w:after="60"/>
            </w:pPr>
            <w:r>
              <w:rPr>
                <w:b/>
                <w:bCs/>
                <w:color w:val="1F4E79"/>
                <w:sz w:val="21"/>
                <w:szCs w:val="21"/>
              </w:rPr>
              <w:t xml:space="preserve">Figure 1</w:t>
            </w:r>
          </w:p>
          <w:p>
            <w:pPr>
              <w:spacing w:after="40" w:line="276"/>
            </w:pPr>
            <w:r>
              <w:rPr>
                <w:sz w:val="21"/>
                <w:szCs w:val="21"/>
              </w:rPr>
              <w:t xml:space="preserve">That second record is a case confidence-based referral accepts and gets wrong, and that this system catches. Experiment G1 exists to find real examples of it in the test set. Go looking for them deliberately — it is the single most persuasive artefact the thesis can produce.</w:t>
            </w:r>
          </w:p>
        </w:tc>
      </w:tr>
    </w:tbl>
    <w:p>
      <w:pPr>
        <w:spacing w:after="200"/>
      </w:pPr>
    </w:p>
    <w:p>
      <w:pPr>
        <w:pStyle w:val="Heading2"/>
        <w:spacing w:after="140" w:before="260"/>
      </w:pPr>
      <w:r>
        <w:rPr>
          <w:b/>
          <w:bCs/>
          <w:color w:val="1F4E79"/>
          <w:sz w:val="24"/>
          <w:szCs w:val="24"/>
        </w:rPr>
        <w:t xml:space="preserve">7.2 Thesis-level outputs</w:t>
      </w:r>
    </w:p>
    <w:p>
      <w:pPr>
        <w:pStyle w:val="ListParagraph"/>
        <w:numPr>
          <w:ilvl w:val="0"/>
          <w:numId w:val="2"/>
        </w:numPr>
        <w:spacing w:after="80" w:line="276"/>
      </w:pPr>
      <w:r>
        <w:rPr>
          <w:sz w:val="21"/>
          <w:szCs w:val="21"/>
        </w:rPr>
        <w:t xml:space="preserve">Coverage–accuracy curves, five gating arms × three test sets — the headline figure</w:t>
      </w:r>
    </w:p>
    <w:p>
      <w:pPr>
        <w:pStyle w:val="ListParagraph"/>
        <w:numPr>
          <w:ilvl w:val="0"/>
          <w:numId w:val="2"/>
        </w:numPr>
        <w:spacing w:after="80" w:line="276"/>
      </w:pPr>
      <w:r>
        <w:rPr>
          <w:sz w:val="21"/>
          <w:szCs w:val="21"/>
        </w:rPr>
        <w:t xml:space="preserve">Reliability diagrams before and after prior-shift correction, internal versus external</w:t>
      </w:r>
    </w:p>
    <w:p>
      <w:pPr>
        <w:pStyle w:val="ListParagraph"/>
        <w:numPr>
          <w:ilvl w:val="0"/>
          <w:numId w:val="2"/>
        </w:numPr>
        <w:spacing w:after="80" w:line="276"/>
      </w:pPr>
      <w:r>
        <w:rPr>
          <w:sz w:val="21"/>
          <w:szCs w:val="21"/>
        </w:rPr>
        <w:t xml:space="preserve">Results table: QWK, macro-F1, MAE, ECE, rDR AUROC across EyePACS official test, APTOS and Messidor-2, for both training variants</w:t>
      </w:r>
    </w:p>
    <w:p>
      <w:pPr>
        <w:pStyle w:val="ListParagraph"/>
        <w:numPr>
          <w:ilvl w:val="0"/>
          <w:numId w:val="2"/>
        </w:numPr>
        <w:spacing w:after="80" w:line="276"/>
      </w:pPr>
      <w:r>
        <w:rPr>
          <w:sz w:val="21"/>
          <w:szCs w:val="21"/>
        </w:rPr>
        <w:t xml:space="preserve">Per-lesion Dice table and the cross-domain segmentation drop</w:t>
      </w:r>
    </w:p>
    <w:p>
      <w:pPr>
        <w:pStyle w:val="ListParagraph"/>
        <w:numPr>
          <w:ilvl w:val="0"/>
          <w:numId w:val="2"/>
        </w:numPr>
        <w:spacing w:after="80" w:line="276"/>
      </w:pPr>
      <w:r>
        <w:rPr>
          <w:sz w:val="21"/>
          <w:szCs w:val="21"/>
        </w:rPr>
        <w:t xml:space="preserve">Faithfulness table: Δgrade for lesion versus random removal, by severity</w:t>
      </w:r>
    </w:p>
    <w:p>
      <w:pPr>
        <w:pStyle w:val="ListParagraph"/>
        <w:numPr>
          <w:ilvl w:val="0"/>
          <w:numId w:val="2"/>
        </w:numPr>
        <w:spacing w:after="80" w:line="276"/>
      </w:pPr>
      <w:r>
        <w:rPr>
          <w:sz w:val="21"/>
          <w:szCs w:val="21"/>
        </w:rPr>
        <w:t xml:space="preserve">Triage distribution: fraction and accuracy in each action bucket</w:t>
      </w:r>
    </w:p>
    <w:p>
      <w:pPr>
        <w:pStyle w:val="ListParagraph"/>
        <w:numPr>
          <w:ilvl w:val="0"/>
          <w:numId w:val="2"/>
        </w:numPr>
        <w:spacing w:after="80" w:line="276"/>
      </w:pPr>
      <w:r>
        <w:rPr>
          <w:sz w:val="21"/>
          <w:szCs w:val="21"/>
        </w:rPr>
        <w:t xml:space="preserve">Reproducibility bundle: manifests, dataset plan, frozen config and commit hash, checkpoints</w:t>
      </w:r>
    </w:p>
    <w:p>
      <w:r>
        <w:br w:type="page"/>
      </w:r>
    </w:p>
    <w:p>
      <w:pPr>
        <w:pStyle w:val="Heading1"/>
        <w:spacing w:after="140" w:before="360"/>
      </w:pPr>
      <w:r>
        <w:rPr>
          <w:b/>
          <w:bCs/>
          <w:color w:val="1F4E79"/>
          <w:sz w:val="30"/>
          <w:szCs w:val="30"/>
        </w:rPr>
        <w:t xml:space="preserve">8. Benefits over existing systems</w:t>
      </w:r>
    </w:p>
    <w:tbl>
      <w:tblPr>
        <w:tblW w:type="dxa" w:w="9026"/>
        <w:tblBorders>
          <w:top w:val="single" w:color="B91C1C" w:sz="2"/>
          <w:left w:val="single" w:color="B91C1C" w:sz="18"/>
          <w:bottom w:val="single" w:color="B91C1C" w:sz="2"/>
          <w:right w:val="single" w:color="B91C1C" w:sz="2"/>
          <w:insideH w:val="none"/>
          <w:insideV w:val="none"/>
        </w:tblBorders>
      </w:tblPr>
      <w:tblGrid>
        <w:gridCol w:w="9026"/>
      </w:tblGrid>
      <w:tr>
        <w:tc>
          <w:tcPr>
            <w:tcW w:type="dxa" w:w="9026"/>
            <w:shd w:fill="FDECEC" w:color="auto" w:val="clear"/>
            <w:tcMar>
              <w:top w:type="dxa" w:w="140"/>
              <w:left w:type="dxa" w:w="200"/>
              <w:bottom w:type="dxa" w:w="140"/>
              <w:right w:type="dxa" w:w="200"/>
            </w:tcMar>
          </w:tcPr>
          <w:p>
            <w:pPr>
              <w:spacing w:after="60"/>
            </w:pPr>
            <w:r>
              <w:rPr>
                <w:b/>
                <w:bCs/>
                <w:color w:val="B91C1C"/>
                <w:sz w:val="21"/>
                <w:szCs w:val="21"/>
              </w:rPr>
              <w:t xml:space="preserve">First, honestly — what this will not beat</w:t>
            </w:r>
          </w:p>
          <w:p>
            <w:pPr>
              <w:spacing w:after="40" w:line="276"/>
            </w:pPr>
            <w:r>
              <w:rPr>
                <w:sz w:val="21"/>
                <w:szCs w:val="21"/>
              </w:rPr>
              <w:t xml:space="preserve">Raw grading accuracy. A single EfficientNet-B0 at 512 px with no heavy ensemble will land below the best published EyePACS numbers. The thesis must not be framed as an accuracy contribution; that argument would be lost in the viva.</w:t>
            </w:r>
          </w:p>
        </w:tc>
      </w:tr>
    </w:tbl>
    <w:p>
      <w:pPr>
        <w:spacing w:after="200"/>
      </w:pPr>
    </w:p>
    <w:p>
      <w:pPr>
        <w:spacing w:after="120" w:before="0" w:line="276"/>
      </w:pPr>
      <w:r>
        <w:rPr>
          <w:b/>
          <w:bCs/>
          <w:sz w:val="21"/>
          <w:szCs w:val="21"/>
        </w:rPr>
        <w:t xml:space="preserve">What it does offer:</w:t>
      </w:r>
    </w:p>
    <w:p>
      <w:pPr>
        <w:spacing w:after="80"/>
      </w:pPr>
    </w:p>
    <w:p>
      <w:pPr>
        <w:spacing w:after="120" w:before="0" w:line="276"/>
      </w:pPr>
      <w:r>
        <w:rPr>
          <w:b/>
          <w:bCs/>
          <w:sz w:val="21"/>
          <w:szCs w:val="21"/>
        </w:rPr>
        <w:t xml:space="preserve">1.  A referral signal structurally independent of the classifier</w:t>
      </w:r>
    </w:p>
    <w:p>
      <w:pPr>
        <w:spacing w:after="120" w:before="0" w:line="276"/>
        <w:ind w:left="300"/>
      </w:pPr>
      <w:r>
        <w:rPr>
          <w:sz w:val="21"/>
          <w:szCs w:val="21"/>
        </w:rPr>
        <w:t xml:space="preserve">The dominant approach defers when the model is uncertain. That has a known failure mode: a miscalibrated network is confidently wrong, and no function of its own logits can detect that, because the error and the confidence come from the same corrupted computation. The evidence pathway here is trained on different supervision — pixel-level lesion annotations from different hospitals in a different country, not image grades — so it can genuinely dissent. Two networks trained on the same labels would agree on the same mistakes; these two need not.</w:t>
      </w:r>
    </w:p>
    <w:p>
      <w:pPr>
        <w:spacing w:after="80"/>
      </w:pPr>
    </w:p>
    <w:p>
      <w:pPr>
        <w:spacing w:after="120" w:before="0" w:line="276"/>
      </w:pPr>
      <w:r>
        <w:rPr>
          <w:b/>
          <w:bCs/>
          <w:sz w:val="21"/>
          <w:szCs w:val="21"/>
        </w:rPr>
        <w:t xml:space="preserve">2.  Auditable reasons instead of saliency maps</w:t>
      </w:r>
    </w:p>
    <w:p>
      <w:pPr>
        <w:spacing w:after="120" w:before="0" w:line="276"/>
        <w:ind w:left="300"/>
      </w:pPr>
      <w:r>
        <w:rPr>
          <w:sz w:val="21"/>
          <w:szCs w:val="21"/>
        </w:rPr>
        <w:t xml:space="preserve">Most DR interpretability is Grad-CAM heatmaps, which are unfalsifiable — a clinician cannot say a heatmap is wrong. A rule trace stating “nine haemorrhages across three quadrants, 4-2-1 not met” is checkable: they look at the image and either agree with the count or they do not. Falsifiable explanations are a different category of thing.</w:t>
      </w:r>
    </w:p>
    <w:p>
      <w:pPr>
        <w:spacing w:after="80"/>
      </w:pPr>
    </w:p>
    <w:p>
      <w:pPr>
        <w:spacing w:after="120" w:before="0" w:line="276"/>
      </w:pPr>
      <w:r>
        <w:rPr>
          <w:b/>
          <w:bCs/>
          <w:sz w:val="21"/>
          <w:szCs w:val="21"/>
        </w:rPr>
        <w:t xml:space="preserve">3.  Explanation faithfulness is measured, not assumed</w:t>
      </w:r>
    </w:p>
    <w:p>
      <w:pPr>
        <w:spacing w:after="120" w:before="0" w:line="276"/>
        <w:ind w:left="300"/>
      </w:pPr>
      <w:r>
        <w:rPr>
          <w:sz w:val="21"/>
          <w:szCs w:val="21"/>
        </w:rPr>
        <w:t xml:space="preserve">Almost no DR paper tests whether its explanation is causally connected to its prediction. Experiments E1 and E2 do exactly that, with a control. If it fails, the project will have discovered that its own explanations are decorative — which is itself worth reporting.</w:t>
      </w:r>
    </w:p>
    <w:p>
      <w:pPr>
        <w:spacing w:after="80"/>
      </w:pPr>
    </w:p>
    <w:p>
      <w:pPr>
        <w:spacing w:after="120" w:before="0" w:line="276"/>
      </w:pPr>
      <w:r>
        <w:rPr>
          <w:b/>
          <w:bCs/>
          <w:sz w:val="21"/>
          <w:szCs w:val="21"/>
        </w:rPr>
        <w:t xml:space="preserve">4.  The system declares what it cannot see</w:t>
      </w:r>
    </w:p>
    <w:p>
      <w:pPr>
        <w:spacing w:after="120" w:before="0" w:line="276"/>
        <w:ind w:left="300"/>
      </w:pPr>
      <w:r>
        <w:rPr>
          <w:sz w:val="21"/>
          <w:szCs w:val="21"/>
        </w:rPr>
        <w:t xml:space="preserve">Existing systems have exactly the same blind spots — no IRMA or venous-beading labels, single-field imaging — and emit a confident grade regardless. This one names them and refuses to exclude what it cannot rule out. In screening, where the cost asymmetry is “missed proliferative DR” versus “one extra human review”, that is the property that actually matters.</w:t>
      </w:r>
    </w:p>
    <w:p>
      <w:pPr>
        <w:spacing w:after="80"/>
      </w:pPr>
    </w:p>
    <w:p>
      <w:pPr>
        <w:spacing w:after="120" w:before="0" w:line="276"/>
      </w:pPr>
      <w:r>
        <w:rPr>
          <w:b/>
          <w:bCs/>
          <w:sz w:val="21"/>
          <w:szCs w:val="21"/>
        </w:rPr>
        <w:t xml:space="preserve">5.  Calibration that survives the dataset it was not fitted on</w:t>
      </w:r>
    </w:p>
    <w:p>
      <w:pPr>
        <w:spacing w:after="120" w:before="0" w:line="276"/>
        <w:ind w:left="300"/>
      </w:pPr>
      <w:r>
        <w:rPr>
          <w:sz w:val="21"/>
          <w:szCs w:val="21"/>
        </w:rPr>
        <w:t xml:space="preserve">Most papers report internal ECE only. But positive predictive value depends entirely on calibration under deployment prevalence, and grade-0 prevalence moves from roughly 73% to 49% between EyePACS and APTOS. Prior-shift-corrected external calibration is genuinely under-reported and directly clinically load-bearing.</w:t>
      </w:r>
    </w:p>
    <w:p>
      <w:pPr>
        <w:spacing w:after="80"/>
      </w:pPr>
    </w:p>
    <w:p>
      <w:pPr>
        <w:spacing w:after="120" w:before="0" w:line="276"/>
      </w:pPr>
      <w:r>
        <w:rPr>
          <w:b/>
          <w:bCs/>
          <w:sz w:val="21"/>
          <w:szCs w:val="21"/>
        </w:rPr>
        <w:t xml:space="preserve">6.  A clean protocol in a field with a leakage problem</w:t>
      </w:r>
    </w:p>
    <w:p>
      <w:pPr>
        <w:spacing w:after="120" w:before="0" w:line="276"/>
        <w:ind w:left="300"/>
      </w:pPr>
      <w:r>
        <w:rPr>
          <w:sz w:val="21"/>
          <w:szCs w:val="21"/>
        </w:rPr>
        <w:t xml:space="preserve">Real patient-grouped splits, externals locked and touched once, a pre-registered recipe, and one number reported on the official split for honest comparison. Modest as novelty; substantial as credibility.</w:t>
      </w:r>
    </w:p>
    <w:p>
      <w:pPr>
        <w:spacing w:after="240"/>
      </w:pPr>
    </w:p>
    <w:p>
      <w:pPr>
        <w:pStyle w:val="Heading2"/>
        <w:spacing w:after="140" w:before="260"/>
      </w:pPr>
      <w:r>
        <w:rPr>
          <w:b/>
          <w:bCs/>
          <w:color w:val="1F4E79"/>
          <w:sz w:val="24"/>
          <w:szCs w:val="24"/>
        </w:rPr>
        <w:t xml:space="preserve">8.1 Positioning against the closest work</w:t>
      </w:r>
    </w:p>
    <w:tbl>
      <w:tblPr>
        <w:tblW w:type="dxa" w:w="9026"/>
        <w:tblBorders>
          <w:top w:val="single" w:color="1F4E79" w:sz="4"/>
          <w:left w:val="none"/>
          <w:bottom w:val="single" w:color="1F4E79" w:sz="4"/>
          <w:right w:val="none"/>
          <w:insideH w:val="single" w:color="BFCDDC" w:sz="1"/>
          <w:insideV w:val="none"/>
        </w:tblBorders>
      </w:tblPr>
      <w:tblGrid>
        <w:gridCol w:w="2400"/>
        <w:gridCol w:w="3200"/>
        <w:gridCol w:w="3426"/>
      </w:tblGrid>
      <w:tr>
        <w:trPr>
          <w:tblHeader/>
        </w:trPr>
        <w:tc>
          <w:tcPr>
            <w:tcW w:type="dxa" w:w="2400"/>
            <w:shd w:fill="DCE6F1" w:color="auto" w:val="clear"/>
            <w:tcMar>
              <w:top w:type="dxa" w:w="70"/>
              <w:left w:type="dxa" w:w="110"/>
              <w:bottom w:type="dxa" w:w="70"/>
              <w:right w:type="dxa" w:w="110"/>
            </w:tcMar>
            <w:vAlign w:val="center"/>
          </w:tcPr>
          <w:p>
            <w:pPr>
              <w:spacing w:after="0" w:line="250"/>
            </w:pPr>
            <w:r>
              <w:rPr>
                <w:b/>
                <w:bCs/>
                <w:sz w:val="19"/>
                <w:szCs w:val="19"/>
              </w:rPr>
              <w:t xml:space="preserve">Prior work</w:t>
            </w:r>
          </w:p>
        </w:tc>
        <w:tc>
          <w:tcPr>
            <w:tcW w:type="dxa" w:w="3200"/>
            <w:shd w:fill="DCE6F1" w:color="auto" w:val="clear"/>
            <w:tcMar>
              <w:top w:type="dxa" w:w="70"/>
              <w:left w:type="dxa" w:w="110"/>
              <w:bottom w:type="dxa" w:w="70"/>
              <w:right w:type="dxa" w:w="110"/>
            </w:tcMar>
            <w:vAlign w:val="center"/>
          </w:tcPr>
          <w:p>
            <w:pPr>
              <w:spacing w:after="0" w:line="250"/>
            </w:pPr>
            <w:r>
              <w:rPr>
                <w:b/>
                <w:bCs/>
                <w:sz w:val="19"/>
                <w:szCs w:val="19"/>
              </w:rPr>
              <w:t xml:space="preserve">What they did</w:t>
            </w:r>
          </w:p>
        </w:tc>
        <w:tc>
          <w:tcPr>
            <w:tcW w:type="dxa" w:w="3426"/>
            <w:shd w:fill="DCE6F1" w:color="auto" w:val="clear"/>
            <w:tcMar>
              <w:top w:type="dxa" w:w="70"/>
              <w:left w:type="dxa" w:w="110"/>
              <w:bottom w:type="dxa" w:w="70"/>
              <w:right w:type="dxa" w:w="110"/>
            </w:tcMar>
            <w:vAlign w:val="center"/>
          </w:tcPr>
          <w:p>
            <w:pPr>
              <w:spacing w:after="0" w:line="250"/>
            </w:pPr>
            <w:r>
              <w:rPr>
                <w:b/>
                <w:bCs/>
                <w:sz w:val="19"/>
                <w:szCs w:val="19"/>
              </w:rPr>
              <w:t xml:space="preserve">What this adds</w:t>
            </w:r>
          </w:p>
        </w:tc>
      </w:tr>
      <w:tr>
        <w:tc>
          <w:tcPr>
            <w:tcW w:type="dxa" w:w="2400"/>
            <w:tcMar>
              <w:top w:type="dxa" w:w="70"/>
              <w:left w:type="dxa" w:w="110"/>
              <w:bottom w:type="dxa" w:w="70"/>
              <w:right w:type="dxa" w:w="110"/>
            </w:tcMar>
            <w:vAlign w:val="center"/>
          </w:tcPr>
          <w:p>
            <w:pPr>
              <w:spacing w:after="0" w:line="250"/>
            </w:pPr>
            <w:r>
              <w:rPr>
                <w:b/>
                <w:bCs/>
                <w:sz w:val="19"/>
                <w:szCs w:val="19"/>
              </w:rPr>
              <w:t xml:space="preserve">Leibig et al. 2017</w:t>
            </w:r>
          </w:p>
        </w:tc>
        <w:tc>
          <w:tcPr>
            <w:tcW w:type="dxa" w:w="3200"/>
            <w:tcMar>
              <w:top w:type="dxa" w:w="70"/>
              <w:left w:type="dxa" w:w="110"/>
              <w:bottom w:type="dxa" w:w="70"/>
              <w:right w:type="dxa" w:w="110"/>
            </w:tcMar>
            <w:vAlign w:val="center"/>
          </w:tcPr>
          <w:p>
            <w:pPr>
              <w:spacing w:after="0" w:line="250"/>
            </w:pPr>
            <w:r>
              <w:rPr>
                <w:b w:val="false"/>
                <w:bCs w:val="false"/>
                <w:sz w:val="19"/>
                <w:szCs w:val="19"/>
              </w:rPr>
              <w:t xml:space="preserve">Uncertainty-based referral in DR</w:t>
            </w:r>
          </w:p>
        </w:tc>
        <w:tc>
          <w:tcPr>
            <w:tcW w:type="dxa" w:w="3426"/>
            <w:tcMar>
              <w:top w:type="dxa" w:w="70"/>
              <w:left w:type="dxa" w:w="110"/>
              <w:bottom w:type="dxa" w:w="70"/>
              <w:right w:type="dxa" w:w="110"/>
            </w:tcMar>
            <w:vAlign w:val="center"/>
          </w:tcPr>
          <w:p>
            <w:pPr>
              <w:spacing w:after="0" w:line="250"/>
            </w:pPr>
            <w:r>
              <w:rPr>
                <w:b w:val="false"/>
                <w:bCs w:val="false"/>
                <w:sz w:val="19"/>
                <w:szCs w:val="19"/>
              </w:rPr>
              <w:t xml:space="preserve">An independent deferral signal, not self-confidence</w:t>
            </w:r>
          </w:p>
        </w:tc>
      </w:tr>
      <w:tr>
        <w:tc>
          <w:tcPr>
            <w:tcW w:type="dxa" w:w="2400"/>
            <w:shd w:fill="F2F6FA" w:color="auto" w:val="clear"/>
            <w:tcMar>
              <w:top w:type="dxa" w:w="70"/>
              <w:left w:type="dxa" w:w="110"/>
              <w:bottom w:type="dxa" w:w="70"/>
              <w:right w:type="dxa" w:w="110"/>
            </w:tcMar>
            <w:vAlign w:val="center"/>
          </w:tcPr>
          <w:p>
            <w:pPr>
              <w:spacing w:after="0" w:line="250"/>
            </w:pPr>
            <w:r>
              <w:rPr>
                <w:b/>
                <w:bCs/>
                <w:sz w:val="19"/>
                <w:szCs w:val="19"/>
              </w:rPr>
              <w:t xml:space="preserve">Gulshan 2016; Krause 2018</w:t>
            </w:r>
          </w:p>
        </w:tc>
        <w:tc>
          <w:tcPr>
            <w:tcW w:type="dxa" w:w="32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High-accuracy grading; label adjudication</w:t>
            </w:r>
          </w:p>
        </w:tc>
        <w:tc>
          <w:tcPr>
            <w:tcW w:type="dxa" w:w="3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Not competing on accuracy — competing on auditability</w:t>
            </w:r>
          </w:p>
        </w:tc>
      </w:tr>
      <w:tr>
        <w:tc>
          <w:tcPr>
            <w:tcW w:type="dxa" w:w="2400"/>
            <w:tcMar>
              <w:top w:type="dxa" w:w="70"/>
              <w:left w:type="dxa" w:w="110"/>
              <w:bottom w:type="dxa" w:w="70"/>
              <w:right w:type="dxa" w:w="110"/>
            </w:tcMar>
            <w:vAlign w:val="center"/>
          </w:tcPr>
          <w:p>
            <w:pPr>
              <w:spacing w:after="0" w:line="250"/>
            </w:pPr>
            <w:r>
              <w:rPr>
                <w:b/>
                <w:bCs/>
                <w:sz w:val="19"/>
                <w:szCs w:val="19"/>
              </w:rPr>
              <w:t xml:space="preserve">Wei 2020; Sun 2021</w:t>
            </w:r>
          </w:p>
        </w:tc>
        <w:tc>
          <w:tcPr>
            <w:tcW w:type="dxa" w:w="3200"/>
            <w:tcMar>
              <w:top w:type="dxa" w:w="70"/>
              <w:left w:type="dxa" w:w="110"/>
              <w:bottom w:type="dxa" w:w="70"/>
              <w:right w:type="dxa" w:w="110"/>
            </w:tcMar>
            <w:vAlign w:val="center"/>
          </w:tcPr>
          <w:p>
            <w:pPr>
              <w:spacing w:after="0" w:line="250"/>
            </w:pPr>
            <w:r>
              <w:rPr>
                <w:b w:val="false"/>
                <w:bCs w:val="false"/>
                <w:sz w:val="19"/>
                <w:szCs w:val="19"/>
              </w:rPr>
              <w:t xml:space="preserve">Lesion-aware grading improves accuracy</w:t>
            </w:r>
          </w:p>
        </w:tc>
        <w:tc>
          <w:tcPr>
            <w:tcW w:type="dxa" w:w="3426"/>
            <w:tcMar>
              <w:top w:type="dxa" w:w="70"/>
              <w:left w:type="dxa" w:w="110"/>
              <w:bottom w:type="dxa" w:w="70"/>
              <w:right w:type="dxa" w:w="110"/>
            </w:tcMar>
            <w:vAlign w:val="center"/>
          </w:tcPr>
          <w:p>
            <w:pPr>
              <w:spacing w:after="0" w:line="250"/>
            </w:pPr>
            <w:r>
              <w:rPr>
                <w:b w:val="false"/>
                <w:bCs w:val="false"/>
                <w:sz w:val="19"/>
                <w:szCs w:val="19"/>
              </w:rPr>
              <w:t xml:space="preserve">Lesions used to verify the grade, not to boost it</w:t>
            </w:r>
          </w:p>
        </w:tc>
      </w:tr>
      <w:tr>
        <w:tc>
          <w:tcPr>
            <w:tcW w:type="dxa" w:w="2400"/>
            <w:shd w:fill="F2F6FA" w:color="auto" w:val="clear"/>
            <w:tcMar>
              <w:top w:type="dxa" w:w="70"/>
              <w:left w:type="dxa" w:w="110"/>
              <w:bottom w:type="dxa" w:w="70"/>
              <w:right w:type="dxa" w:w="110"/>
            </w:tcMar>
            <w:vAlign w:val="center"/>
          </w:tcPr>
          <w:p>
            <w:pPr>
              <w:spacing w:after="0" w:line="250"/>
            </w:pPr>
            <w:r>
              <w:rPr>
                <w:b/>
                <w:bCs/>
                <w:sz w:val="19"/>
                <w:szCs w:val="19"/>
              </w:rPr>
              <w:t xml:space="preserve">Boreiko et al. 2022</w:t>
            </w:r>
          </w:p>
        </w:tc>
        <w:tc>
          <w:tcPr>
            <w:tcW w:type="dxa" w:w="32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Generative counterfactual explanations</w:t>
            </w:r>
          </w:p>
        </w:tc>
        <w:tc>
          <w:tcPr>
            <w:tcW w:type="dxa" w:w="3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Counterfactual as a pass/fail faithfulness test feeding a triage decision</w:t>
            </w:r>
          </w:p>
        </w:tc>
      </w:tr>
    </w:tbl>
    <w:p>
      <w:pPr>
        <w:spacing w:after="200"/>
      </w:pPr>
    </w:p>
    <w:tbl>
      <w:tblPr>
        <w:tblW w:type="dxa" w:w="9026"/>
        <w:tblBorders>
          <w:top w:val="single" w:color="6B21A8" w:sz="2"/>
          <w:left w:val="single" w:color="6B21A8" w:sz="18"/>
          <w:bottom w:val="single" w:color="6B21A8" w:sz="2"/>
          <w:right w:val="single" w:color="6B21A8" w:sz="2"/>
          <w:insideH w:val="none"/>
          <w:insideV w:val="none"/>
        </w:tblBorders>
      </w:tblPr>
      <w:tblGrid>
        <w:gridCol w:w="9026"/>
      </w:tblGrid>
      <w:tr>
        <w:tc>
          <w:tcPr>
            <w:tcW w:type="dxa" w:w="9026"/>
            <w:shd w:fill="F3E8FF" w:color="auto" w:val="clear"/>
            <w:tcMar>
              <w:top w:type="dxa" w:w="140"/>
              <w:left w:type="dxa" w:w="200"/>
              <w:bottom w:type="dxa" w:w="140"/>
              <w:right w:type="dxa" w:w="200"/>
            </w:tcMar>
          </w:tcPr>
          <w:p>
            <w:pPr>
              <w:spacing w:after="60"/>
            </w:pPr>
            <w:r>
              <w:rPr>
                <w:b/>
                <w:bCs/>
                <w:color w:val="6B21A8"/>
                <w:sz w:val="21"/>
                <w:szCs w:val="21"/>
              </w:rPr>
              <w:t xml:space="preserve">The framing for the abstract</w:t>
            </w:r>
          </w:p>
          <w:p>
            <w:pPr>
              <w:spacing w:after="40" w:line="276"/>
            </w:pPr>
            <w:r>
              <w:rPr>
                <w:sz w:val="21"/>
                <w:szCs w:val="21"/>
              </w:rPr>
              <w:t xml:space="preserve">Lesion evidence has been used to make DR models more accurate. This work asks whether it can instead be used to decide when to trust them.</w:t>
            </w:r>
          </w:p>
          <w:p>
            <w:pPr>
              <w:spacing w:after="40" w:line="276"/>
            </w:pPr>
            <w:r>
              <w:rPr>
                <w:sz w:val="21"/>
                <w:szCs w:val="21"/>
              </w:rPr>
              <w:t xml:space="preserve">That is a different question from the one the field has been asking, and it is answerable with Kaggle-available data.</w:t>
            </w:r>
          </w:p>
        </w:tc>
      </w:tr>
    </w:tbl>
    <w:p>
      <w:pPr>
        <w:spacing w:after="160"/>
      </w:pPr>
    </w:p>
    <w:p>
      <w:pPr>
        <w:spacing w:after="120" w:before="0" w:line="276"/>
      </w:pPr>
      <w:r>
        <w:rPr>
          <w:i/>
          <w:iCs/>
          <w:sz w:val="21"/>
          <w:szCs w:val="21"/>
        </w:rPr>
        <w:t xml:space="preserve">Benefits 1 to 5 are hypotheses until Stage F reports. The thesis must be written so that it holds up if F2 comes out negative — pre-registration is what makes that possible.</w:t>
      </w:r>
    </w:p>
    <w:p>
      <w:r>
        <w:br w:type="page"/>
      </w:r>
    </w:p>
    <w:p>
      <w:pPr>
        <w:pStyle w:val="Heading1"/>
        <w:spacing w:after="140" w:before="360"/>
      </w:pPr>
      <w:r>
        <w:rPr>
          <w:b/>
          <w:bCs/>
          <w:color w:val="1F4E79"/>
          <w:sz w:val="30"/>
          <w:szCs w:val="30"/>
        </w:rPr>
        <w:t xml:space="preserve">9. Compute budget and phasing</w:t>
      </w:r>
    </w:p>
    <w:p>
      <w:pPr>
        <w:spacing w:after="120" w:before="0" w:line="276"/>
      </w:pPr>
      <w:r>
        <w:rPr>
          <w:sz w:val="21"/>
          <w:szCs w:val="21"/>
        </w:rPr>
        <w:t xml:space="preserve">Kaggle provides 30 GPU-hours per week with a 12-hour session cap. The revised plan costs roughly 100 GPU-hours — three to four weeks of quota, spread across a 16–20 week project. Compute is not the bottleneck; writing and analysis are.</w:t>
      </w:r>
    </w:p>
    <w:p>
      <w:pPr>
        <w:spacing w:after="100"/>
      </w:pPr>
    </w:p>
    <w:tbl>
      <w:tblPr>
        <w:tblW w:type="dxa" w:w="9026"/>
        <w:tblBorders>
          <w:top w:val="single" w:color="1F4E79" w:sz="4"/>
          <w:left w:val="none"/>
          <w:bottom w:val="single" w:color="1F4E79" w:sz="4"/>
          <w:right w:val="none"/>
          <w:insideH w:val="single" w:color="BFCDDC" w:sz="1"/>
          <w:insideV w:val="none"/>
        </w:tblBorders>
      </w:tblPr>
      <w:tblGrid>
        <w:gridCol w:w="900"/>
        <w:gridCol w:w="6626"/>
        <w:gridCol w:w="1500"/>
      </w:tblGrid>
      <w:tr>
        <w:trPr>
          <w:tblHeader/>
        </w:trPr>
        <w:tc>
          <w:tcPr>
            <w:tcW w:type="dxa" w:w="900"/>
            <w:shd w:fill="DCE6F1" w:color="auto" w:val="clear"/>
            <w:tcMar>
              <w:top w:type="dxa" w:w="70"/>
              <w:left w:type="dxa" w:w="110"/>
              <w:bottom w:type="dxa" w:w="70"/>
              <w:right w:type="dxa" w:w="110"/>
            </w:tcMar>
            <w:vAlign w:val="center"/>
          </w:tcPr>
          <w:p>
            <w:pPr>
              <w:spacing w:after="0" w:line="250"/>
            </w:pPr>
            <w:r>
              <w:rPr>
                <w:b/>
                <w:bCs/>
                <w:sz w:val="19"/>
                <w:szCs w:val="19"/>
              </w:rPr>
              <w:t xml:space="preserve">Stage</w:t>
            </w:r>
          </w:p>
        </w:tc>
        <w:tc>
          <w:tcPr>
            <w:tcW w:type="dxa" w:w="6626"/>
            <w:shd w:fill="DCE6F1" w:color="auto" w:val="clear"/>
            <w:tcMar>
              <w:top w:type="dxa" w:w="70"/>
              <w:left w:type="dxa" w:w="110"/>
              <w:bottom w:type="dxa" w:w="70"/>
              <w:right w:type="dxa" w:w="110"/>
            </w:tcMar>
            <w:vAlign w:val="center"/>
          </w:tcPr>
          <w:p>
            <w:pPr>
              <w:spacing w:after="0" w:line="250"/>
            </w:pPr>
            <w:r>
              <w:rPr>
                <w:b/>
                <w:bCs/>
                <w:sz w:val="19"/>
                <w:szCs w:val="19"/>
              </w:rPr>
              <w:t xml:space="preserve">Work</w:t>
            </w:r>
          </w:p>
        </w:tc>
        <w:tc>
          <w:tcPr>
            <w:tcW w:type="dxa" w:w="1500"/>
            <w:shd w:fill="DCE6F1" w:color="auto" w:val="clear"/>
            <w:tcMar>
              <w:top w:type="dxa" w:w="70"/>
              <w:left w:type="dxa" w:w="110"/>
              <w:bottom w:type="dxa" w:w="70"/>
              <w:right w:type="dxa" w:w="110"/>
            </w:tcMar>
            <w:vAlign w:val="center"/>
          </w:tcPr>
          <w:p>
            <w:pPr>
              <w:spacing w:after="0" w:line="250"/>
            </w:pPr>
            <w:r>
              <w:rPr>
                <w:b/>
                <w:bCs/>
                <w:sz w:val="19"/>
                <w:szCs w:val="19"/>
              </w:rPr>
              <w:t xml:space="preserve">GPU-hours</w:t>
            </w:r>
          </w:p>
        </w:tc>
      </w:tr>
      <w:tr>
        <w:tc>
          <w:tcPr>
            <w:tcW w:type="dxa" w:w="900"/>
            <w:tcMar>
              <w:top w:type="dxa" w:w="70"/>
              <w:left w:type="dxa" w:w="110"/>
              <w:bottom w:type="dxa" w:w="70"/>
              <w:right w:type="dxa" w:w="110"/>
            </w:tcMar>
            <w:vAlign w:val="center"/>
          </w:tcPr>
          <w:p>
            <w:pPr>
              <w:spacing w:after="0" w:line="250"/>
            </w:pPr>
            <w:r>
              <w:rPr>
                <w:b/>
                <w:bCs/>
                <w:sz w:val="19"/>
                <w:szCs w:val="19"/>
              </w:rPr>
              <w:t xml:space="preserve">0</w:t>
            </w:r>
          </w:p>
        </w:tc>
        <w:tc>
          <w:tcPr>
            <w:tcW w:type="dxa" w:w="6626"/>
            <w:tcMar>
              <w:top w:type="dxa" w:w="70"/>
              <w:left w:type="dxa" w:w="110"/>
              <w:bottom w:type="dxa" w:w="70"/>
              <w:right w:type="dxa" w:w="110"/>
            </w:tcMar>
            <w:vAlign w:val="center"/>
          </w:tcPr>
          <w:p>
            <w:pPr>
              <w:spacing w:after="0" w:line="250"/>
            </w:pPr>
            <w:r>
              <w:rPr>
                <w:b w:val="false"/>
                <w:bCs w:val="false"/>
                <w:sz w:val="19"/>
                <w:szCs w:val="19"/>
              </w:rPr>
              <w:t xml:space="preserve">512 px pre-resize cache (CPU only, 6–10 CPU-hours)</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0</w:t>
            </w:r>
          </w:p>
        </w:tc>
      </w:tr>
      <w:tr>
        <w:tc>
          <w:tcPr>
            <w:tcW w:type="dxa" w:w="900"/>
            <w:shd w:fill="F2F6FA" w:color="auto" w:val="clear"/>
            <w:tcMar>
              <w:top w:type="dxa" w:w="70"/>
              <w:left w:type="dxa" w:w="110"/>
              <w:bottom w:type="dxa" w:w="70"/>
              <w:right w:type="dxa" w:w="110"/>
            </w:tcMar>
            <w:vAlign w:val="center"/>
          </w:tcPr>
          <w:p>
            <w:pPr>
              <w:spacing w:after="0" w:line="250"/>
            </w:pPr>
            <w:r>
              <w:rPr>
                <w:b/>
                <w:bCs/>
                <w:sz w:val="19"/>
                <w:szCs w:val="19"/>
              </w:rPr>
              <w:t xml:space="preserve">1</w:t>
            </w:r>
          </w:p>
        </w:tc>
        <w:tc>
          <w:tcPr>
            <w:tcW w:type="dxa" w:w="66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B1 resolution ablation on balanced_1000, one seed</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5</w:t>
            </w:r>
          </w:p>
        </w:tc>
      </w:tr>
      <w:tr>
        <w:tc>
          <w:tcPr>
            <w:tcW w:type="dxa" w:w="900"/>
            <w:tcMar>
              <w:top w:type="dxa" w:w="70"/>
              <w:left w:type="dxa" w:w="110"/>
              <w:bottom w:type="dxa" w:w="70"/>
              <w:right w:type="dxa" w:w="110"/>
            </w:tcMar>
            <w:vAlign w:val="center"/>
          </w:tcPr>
          <w:p>
            <w:pPr>
              <w:spacing w:after="0" w:line="250"/>
            </w:pPr>
            <w:r>
              <w:rPr>
                <w:b/>
                <w:bCs/>
                <w:sz w:val="19"/>
                <w:szCs w:val="19"/>
              </w:rPr>
              <w:t xml:space="preserve">2</w:t>
            </w:r>
          </w:p>
        </w:tc>
        <w:tc>
          <w:tcPr>
            <w:tcW w:type="dxa" w:w="6626"/>
            <w:tcMar>
              <w:top w:type="dxa" w:w="70"/>
              <w:left w:type="dxa" w:w="110"/>
              <w:bottom w:type="dxa" w:w="70"/>
              <w:right w:type="dxa" w:w="110"/>
            </w:tcMar>
            <w:vAlign w:val="center"/>
          </w:tcPr>
          <w:p>
            <w:pPr>
              <w:spacing w:after="0" w:line="250"/>
            </w:pPr>
            <w:r>
              <w:rPr>
                <w:b w:val="false"/>
                <w:bCs w:val="false"/>
                <w:sz w:val="19"/>
                <w:szCs w:val="19"/>
              </w:rPr>
              <w:t xml:space="preserve">B2–B4 recipe search on eyepacs_full at 512 px, one seed</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10</w:t>
            </w:r>
          </w:p>
        </w:tc>
      </w:tr>
      <w:tr>
        <w:tc>
          <w:tcPr>
            <w:tcW w:type="dxa" w:w="900"/>
            <w:shd w:fill="F2F6FA" w:color="auto" w:val="clear"/>
            <w:tcMar>
              <w:top w:type="dxa" w:w="70"/>
              <w:left w:type="dxa" w:w="110"/>
              <w:bottom w:type="dxa" w:w="70"/>
              <w:right w:type="dxa" w:w="110"/>
            </w:tcMar>
            <w:vAlign w:val="center"/>
          </w:tcPr>
          <w:p>
            <w:pPr>
              <w:spacing w:after="0" w:line="250"/>
            </w:pPr>
            <w:r>
              <w:rPr>
                <w:b/>
                <w:bCs/>
                <w:sz w:val="19"/>
                <w:szCs w:val="19"/>
              </w:rPr>
              <w:t xml:space="preserve">3</w:t>
            </w:r>
          </w:p>
        </w:tc>
        <w:tc>
          <w:tcPr>
            <w:tcW w:type="dxa" w:w="66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C1 optic-disc / fovea regressor (IDRiD, 516 images)</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1</w:t>
            </w:r>
          </w:p>
        </w:tc>
      </w:tr>
      <w:tr>
        <w:tc>
          <w:tcPr>
            <w:tcW w:type="dxa" w:w="900"/>
            <w:tcMar>
              <w:top w:type="dxa" w:w="70"/>
              <w:left w:type="dxa" w:w="110"/>
              <w:bottom w:type="dxa" w:w="70"/>
              <w:right w:type="dxa" w:w="110"/>
            </w:tcMar>
            <w:vAlign w:val="center"/>
          </w:tcPr>
          <w:p>
            <w:pPr>
              <w:spacing w:after="0" w:line="250"/>
            </w:pPr>
            <w:r>
              <w:rPr>
                <w:b/>
                <w:bCs/>
                <w:sz w:val="19"/>
                <w:szCs w:val="19"/>
              </w:rPr>
              <w:t xml:space="preserve">4</w:t>
            </w:r>
          </w:p>
        </w:tc>
        <w:tc>
          <w:tcPr>
            <w:tcW w:type="dxa" w:w="6626"/>
            <w:tcMar>
              <w:top w:type="dxa" w:w="70"/>
              <w:left w:type="dxa" w:w="110"/>
              <w:bottom w:type="dxa" w:w="70"/>
              <w:right w:type="dxa" w:w="110"/>
            </w:tcMar>
            <w:vAlign w:val="center"/>
          </w:tcPr>
          <w:p>
            <w:pPr>
              <w:spacing w:after="0" w:line="250"/>
            </w:pPr>
            <w:r>
              <w:rPr>
                <w:b w:val="false"/>
                <w:bCs w:val="false"/>
                <w:sz w:val="19"/>
                <w:szCs w:val="19"/>
              </w:rPr>
              <w:t xml:space="preserve">C2–C4 evidence U-Net (~840 annotated images), four runs</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4</w:t>
            </w:r>
          </w:p>
        </w:tc>
      </w:tr>
      <w:tr>
        <w:tc>
          <w:tcPr>
            <w:tcW w:type="dxa" w:w="900"/>
            <w:shd w:fill="F2F6FA" w:color="auto" w:val="clear"/>
            <w:tcMar>
              <w:top w:type="dxa" w:w="70"/>
              <w:left w:type="dxa" w:w="110"/>
              <w:bottom w:type="dxa" w:w="70"/>
              <w:right w:type="dxa" w:w="110"/>
            </w:tcMar>
            <w:vAlign w:val="center"/>
          </w:tcPr>
          <w:p>
            <w:pPr>
              <w:spacing w:after="0" w:line="250"/>
            </w:pPr>
            <w:r>
              <w:rPr>
                <w:b/>
                <w:bCs/>
                <w:sz w:val="19"/>
                <w:szCs w:val="19"/>
              </w:rPr>
              <w:t xml:space="preserve">5</w:t>
            </w:r>
          </w:p>
        </w:tc>
        <w:tc>
          <w:tcPr>
            <w:tcW w:type="dxa" w:w="66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Frozen recipe × three seeds × two variants</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12</w:t>
            </w:r>
          </w:p>
        </w:tc>
      </w:tr>
      <w:tr>
        <w:tc>
          <w:tcPr>
            <w:tcW w:type="dxa" w:w="900"/>
            <w:tcMar>
              <w:top w:type="dxa" w:w="70"/>
              <w:left w:type="dxa" w:w="110"/>
              <w:bottom w:type="dxa" w:w="70"/>
              <w:right w:type="dxa" w:w="110"/>
            </w:tcMar>
            <w:vAlign w:val="center"/>
          </w:tcPr>
          <w:p>
            <w:pPr>
              <w:spacing w:after="0" w:line="250"/>
            </w:pPr>
            <w:r>
              <w:rPr>
                <w:b/>
                <w:bCs/>
                <w:sz w:val="19"/>
                <w:szCs w:val="19"/>
              </w:rPr>
              <w:t xml:space="preserve">6</w:t>
            </w:r>
          </w:p>
        </w:tc>
        <w:tc>
          <w:tcPr>
            <w:tcW w:type="dxa" w:w="6626"/>
            <w:tcMar>
              <w:top w:type="dxa" w:w="70"/>
              <w:left w:type="dxa" w:w="110"/>
              <w:bottom w:type="dxa" w:w="70"/>
              <w:right w:type="dxa" w:w="110"/>
            </w:tcMar>
            <w:vAlign w:val="center"/>
          </w:tcPr>
          <w:p>
            <w:pPr>
              <w:spacing w:after="0" w:line="250"/>
            </w:pPr>
            <w:r>
              <w:rPr>
                <w:b w:val="false"/>
                <w:bCs w:val="false"/>
                <w:sz w:val="19"/>
                <w:szCs w:val="19"/>
              </w:rPr>
              <w:t xml:space="preserve">B5 eye-pair fusion head</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3</w:t>
            </w:r>
          </w:p>
        </w:tc>
      </w:tr>
      <w:tr>
        <w:tc>
          <w:tcPr>
            <w:tcW w:type="dxa" w:w="900"/>
            <w:shd w:fill="F2F6FA" w:color="auto" w:val="clear"/>
            <w:tcMar>
              <w:top w:type="dxa" w:w="70"/>
              <w:left w:type="dxa" w:w="110"/>
              <w:bottom w:type="dxa" w:w="70"/>
              <w:right w:type="dxa" w:w="110"/>
            </w:tcMar>
            <w:vAlign w:val="center"/>
          </w:tcPr>
          <w:p>
            <w:pPr>
              <w:spacing w:after="0" w:line="250"/>
            </w:pPr>
            <w:r>
              <w:rPr>
                <w:b/>
                <w:bCs/>
                <w:sz w:val="19"/>
                <w:szCs w:val="19"/>
              </w:rPr>
              <w:t xml:space="preserve">7</w:t>
            </w:r>
          </w:p>
        </w:tc>
        <w:tc>
          <w:tcPr>
            <w:tcW w:type="dxa" w:w="66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Stages D, E, F — calibration, faithfulness, triage (inference only)</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5</w:t>
            </w:r>
          </w:p>
        </w:tc>
      </w:tr>
      <w:tr>
        <w:tc>
          <w:tcPr>
            <w:tcW w:type="dxa" w:w="900"/>
            <w:tcMar>
              <w:top w:type="dxa" w:w="70"/>
              <w:left w:type="dxa" w:w="110"/>
              <w:bottom w:type="dxa" w:w="70"/>
              <w:right w:type="dxa" w:w="110"/>
            </w:tcMar>
            <w:vAlign w:val="center"/>
          </w:tcPr>
          <w:p>
            <w:pPr>
              <w:spacing w:after="0" w:line="250"/>
            </w:pPr>
            <w:r>
              <w:rPr>
                <w:b/>
                <w:bCs/>
                <w:sz w:val="19"/>
                <w:szCs w:val="19"/>
              </w:rPr>
              <w:t xml:space="preserve">8</w:t>
            </w:r>
          </w:p>
        </w:tc>
        <w:tc>
          <w:tcPr>
            <w:tcW w:type="dxa" w:w="6626"/>
            <w:tcMar>
              <w:top w:type="dxa" w:w="70"/>
              <w:left w:type="dxa" w:w="110"/>
              <w:bottom w:type="dxa" w:w="70"/>
              <w:right w:type="dxa" w:w="110"/>
            </w:tcMar>
            <w:vAlign w:val="center"/>
          </w:tcPr>
          <w:p>
            <w:pPr>
              <w:spacing w:after="0" w:line="250"/>
            </w:pPr>
            <w:r>
              <w:rPr>
                <w:b w:val="false"/>
                <w:bCs w:val="false"/>
                <w:sz w:val="19"/>
                <w:szCs w:val="19"/>
              </w:rPr>
              <w:t xml:space="preserve">Contingency ×2</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~40</w:t>
            </w:r>
          </w:p>
        </w:tc>
      </w:tr>
      <w:tr>
        <w:tc>
          <w:tcPr>
            <w:tcW w:type="dxa" w:w="900"/>
            <w:shd w:fill="F2F6FA" w:color="auto" w:val="clear"/>
            <w:tcMar>
              <w:top w:type="dxa" w:w="70"/>
              <w:left w:type="dxa" w:w="110"/>
              <w:bottom w:type="dxa" w:w="70"/>
              <w:right w:type="dxa" w:w="110"/>
            </w:tcMar>
            <w:vAlign w:val="center"/>
          </w:tcPr>
          <w:p>
            <w:pPr>
              <w:spacing w:after="0" w:line="250"/>
            </w:pPr>
            <w:r>
              <w:rPr>
                <w:b/>
                <w:bCs/>
                <w:sz w:val="19"/>
                <w:szCs w:val="19"/>
              </w:rPr>
              <w:t xml:space="preserve"/>
            </w:r>
          </w:p>
        </w:tc>
        <w:tc>
          <w:tcPr>
            <w:tcW w:type="dxa" w:w="66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Total</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~80–100</w:t>
            </w:r>
          </w:p>
        </w:tc>
      </w:tr>
    </w:tbl>
    <w:p>
      <w:pPr>
        <w:spacing w:after="240"/>
      </w:pPr>
    </w:p>
    <w:p>
      <w:pPr>
        <w:pStyle w:val="Heading2"/>
        <w:spacing w:after="140" w:before="260"/>
      </w:pPr>
      <w:r>
        <w:rPr>
          <w:b/>
          <w:bCs/>
          <w:color w:val="1F4E79"/>
          <w:sz w:val="24"/>
          <w:szCs w:val="24"/>
        </w:rPr>
        <w:t xml:space="preserve">9.1 Phase plan</w:t>
      </w:r>
    </w:p>
    <w:tbl>
      <w:tblPr>
        <w:tblW w:type="dxa" w:w="9026"/>
        <w:tblBorders>
          <w:top w:val="single" w:color="1F4E79" w:sz="4"/>
          <w:left w:val="none"/>
          <w:bottom w:val="single" w:color="1F4E79" w:sz="4"/>
          <w:right w:val="none"/>
          <w:insideH w:val="single" w:color="BFCDDC" w:sz="1"/>
          <w:insideV w:val="none"/>
        </w:tblBorders>
      </w:tblPr>
      <w:tblGrid>
        <w:gridCol w:w="1100"/>
        <w:gridCol w:w="1500"/>
        <w:gridCol w:w="6426"/>
      </w:tblGrid>
      <w:tr>
        <w:trPr>
          <w:tblHeader/>
        </w:trPr>
        <w:tc>
          <w:tcPr>
            <w:tcW w:type="dxa" w:w="1100"/>
            <w:shd w:fill="DCE6F1" w:color="auto" w:val="clear"/>
            <w:tcMar>
              <w:top w:type="dxa" w:w="70"/>
              <w:left w:type="dxa" w:w="110"/>
              <w:bottom w:type="dxa" w:w="70"/>
              <w:right w:type="dxa" w:w="110"/>
            </w:tcMar>
            <w:vAlign w:val="center"/>
          </w:tcPr>
          <w:p>
            <w:pPr>
              <w:spacing w:after="0" w:line="250"/>
            </w:pPr>
            <w:r>
              <w:rPr>
                <w:b/>
                <w:bCs/>
                <w:sz w:val="19"/>
                <w:szCs w:val="19"/>
              </w:rPr>
              <w:t xml:space="preserve">Phase</w:t>
            </w:r>
          </w:p>
        </w:tc>
        <w:tc>
          <w:tcPr>
            <w:tcW w:type="dxa" w:w="1500"/>
            <w:shd w:fill="DCE6F1" w:color="auto" w:val="clear"/>
            <w:tcMar>
              <w:top w:type="dxa" w:w="70"/>
              <w:left w:type="dxa" w:w="110"/>
              <w:bottom w:type="dxa" w:w="70"/>
              <w:right w:type="dxa" w:w="110"/>
            </w:tcMar>
            <w:vAlign w:val="center"/>
          </w:tcPr>
          <w:p>
            <w:pPr>
              <w:spacing w:after="0" w:line="250"/>
            </w:pPr>
            <w:r>
              <w:rPr>
                <w:b/>
                <w:bCs/>
                <w:sz w:val="19"/>
                <w:szCs w:val="19"/>
              </w:rPr>
              <w:t xml:space="preserve">Weeks</w:t>
            </w:r>
          </w:p>
        </w:tc>
        <w:tc>
          <w:tcPr>
            <w:tcW w:type="dxa" w:w="6426"/>
            <w:shd w:fill="DCE6F1" w:color="auto" w:val="clear"/>
            <w:tcMar>
              <w:top w:type="dxa" w:w="70"/>
              <w:left w:type="dxa" w:w="110"/>
              <w:bottom w:type="dxa" w:w="70"/>
              <w:right w:type="dxa" w:w="110"/>
            </w:tcMar>
            <w:vAlign w:val="center"/>
          </w:tcPr>
          <w:p>
            <w:pPr>
              <w:spacing w:after="0" w:line="250"/>
            </w:pPr>
            <w:r>
              <w:rPr>
                <w:b/>
                <w:bCs/>
                <w:sz w:val="19"/>
                <w:szCs w:val="19"/>
              </w:rPr>
              <w:t xml:space="preserve">Content and exit condition</w:t>
            </w:r>
          </w:p>
        </w:tc>
      </w:tr>
      <w:tr>
        <w:tc>
          <w:tcPr>
            <w:tcW w:type="dxa" w:w="1100"/>
            <w:tcMar>
              <w:top w:type="dxa" w:w="70"/>
              <w:left w:type="dxa" w:w="110"/>
              <w:bottom w:type="dxa" w:w="70"/>
              <w:right w:type="dxa" w:w="110"/>
            </w:tcMar>
            <w:vAlign w:val="center"/>
          </w:tcPr>
          <w:p>
            <w:pPr>
              <w:spacing w:after="0" w:line="250"/>
            </w:pPr>
            <w:r>
              <w:rPr>
                <w:b/>
                <w:bCs/>
                <w:sz w:val="19"/>
                <w:szCs w:val="19"/>
              </w:rPr>
              <w:t xml:space="preserve">0</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1</w:t>
            </w:r>
          </w:p>
        </w:tc>
        <w:tc>
          <w:tcPr>
            <w:tcW w:type="dxa" w:w="6426"/>
            <w:tcMar>
              <w:top w:type="dxa" w:w="70"/>
              <w:left w:type="dxa" w:w="110"/>
              <w:bottom w:type="dxa" w:w="70"/>
              <w:right w:type="dxa" w:w="110"/>
            </w:tcMar>
            <w:vAlign w:val="center"/>
          </w:tcPr>
          <w:p>
            <w:pPr>
              <w:spacing w:after="0" w:line="250"/>
            </w:pPr>
            <w:r>
              <w:rPr>
                <w:b w:val="false"/>
                <w:bCs w:val="false"/>
                <w:sz w:val="19"/>
                <w:szCs w:val="19"/>
              </w:rPr>
              <w:t xml:space="preserve">Protocol and datasets. Exit: all six datasets attached, both verification questions answered in writing</w:t>
            </w:r>
          </w:p>
        </w:tc>
      </w:tr>
      <w:tr>
        <w:tc>
          <w:tcPr>
            <w:tcW w:type="dxa" w:w="1100"/>
            <w:shd w:fill="F2F6FA" w:color="auto" w:val="clear"/>
            <w:tcMar>
              <w:top w:type="dxa" w:w="70"/>
              <w:left w:type="dxa" w:w="110"/>
              <w:bottom w:type="dxa" w:w="70"/>
              <w:right w:type="dxa" w:w="110"/>
            </w:tcMar>
            <w:vAlign w:val="center"/>
          </w:tcPr>
          <w:p>
            <w:pPr>
              <w:spacing w:after="0" w:line="250"/>
            </w:pPr>
            <w:r>
              <w:rPr>
                <w:b/>
                <w:bCs/>
                <w:sz w:val="19"/>
                <w:szCs w:val="19"/>
              </w:rPr>
              <w:t xml:space="preserve">1</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2</w:t>
            </w:r>
          </w:p>
        </w:tc>
        <w:tc>
          <w:tcPr>
            <w:tcW w:type="dxa" w:w="6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Build the 512 px cache. Exit: cache published as a Kaggle dataset, A0 logged</w:t>
            </w:r>
          </w:p>
        </w:tc>
      </w:tr>
      <w:tr>
        <w:tc>
          <w:tcPr>
            <w:tcW w:type="dxa" w:w="1100"/>
            <w:tcMar>
              <w:top w:type="dxa" w:w="70"/>
              <w:left w:type="dxa" w:w="110"/>
              <w:bottom w:type="dxa" w:w="70"/>
              <w:right w:type="dxa" w:w="110"/>
            </w:tcMar>
            <w:vAlign w:val="center"/>
          </w:tcPr>
          <w:p>
            <w:pPr>
              <w:spacing w:after="0" w:line="250"/>
            </w:pPr>
            <w:r>
              <w:rPr>
                <w:b/>
                <w:bCs/>
                <w:sz w:val="19"/>
                <w:szCs w:val="19"/>
              </w:rPr>
              <w:t xml:space="preserve">2</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3</w:t>
            </w:r>
          </w:p>
        </w:tc>
        <w:tc>
          <w:tcPr>
            <w:tcW w:type="dxa" w:w="6426"/>
            <w:tcMar>
              <w:top w:type="dxa" w:w="70"/>
              <w:left w:type="dxa" w:w="110"/>
              <w:bottom w:type="dxa" w:w="70"/>
              <w:right w:type="dxa" w:w="110"/>
            </w:tcMar>
            <w:vAlign w:val="center"/>
          </w:tcPr>
          <w:p>
            <w:pPr>
              <w:spacing w:after="0" w:line="250"/>
            </w:pPr>
            <w:r>
              <w:rPr>
                <w:b w:val="false"/>
                <w:bCs w:val="false"/>
                <w:sz w:val="19"/>
                <w:szCs w:val="19"/>
              </w:rPr>
              <w:t xml:space="preserve">Manifests and patient-grouped splits. Exit: disjointness assertion passes, dataset plan committed</w:t>
            </w:r>
          </w:p>
        </w:tc>
      </w:tr>
      <w:tr>
        <w:tc>
          <w:tcPr>
            <w:tcW w:type="dxa" w:w="1100"/>
            <w:shd w:fill="F2F6FA" w:color="auto" w:val="clear"/>
            <w:tcMar>
              <w:top w:type="dxa" w:w="70"/>
              <w:left w:type="dxa" w:w="110"/>
              <w:bottom w:type="dxa" w:w="70"/>
              <w:right w:type="dxa" w:w="110"/>
            </w:tcMar>
            <w:vAlign w:val="center"/>
          </w:tcPr>
          <w:p>
            <w:pPr>
              <w:spacing w:after="0" w:line="250"/>
            </w:pPr>
            <w:r>
              <w:rPr>
                <w:b/>
                <w:bCs/>
                <w:sz w:val="19"/>
                <w:szCs w:val="19"/>
              </w:rPr>
              <w:t xml:space="preserve">3</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4–7</w:t>
            </w:r>
          </w:p>
        </w:tc>
        <w:tc>
          <w:tcPr>
            <w:tcW w:type="dxa" w:w="6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Grading pathway B1–B6. Exit: one recipe chosen on validation; no test set touched</w:t>
            </w:r>
          </w:p>
        </w:tc>
      </w:tr>
      <w:tr>
        <w:tc>
          <w:tcPr>
            <w:tcW w:type="dxa" w:w="1100"/>
            <w:tcMar>
              <w:top w:type="dxa" w:w="70"/>
              <w:left w:type="dxa" w:w="110"/>
              <w:bottom w:type="dxa" w:w="70"/>
              <w:right w:type="dxa" w:w="110"/>
            </w:tcMar>
            <w:vAlign w:val="center"/>
          </w:tcPr>
          <w:p>
            <w:pPr>
              <w:spacing w:after="0" w:line="250"/>
            </w:pPr>
            <w:r>
              <w:rPr>
                <w:b/>
                <w:bCs/>
                <w:sz w:val="19"/>
                <w:szCs w:val="19"/>
              </w:rPr>
              <w:t xml:space="preserve">4</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6–9</w:t>
            </w:r>
          </w:p>
        </w:tc>
        <w:tc>
          <w:tcPr>
            <w:tcW w:type="dxa" w:w="6426"/>
            <w:tcMar>
              <w:top w:type="dxa" w:w="70"/>
              <w:left w:type="dxa" w:w="110"/>
              <w:bottom w:type="dxa" w:w="70"/>
              <w:right w:type="dxa" w:w="110"/>
            </w:tcMar>
            <w:vAlign w:val="center"/>
          </w:tcPr>
          <w:p>
            <w:pPr>
              <w:spacing w:after="0" w:line="250"/>
            </w:pPr>
            <w:r>
              <w:rPr>
                <w:b w:val="false"/>
                <w:bCs w:val="false"/>
                <w:sz w:val="19"/>
                <w:szCs w:val="19"/>
              </w:rPr>
              <w:t xml:space="preserve">Evidence pathway C1–C4. Exit: C1 meets its target; C2–C4 logged</w:t>
            </w:r>
          </w:p>
        </w:tc>
      </w:tr>
      <w:tr>
        <w:tc>
          <w:tcPr>
            <w:tcW w:type="dxa" w:w="1100"/>
            <w:shd w:fill="F2F6FA" w:color="auto" w:val="clear"/>
            <w:tcMar>
              <w:top w:type="dxa" w:w="70"/>
              <w:left w:type="dxa" w:w="110"/>
              <w:bottom w:type="dxa" w:w="70"/>
              <w:right w:type="dxa" w:w="110"/>
            </w:tcMar>
            <w:vAlign w:val="center"/>
          </w:tcPr>
          <w:p>
            <w:pPr>
              <w:spacing w:after="0" w:line="250"/>
            </w:pPr>
            <w:r>
              <w:rPr>
                <w:b/>
                <w:bCs/>
                <w:sz w:val="19"/>
                <w:szCs w:val="19"/>
              </w:rPr>
              <w:t xml:space="preserve">5</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10</w:t>
            </w:r>
          </w:p>
        </w:tc>
        <w:tc>
          <w:tcPr>
            <w:tcW w:type="dxa" w:w="6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THE FREEZE. Pre-registration filled in, committed, supervisor-acknowledged</w:t>
            </w:r>
          </w:p>
        </w:tc>
      </w:tr>
      <w:tr>
        <w:tc>
          <w:tcPr>
            <w:tcW w:type="dxa" w:w="1100"/>
            <w:tcMar>
              <w:top w:type="dxa" w:w="70"/>
              <w:left w:type="dxa" w:w="110"/>
              <w:bottom w:type="dxa" w:w="70"/>
              <w:right w:type="dxa" w:w="110"/>
            </w:tcMar>
            <w:vAlign w:val="center"/>
          </w:tcPr>
          <w:p>
            <w:pPr>
              <w:spacing w:after="0" w:line="250"/>
            </w:pPr>
            <w:r>
              <w:rPr>
                <w:b/>
                <w:bCs/>
                <w:sz w:val="19"/>
                <w:szCs w:val="19"/>
              </w:rPr>
              <w:t xml:space="preserve">6</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11–12</w:t>
            </w:r>
          </w:p>
        </w:tc>
        <w:tc>
          <w:tcPr>
            <w:tcW w:type="dxa" w:w="6426"/>
            <w:tcMar>
              <w:top w:type="dxa" w:w="70"/>
              <w:left w:type="dxa" w:w="110"/>
              <w:bottom w:type="dxa" w:w="70"/>
              <w:right w:type="dxa" w:w="110"/>
            </w:tcMar>
            <w:vAlign w:val="center"/>
          </w:tcPr>
          <w:p>
            <w:pPr>
              <w:spacing w:after="0" w:line="250"/>
            </w:pPr>
            <w:r>
              <w:rPr>
                <w:b w:val="false"/>
                <w:bCs w:val="false"/>
                <w:sz w:val="19"/>
                <w:szCs w:val="19"/>
              </w:rPr>
              <w:t xml:space="preserve">Final training and the single unblinding. Exit: results on all three test sets</w:t>
            </w:r>
          </w:p>
        </w:tc>
      </w:tr>
      <w:tr>
        <w:tc>
          <w:tcPr>
            <w:tcW w:type="dxa" w:w="1100"/>
            <w:shd w:fill="F2F6FA" w:color="auto" w:val="clear"/>
            <w:tcMar>
              <w:top w:type="dxa" w:w="70"/>
              <w:left w:type="dxa" w:w="110"/>
              <w:bottom w:type="dxa" w:w="70"/>
              <w:right w:type="dxa" w:w="110"/>
            </w:tcMar>
            <w:vAlign w:val="center"/>
          </w:tcPr>
          <w:p>
            <w:pPr>
              <w:spacing w:after="0" w:line="250"/>
            </w:pPr>
            <w:r>
              <w:rPr>
                <w:b/>
                <w:bCs/>
                <w:sz w:val="19"/>
                <w:szCs w:val="19"/>
              </w:rPr>
              <w:t xml:space="preserve">7</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12–15</w:t>
            </w:r>
          </w:p>
        </w:tc>
        <w:tc>
          <w:tcPr>
            <w:tcW w:type="dxa" w:w="6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Calibration, faithfulness, triage — D, E, F. Exit: coverage–accuracy curves</w:t>
            </w:r>
          </w:p>
        </w:tc>
      </w:tr>
      <w:tr>
        <w:tc>
          <w:tcPr>
            <w:tcW w:type="dxa" w:w="1100"/>
            <w:tcMar>
              <w:top w:type="dxa" w:w="70"/>
              <w:left w:type="dxa" w:w="110"/>
              <w:bottom w:type="dxa" w:w="70"/>
              <w:right w:type="dxa" w:w="110"/>
            </w:tcMar>
            <w:vAlign w:val="center"/>
          </w:tcPr>
          <w:p>
            <w:pPr>
              <w:spacing w:after="0" w:line="250"/>
            </w:pPr>
            <w:r>
              <w:rPr>
                <w:b/>
                <w:bCs/>
                <w:sz w:val="19"/>
                <w:szCs w:val="19"/>
              </w:rPr>
              <w:t xml:space="preserve">8</w:t>
            </w:r>
          </w:p>
        </w:tc>
        <w:tc>
          <w:tcPr>
            <w:tcW w:type="dxa" w:w="1500"/>
            <w:tcMar>
              <w:top w:type="dxa" w:w="70"/>
              <w:left w:type="dxa" w:w="110"/>
              <w:bottom w:type="dxa" w:w="70"/>
              <w:right w:type="dxa" w:w="110"/>
            </w:tcMar>
            <w:vAlign w:val="center"/>
          </w:tcPr>
          <w:p>
            <w:pPr>
              <w:spacing w:after="0" w:line="250"/>
            </w:pPr>
            <w:r>
              <w:rPr>
                <w:b w:val="false"/>
                <w:bCs w:val="false"/>
                <w:sz w:val="19"/>
                <w:szCs w:val="19"/>
              </w:rPr>
              <w:t xml:space="preserve">15–17</w:t>
            </w:r>
          </w:p>
        </w:tc>
        <w:tc>
          <w:tcPr>
            <w:tcW w:type="dxa" w:w="6426"/>
            <w:tcMar>
              <w:top w:type="dxa" w:w="70"/>
              <w:left w:type="dxa" w:w="110"/>
              <w:bottom w:type="dxa" w:w="70"/>
              <w:right w:type="dxa" w:w="110"/>
            </w:tcMar>
            <w:vAlign w:val="center"/>
          </w:tcPr>
          <w:p>
            <w:pPr>
              <w:spacing w:after="0" w:line="250"/>
            </w:pPr>
            <w:r>
              <w:rPr>
                <w:b w:val="false"/>
                <w:bCs w:val="false"/>
                <w:sz w:val="19"/>
                <w:szCs w:val="19"/>
              </w:rPr>
              <w:t xml:space="preserve">Error analysis G1–G3. Exit: figure 1 exists and is a real case</w:t>
            </w:r>
          </w:p>
        </w:tc>
      </w:tr>
      <w:tr>
        <w:tc>
          <w:tcPr>
            <w:tcW w:type="dxa" w:w="1100"/>
            <w:shd w:fill="F2F6FA" w:color="auto" w:val="clear"/>
            <w:tcMar>
              <w:top w:type="dxa" w:w="70"/>
              <w:left w:type="dxa" w:w="110"/>
              <w:bottom w:type="dxa" w:w="70"/>
              <w:right w:type="dxa" w:w="110"/>
            </w:tcMar>
            <w:vAlign w:val="center"/>
          </w:tcPr>
          <w:p>
            <w:pPr>
              <w:spacing w:after="0" w:line="250"/>
            </w:pPr>
            <w:r>
              <w:rPr>
                <w:b/>
                <w:bCs/>
                <w:sz w:val="19"/>
                <w:szCs w:val="19"/>
              </w:rPr>
              <w:t xml:space="preserve">9</w:t>
            </w:r>
          </w:p>
        </w:tc>
        <w:tc>
          <w:tcPr>
            <w:tcW w:type="dxa" w:w="1500"/>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16–20</w:t>
            </w:r>
          </w:p>
        </w:tc>
        <w:tc>
          <w:tcPr>
            <w:tcW w:type="dxa" w:w="64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Write-up</w:t>
            </w:r>
          </w:p>
        </w:tc>
      </w:tr>
    </w:tbl>
    <w:p>
      <w:pPr>
        <w:spacing w:after="200"/>
      </w:pPr>
    </w:p>
    <w:tbl>
      <w:tblPr>
        <w:tblW w:type="dxa" w:w="9026"/>
        <w:tblBorders>
          <w:top w:val="single" w:color="C55A11" w:sz="2"/>
          <w:left w:val="single" w:color="C55A11" w:sz="18"/>
          <w:bottom w:val="single" w:color="C55A11" w:sz="2"/>
          <w:right w:val="single" w:color="C55A11" w:sz="2"/>
          <w:insideH w:val="none"/>
          <w:insideV w:val="none"/>
        </w:tblBorders>
      </w:tblPr>
      <w:tblGrid>
        <w:gridCol w:w="9026"/>
      </w:tblGrid>
      <w:tr>
        <w:tc>
          <w:tcPr>
            <w:tcW w:type="dxa" w:w="9026"/>
            <w:shd w:fill="FFF4E5" w:color="auto" w:val="clear"/>
            <w:tcMar>
              <w:top w:type="dxa" w:w="140"/>
              <w:left w:type="dxa" w:w="200"/>
              <w:bottom w:type="dxa" w:w="140"/>
              <w:right w:type="dxa" w:w="200"/>
            </w:tcMar>
          </w:tcPr>
          <w:p>
            <w:pPr>
              <w:spacing w:after="60"/>
            </w:pPr>
            <w:r>
              <w:rPr>
                <w:b/>
                <w:bCs/>
                <w:color w:val="C55A11"/>
                <w:sz w:val="21"/>
                <w:szCs w:val="21"/>
              </w:rPr>
              <w:t xml:space="preserve">Phase 5 is the point of no return</w:t>
            </w:r>
          </w:p>
          <w:p>
            <w:pPr>
              <w:spacing w:after="40" w:line="276"/>
            </w:pPr>
            <w:r>
              <w:rPr>
                <w:sz w:val="21"/>
                <w:szCs w:val="21"/>
              </w:rPr>
              <w:t xml:space="preserve">After the freeze commit, the architecture, hyperparameters and decision thresholds do not change. Later changes are allowed but must be recorded as dated deviations in the pre-registration file. Undocumented post-hoc changes are what make results unpublishable.</w:t>
            </w:r>
          </w:p>
        </w:tc>
      </w:tr>
    </w:tbl>
    <w:p>
      <w:r>
        <w:br w:type="page"/>
      </w:r>
    </w:p>
    <w:p>
      <w:pPr>
        <w:pStyle w:val="Heading1"/>
        <w:spacing w:after="140" w:before="360"/>
      </w:pPr>
      <w:r>
        <w:rPr>
          <w:b/>
          <w:bCs/>
          <w:color w:val="1F4E79"/>
          <w:sz w:val="30"/>
          <w:szCs w:val="30"/>
        </w:rPr>
        <w:t xml:space="preserve">10. Limitations and threats to validity</w:t>
      </w:r>
    </w:p>
    <w:p>
      <w:pPr>
        <w:spacing w:after="120" w:before="0" w:line="276"/>
      </w:pPr>
      <w:r>
        <w:rPr>
          <w:sz w:val="21"/>
          <w:szCs w:val="21"/>
        </w:rPr>
        <w:t xml:space="preserve">These belong in the thesis, stated plainly. An examiner who finds a limitation the author did not name is in a much stronger position than one who finds it already discussed.</w:t>
      </w:r>
    </w:p>
    <w:p>
      <w:pPr>
        <w:spacing w:after="100"/>
      </w:pPr>
    </w:p>
    <w:tbl>
      <w:tblPr>
        <w:tblW w:type="dxa" w:w="9026"/>
        <w:tblBorders>
          <w:top w:val="single" w:color="1F4E79" w:sz="4"/>
          <w:left w:val="none"/>
          <w:bottom w:val="single" w:color="1F4E79" w:sz="4"/>
          <w:right w:val="none"/>
          <w:insideH w:val="single" w:color="BFCDDC" w:sz="1"/>
          <w:insideV w:val="none"/>
        </w:tblBorders>
      </w:tblPr>
      <w:tblGrid>
        <w:gridCol w:w="3000"/>
        <w:gridCol w:w="6026"/>
      </w:tblGrid>
      <w:tr>
        <w:trPr>
          <w:tblHeader/>
        </w:trPr>
        <w:tc>
          <w:tcPr>
            <w:tcW w:type="dxa" w:w="3000"/>
            <w:shd w:fill="DCE6F1" w:color="auto" w:val="clear"/>
            <w:tcMar>
              <w:top w:type="dxa" w:w="70"/>
              <w:left w:type="dxa" w:w="110"/>
              <w:bottom w:type="dxa" w:w="70"/>
              <w:right w:type="dxa" w:w="110"/>
            </w:tcMar>
            <w:vAlign w:val="center"/>
          </w:tcPr>
          <w:p>
            <w:pPr>
              <w:spacing w:after="0" w:line="250"/>
            </w:pPr>
            <w:r>
              <w:rPr>
                <w:b/>
                <w:bCs/>
                <w:sz w:val="19"/>
                <w:szCs w:val="19"/>
              </w:rPr>
              <w:t xml:space="preserve">Threat</w:t>
            </w:r>
          </w:p>
        </w:tc>
        <w:tc>
          <w:tcPr>
            <w:tcW w:type="dxa" w:w="6026"/>
            <w:shd w:fill="DCE6F1" w:color="auto" w:val="clear"/>
            <w:tcMar>
              <w:top w:type="dxa" w:w="70"/>
              <w:left w:type="dxa" w:w="110"/>
              <w:bottom w:type="dxa" w:w="70"/>
              <w:right w:type="dxa" w:w="110"/>
            </w:tcMar>
            <w:vAlign w:val="center"/>
          </w:tcPr>
          <w:p>
            <w:pPr>
              <w:spacing w:after="0" w:line="250"/>
            </w:pPr>
            <w:r>
              <w:rPr>
                <w:b/>
                <w:bCs/>
                <w:sz w:val="19"/>
                <w:szCs w:val="19"/>
              </w:rPr>
              <w:t xml:space="preserve">Handling</w:t>
            </w:r>
          </w:p>
        </w:tc>
      </w:tr>
      <w:tr>
        <w:tc>
          <w:tcPr>
            <w:tcW w:type="dxa" w:w="3000"/>
            <w:tcMar>
              <w:top w:type="dxa" w:w="70"/>
              <w:left w:type="dxa" w:w="110"/>
              <w:bottom w:type="dxa" w:w="70"/>
              <w:right w:type="dxa" w:w="110"/>
            </w:tcMar>
            <w:vAlign w:val="center"/>
          </w:tcPr>
          <w:p>
            <w:pPr>
              <w:spacing w:after="0" w:line="250"/>
            </w:pPr>
            <w:r>
              <w:rPr>
                <w:b/>
                <w:bCs/>
                <w:sz w:val="19"/>
                <w:szCs w:val="19"/>
              </w:rPr>
              <w:t xml:space="preserve">Label noise differs between datasets</w:t>
            </w:r>
          </w:p>
        </w:tc>
        <w:tc>
          <w:tcPr>
            <w:tcW w:type="dxa" w:w="6026"/>
            <w:tcMar>
              <w:top w:type="dxa" w:w="70"/>
              <w:left w:type="dxa" w:w="110"/>
              <w:bottom w:type="dxa" w:w="70"/>
              <w:right w:type="dxa" w:w="110"/>
            </w:tcMar>
            <w:vAlign w:val="center"/>
          </w:tcPr>
          <w:p>
            <w:pPr>
              <w:spacing w:after="0" w:line="250"/>
            </w:pPr>
            <w:r>
              <w:rPr>
                <w:b w:val="false"/>
                <w:bCs w:val="false"/>
                <w:sz w:val="19"/>
                <w:szCs w:val="19"/>
              </w:rPr>
              <w:t xml:space="preserve">EyePACS is single-grader; Messidor-2 is three-specialist adjudicated. Part of any gap measures grader disagreement, not generalisation failure. Stated in the discussion.</w:t>
            </w:r>
          </w:p>
        </w:tc>
      </w:tr>
      <w:tr>
        <w:tc>
          <w:tcPr>
            <w:tcW w:type="dxa" w:w="3000"/>
            <w:shd w:fill="F2F6FA" w:color="auto" w:val="clear"/>
            <w:tcMar>
              <w:top w:type="dxa" w:w="70"/>
              <w:left w:type="dxa" w:w="110"/>
              <w:bottom w:type="dxa" w:w="70"/>
              <w:right w:type="dxa" w:w="110"/>
            </w:tcMar>
            <w:vAlign w:val="center"/>
          </w:tcPr>
          <w:p>
            <w:pPr>
              <w:spacing w:after="0" w:line="250"/>
            </w:pPr>
            <w:r>
              <w:rPr>
                <w:b/>
                <w:bCs/>
                <w:sz w:val="19"/>
                <w:szCs w:val="19"/>
              </w:rPr>
              <w:t xml:space="preserve">Preprocessing confound</w:t>
            </w:r>
          </w:p>
        </w:tc>
        <w:tc>
          <w:tcPr>
            <w:tcW w:type="dxa" w:w="60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messidor2preprocess may already be contrast-normalised. Verified in Phase 0; if so, matched across sources or reported as a confound.</w:t>
            </w:r>
          </w:p>
        </w:tc>
      </w:tr>
      <w:tr>
        <w:tc>
          <w:tcPr>
            <w:tcW w:type="dxa" w:w="3000"/>
            <w:tcMar>
              <w:top w:type="dxa" w:w="70"/>
              <w:left w:type="dxa" w:w="110"/>
              <w:bottom w:type="dxa" w:w="70"/>
              <w:right w:type="dxa" w:w="110"/>
            </w:tcMar>
            <w:vAlign w:val="center"/>
          </w:tcPr>
          <w:p>
            <w:pPr>
              <w:spacing w:after="0" w:line="250"/>
            </w:pPr>
            <w:r>
              <w:rPr>
                <w:b/>
                <w:bCs/>
                <w:sz w:val="19"/>
                <w:szCs w:val="19"/>
              </w:rPr>
              <w:t xml:space="preserve">Evidence path may be weak off-domain</w:t>
            </w:r>
          </w:p>
        </w:tc>
        <w:tc>
          <w:tcPr>
            <w:tcW w:type="dxa" w:w="6026"/>
            <w:tcMar>
              <w:top w:type="dxa" w:w="70"/>
              <w:left w:type="dxa" w:w="110"/>
              <w:bottom w:type="dxa" w:w="70"/>
              <w:right w:type="dxa" w:w="110"/>
            </w:tcMar>
            <w:vAlign w:val="center"/>
          </w:tcPr>
          <w:p>
            <w:pPr>
              <w:spacing w:after="0" w:line="250"/>
            </w:pPr>
            <w:r>
              <w:rPr>
                <w:b w:val="false"/>
                <w:bCs w:val="false"/>
                <w:sz w:val="19"/>
                <w:szCs w:val="19"/>
              </w:rPr>
              <w:t xml:space="preserve">C3 measures this directly. If Dice collapses cross-domain, the disagreement signal degrades exactly where it is most needed — a real limitation worth reporting.</w:t>
            </w:r>
          </w:p>
        </w:tc>
      </w:tr>
      <w:tr>
        <w:tc>
          <w:tcPr>
            <w:tcW w:type="dxa" w:w="3000"/>
            <w:shd w:fill="F2F6FA" w:color="auto" w:val="clear"/>
            <w:tcMar>
              <w:top w:type="dxa" w:w="70"/>
              <w:left w:type="dxa" w:w="110"/>
              <w:bottom w:type="dxa" w:w="70"/>
              <w:right w:type="dxa" w:w="110"/>
            </w:tcMar>
            <w:vAlign w:val="center"/>
          </w:tcPr>
          <w:p>
            <w:pPr>
              <w:spacing w:after="0" w:line="250"/>
            </w:pPr>
            <w:r>
              <w:rPr>
                <w:b/>
                <w:bCs/>
                <w:sz w:val="19"/>
                <w:szCs w:val="19"/>
              </w:rPr>
              <w:t xml:space="preserve">Small lesion-annotation set</w:t>
            </w:r>
          </w:p>
        </w:tc>
        <w:tc>
          <w:tcPr>
            <w:tcW w:type="dxa" w:w="60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Roughly 840 annotated images in total. Wide confidence intervals expected on Dice; segmentation quality must not be over-claimed.</w:t>
            </w:r>
          </w:p>
        </w:tc>
      </w:tr>
      <w:tr>
        <w:tc>
          <w:tcPr>
            <w:tcW w:type="dxa" w:w="3000"/>
            <w:tcMar>
              <w:top w:type="dxa" w:w="70"/>
              <w:left w:type="dxa" w:w="110"/>
              <w:bottom w:type="dxa" w:w="70"/>
              <w:right w:type="dxa" w:w="110"/>
            </w:tcMar>
            <w:vAlign w:val="center"/>
          </w:tcPr>
          <w:p>
            <w:pPr>
              <w:spacing w:after="0" w:line="250"/>
            </w:pPr>
            <w:r>
              <w:rPr>
                <w:b/>
                <w:bCs/>
                <w:sz w:val="19"/>
                <w:szCs w:val="19"/>
              </w:rPr>
              <w:t xml:space="preserve">Grade-1 invisibility</w:t>
            </w:r>
          </w:p>
        </w:tc>
        <w:tc>
          <w:tcPr>
            <w:tcW w:type="dxa" w:w="6026"/>
            <w:tcMar>
              <w:top w:type="dxa" w:w="70"/>
              <w:left w:type="dxa" w:w="110"/>
              <w:bottom w:type="dxa" w:w="70"/>
              <w:right w:type="dxa" w:w="110"/>
            </w:tcMar>
            <w:vAlign w:val="center"/>
          </w:tcPr>
          <w:p>
            <w:pPr>
              <w:spacing w:after="0" w:line="250"/>
            </w:pPr>
            <w:r>
              <w:rPr>
                <w:b w:val="false"/>
                <w:bCs w:val="false"/>
                <w:sz w:val="19"/>
                <w:szCs w:val="19"/>
              </w:rPr>
              <w:t xml:space="preserve">Microaneurysms are 10–20 px. If B1 shows near-zero grade-1 recall at all resolutions, the five-class framing is unsupported and the thesis reframes around referable DR (grade ≥ 2).</w:t>
            </w:r>
          </w:p>
        </w:tc>
      </w:tr>
      <w:tr>
        <w:tc>
          <w:tcPr>
            <w:tcW w:type="dxa" w:w="3000"/>
            <w:shd w:fill="F2F6FA" w:color="auto" w:val="clear"/>
            <w:tcMar>
              <w:top w:type="dxa" w:w="70"/>
              <w:left w:type="dxa" w:w="110"/>
              <w:bottom w:type="dxa" w:w="70"/>
              <w:right w:type="dxa" w:w="110"/>
            </w:tcMar>
            <w:vAlign w:val="center"/>
          </w:tcPr>
          <w:p>
            <w:pPr>
              <w:spacing w:after="0" w:line="250"/>
            </w:pPr>
            <w:r>
              <w:rPr>
                <w:b/>
                <w:bCs/>
                <w:sz w:val="19"/>
                <w:szCs w:val="19"/>
              </w:rPr>
              <w:t xml:space="preserve">Single-field quadrant approximation</w:t>
            </w:r>
          </w:p>
        </w:tc>
        <w:tc>
          <w:tcPr>
            <w:tcW w:type="dxa" w:w="60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The ETDRS 4-2-1 rule assumes seven fields; this uses one. Declared in the reasoner and in the limitations section.</w:t>
            </w:r>
          </w:p>
        </w:tc>
      </w:tr>
      <w:tr>
        <w:tc>
          <w:tcPr>
            <w:tcW w:type="dxa" w:w="3000"/>
            <w:tcMar>
              <w:top w:type="dxa" w:w="70"/>
              <w:left w:type="dxa" w:w="110"/>
              <w:bottom w:type="dxa" w:w="70"/>
              <w:right w:type="dxa" w:w="110"/>
            </w:tcMar>
            <w:vAlign w:val="center"/>
          </w:tcPr>
          <w:p>
            <w:pPr>
              <w:spacing w:after="0" w:line="250"/>
            </w:pPr>
            <w:r>
              <w:rPr>
                <w:b/>
                <w:bCs/>
                <w:sz w:val="19"/>
                <w:szCs w:val="19"/>
              </w:rPr>
              <w:t xml:space="preserve">Three seeds is few</w:t>
            </w:r>
          </w:p>
        </w:tc>
        <w:tc>
          <w:tcPr>
            <w:tcW w:type="dxa" w:w="6026"/>
            <w:tcMar>
              <w:top w:type="dxa" w:w="70"/>
              <w:left w:type="dxa" w:w="110"/>
              <w:bottom w:type="dxa" w:w="70"/>
              <w:right w:type="dxa" w:w="110"/>
            </w:tcMar>
            <w:vAlign w:val="center"/>
          </w:tcPr>
          <w:p>
            <w:pPr>
              <w:spacing w:after="0" w:line="250"/>
            </w:pPr>
            <w:r>
              <w:rPr>
                <w:b w:val="false"/>
                <w:bCs w:val="false"/>
                <w:sz w:val="19"/>
                <w:szCs w:val="19"/>
              </w:rPr>
              <w:t xml:space="preserve">Seed spread reported everywhere; no difference claimed that is smaller than seed-to-seed variation.</w:t>
            </w:r>
          </w:p>
        </w:tc>
      </w:tr>
      <w:tr>
        <w:tc>
          <w:tcPr>
            <w:tcW w:type="dxa" w:w="3000"/>
            <w:shd w:fill="F2F6FA" w:color="auto" w:val="clear"/>
            <w:tcMar>
              <w:top w:type="dxa" w:w="70"/>
              <w:left w:type="dxa" w:w="110"/>
              <w:bottom w:type="dxa" w:w="70"/>
              <w:right w:type="dxa" w:w="110"/>
            </w:tcMar>
            <w:vAlign w:val="center"/>
          </w:tcPr>
          <w:p>
            <w:pPr>
              <w:spacing w:after="0" w:line="250"/>
            </w:pPr>
            <w:r>
              <w:rPr>
                <w:b/>
                <w:bCs/>
                <w:sz w:val="19"/>
                <w:szCs w:val="19"/>
              </w:rPr>
              <w:t xml:space="preserve">Not a clinical device</w:t>
            </w:r>
          </w:p>
        </w:tc>
        <w:tc>
          <w:tcPr>
            <w:tcW w:type="dxa" w:w="6026"/>
            <w:shd w:fill="F2F6FA" w:color="auto" w:val="clear"/>
            <w:tcMar>
              <w:top w:type="dxa" w:w="70"/>
              <w:left w:type="dxa" w:w="110"/>
              <w:bottom w:type="dxa" w:w="70"/>
              <w:right w:type="dxa" w:w="110"/>
            </w:tcMar>
            <w:vAlign w:val="center"/>
          </w:tcPr>
          <w:p>
            <w:pPr>
              <w:spacing w:after="0" w:line="250"/>
            </w:pPr>
            <w:r>
              <w:rPr>
                <w:b w:val="false"/>
                <w:bCs w:val="false"/>
                <w:sz w:val="19"/>
                <w:szCs w:val="19"/>
              </w:rPr>
              <w:t xml:space="preserve">Research software. Deployment would require prospective validation and expert oversight.</w:t>
            </w:r>
          </w:p>
        </w:tc>
      </w:tr>
    </w:tbl>
    <w:p>
      <w:pPr>
        <w:spacing w:after="300"/>
      </w:pPr>
    </w:p>
    <w:p>
      <w:pPr>
        <w:pBdr>
          <w:bottom w:val="single" w:color="BFCDDC" w:sz="6"/>
        </w:pBdr>
        <w:spacing w:after="200" w:before="160"/>
      </w:pPr>
    </w:p>
    <w:p>
      <w:pPr>
        <w:spacing w:after="120" w:before="0" w:line="276"/>
      </w:pPr>
      <w:r>
        <w:rPr>
          <w:i/>
          <w:iCs/>
          <w:color w:val="666666"/>
          <w:sz w:val="18"/>
          <w:szCs w:val="18"/>
        </w:rPr>
        <w:t xml:space="preserve">Prepared as part of the VERIFY-DR project scaffolding. See the repository documentation set for the full walkthrough (docs/00_START_HERE.md), architecture (docs/03_model_architecture.md), experiment register (docs/04_experiment_register.md) and pre-registration template (preregistration/PREREGISTRATION.md).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VERIFY-DR — Project Assessment and Revised Plan</dc:title>
  <dc:creator>VERIFY-DR project</dc:creator>
  <dc:description>MSc thesis assessment: viability, changes from the original blueprint, experiment programme, and contributions.</dc:description>
  <cp:lastModifiedBy>Un-named</cp:lastModifiedBy>
  <cp:revision>1</cp:revision>
  <dcterms:created xsi:type="dcterms:W3CDTF">2026-09-13T02:05:39.957Z</dcterms:created>
  <dcterms:modified xsi:type="dcterms:W3CDTF">2026-09-13T02:05:39.957Z</dcterms:modified>
</cp:coreProperties>
</file>

<file path=docProps/custom.xml><?xml version="1.0" encoding="utf-8"?>
<Properties xmlns="http://schemas.openxmlformats.org/officeDocument/2006/custom-properties" xmlns:vt="http://schemas.openxmlformats.org/officeDocument/2006/docPropsVTypes"/>
</file>