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Thesis</w:t>
      </w:r>
      <w:r>
        <w:t xml:space="preserve"> </w:t>
      </w:r>
      <w:r>
        <w:t xml:space="preserve">comparison</w:t>
      </w:r>
      <w:r>
        <w:t xml:space="preserve"> </w:t>
      </w:r>
      <w:r>
        <w:t xml:space="preserve">sheet</w:t>
      </w:r>
    </w:p>
    <w:p>
      <w:pPr>
        <w:pStyle w:val="Subtitle"/>
      </w:pPr>
      <w:r>
        <w:t xml:space="preserve">Disease</w:t>
      </w:r>
      <w:r>
        <w:t xml:space="preserve"> </w:t>
      </w:r>
      <w:r>
        <w:t xml:space="preserve">or</w:t>
      </w:r>
      <w:r>
        <w:t xml:space="preserve"> </w:t>
      </w:r>
      <w:r>
        <w:t xml:space="preserve">Source?</w:t>
      </w:r>
      <w:r>
        <w:t xml:space="preserve"> </w:t>
      </w:r>
      <w:r>
        <w:t xml:space="preserve">Testing</w:t>
      </w:r>
      <w:r>
        <w:t xml:space="preserve"> </w:t>
      </w:r>
      <w:r>
        <w:t xml:space="preserve">Merged</w:t>
      </w:r>
      <w:r>
        <w:t xml:space="preserve"> </w:t>
      </w:r>
      <w:r>
        <w:t xml:space="preserve">Datasets</w:t>
      </w:r>
      <w:r>
        <w:t xml:space="preserve"> </w:t>
      </w:r>
      <w:r>
        <w:t xml:space="preserve">for</w:t>
      </w:r>
      <w:r>
        <w:t xml:space="preserve"> </w:t>
      </w:r>
      <w:r>
        <w:t xml:space="preserve">Early</w:t>
      </w:r>
      <w:r>
        <w:t xml:space="preserve"> </w:t>
      </w:r>
      <w:r>
        <w:t xml:space="preserve">Diabetic</w:t>
      </w:r>
      <w:r>
        <w:t xml:space="preserve"> </w:t>
      </w:r>
      <w:r>
        <w:t xml:space="preserve">Retinopathy</w:t>
      </w:r>
      <w:r>
        <w:t xml:space="preserve"> </w:t>
      </w:r>
      <w:r>
        <w:t xml:space="preserve">Detection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bCs/>
          <w:b/>
        </w:rPr>
        <w:t xml:space="preserve">This thesis</w:t>
      </w:r>
      <w:r>
        <w:t xml:space="preserve"> </w:t>
      </w:r>
      <w:r>
        <w:t xml:space="preserve">column as a reference and fill the other columns from the theses you compare. Numbers are from my group-split runs, three seeds (42, 43, 44), unless stated.</w:t>
      </w:r>
      <w:r>
        <w:t xml:space="preserve"> </w:t>
      </w:r>
      <w:r>
        <w:t xml:space="preserve">“</w:t>
      </w:r>
      <w:r>
        <w:t xml:space="preserve">Post-hoc</w:t>
      </w:r>
      <w:r>
        <w:t xml:space="preserve">”</w:t>
      </w:r>
      <w:r>
        <w:t xml:space="preserve"> </w:t>
      </w:r>
      <w:r>
        <w:t xml:space="preserve">means the analysis was added after seeing results.</w:t>
      </w:r>
    </w:p>
    <w:bookmarkStart w:id="20" w:name="comparison-table"/>
    <w:p>
      <w:pPr>
        <w:pStyle w:val="Heading1"/>
      </w:pPr>
      <w:r>
        <w:t xml:space="preserve">1. Comparison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thesis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thesis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 and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Retinal fundus images; early diabetic retinopathy (grades 1-2) vs No DR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datasets are merged, does the model learn the condition or the source?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Contribution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and protocol (not a new network)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DDR (12,522 images), EyePACS (35,108), APTOS (3,662)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datasets are combined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arms: A DDR only; B DDR + all EyePACS, source-balanced; C DDR + EyePACS grades 1, 3, 4 (negative control)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EfficientNet-B0, 512 px, ImageNet weights, 10 epochs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EyePACS by patient 70/15/15; DDR random 60/20/20 (no patient IDs) plus a group-aware version; frozen files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APTOS, never used for training or selection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 at a frozen threshold (specificity 0.90 target), AUROC, PR-AUC, per-grade AUROC, ECE, Brier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Temperature scaling and prior-shift correction, fitted on validation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seeds; patient-level bootstrap 95% intervals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Leakage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Near-duplicate detection; group-aware DDR split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Shortcut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size, file size, colour, sharpness; size-stratified AUROC (post-hoc)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merge: EyePACS AUROC 0.717 but specificity 0.008 (flags almost every healthy image). Source-balanced: AUROC 0.884 (0.870-0.897), specificity 0.898, ECE 0.056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In-domain vs external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DDR AUROC about 0.98 for every arm; EyePACS 0.717 to 0.884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Novelty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verified; no study found in three quick searches; systematic search pending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Reproducibility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and Kaggle notebooks, frozen splits, declaration files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 limitations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architecture; three datasets; DDR lacks patient IDs; camera model unknown (proxies only); arm C is a deliberately flawed control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experiments done; RQ3 analysis, natural-merge arm and literature search pending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rigour-checklist-this-thesis"/>
    <w:p>
      <w:pPr>
        <w:pStyle w:val="Heading1"/>
      </w:pPr>
      <w:r>
        <w:t xml:space="preserve">2. Rigour checklist (this thesis)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Patient-level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Partly (EyePACS yes; DDR no IDs)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test set never used for training or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(APTOS)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Threshold and calibration fitted on validation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Several 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 intervals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(patient-level bootstrap)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 reported (ECE, Brier)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(arm C)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Realistic baseline merge (natural mix of all grades)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(arm D planned)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Leakage checked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(near-duplicates; same-patient untestable in DDR)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Shortcut / confounder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(image properties; RQ3 extension pending)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More than one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More than one external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(IDRiD planned)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Pre-declared analysis, post-hoc labelled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Systematic literature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Comparison with clinician grading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questions-to-ask-of-any-other-thesis"/>
    <w:p>
      <w:pPr>
        <w:pStyle w:val="Heading1"/>
      </w:pPr>
      <w:r>
        <w:t xml:space="preserve">3. Questions to ask of any other thesis</w:t>
      </w:r>
    </w:p>
    <w:p>
      <w:pPr>
        <w:numPr>
          <w:ilvl w:val="0"/>
          <w:numId w:val="1001"/>
        </w:numPr>
        <w:pStyle w:val="Compact"/>
      </w:pPr>
      <w:r>
        <w:t xml:space="preserve">Was the test set truly unseen: for patients, for images, and for the source dataset?</w:t>
      </w:r>
    </w:p>
    <w:p>
      <w:pPr>
        <w:numPr>
          <w:ilvl w:val="0"/>
          <w:numId w:val="1001"/>
        </w:numPr>
        <w:pStyle w:val="Compact"/>
      </w:pPr>
      <w:r>
        <w:t xml:space="preserve">Was the threshold chosen on validation data, or on the test set?</w:t>
      </w:r>
    </w:p>
    <w:p>
      <w:pPr>
        <w:numPr>
          <w:ilvl w:val="0"/>
          <w:numId w:val="1001"/>
        </w:numPr>
        <w:pStyle w:val="Compact"/>
      </w:pPr>
      <w:r>
        <w:t xml:space="preserve">Are intervals and several seeds reported, or a single run?</w:t>
      </w:r>
    </w:p>
    <w:p>
      <w:pPr>
        <w:numPr>
          <w:ilvl w:val="0"/>
          <w:numId w:val="1001"/>
        </w:numPr>
        <w:pStyle w:val="Compact"/>
      </w:pPr>
      <w:r>
        <w:t xml:space="preserve">Is performance reported per source, or only on one pooled test set?</w:t>
      </w:r>
    </w:p>
    <w:p>
      <w:pPr>
        <w:numPr>
          <w:ilvl w:val="0"/>
          <w:numId w:val="1001"/>
        </w:numPr>
        <w:pStyle w:val="Compact"/>
      </w:pPr>
      <w:r>
        <w:t xml:space="preserve">Could image properties (size, file size, brightness) predict the label without the disease? Was it checked?</w:t>
      </w:r>
    </w:p>
    <w:p>
      <w:pPr>
        <w:numPr>
          <w:ilvl w:val="0"/>
          <w:numId w:val="1001"/>
        </w:numPr>
        <w:pStyle w:val="Compact"/>
      </w:pPr>
      <w:r>
        <w:t xml:space="preserve">If datasets are merged, is there a control showing the model did not learn the source?</w:t>
      </w:r>
    </w:p>
    <w:p>
      <w:pPr>
        <w:numPr>
          <w:ilvl w:val="0"/>
          <w:numId w:val="1001"/>
        </w:numPr>
        <w:pStyle w:val="Compact"/>
      </w:pPr>
      <w:r>
        <w:t xml:space="preserve">Are probabilities calibrated, and does calibration hold on a new source?</w:t>
      </w:r>
    </w:p>
    <w:bookmarkEnd w:id="22"/>
    <w:bookmarkStart w:id="23" w:name="Xd8f36a871331cf37c591f08a5d25c44437015a9"/>
    <w:p>
      <w:pPr>
        <w:pStyle w:val="Heading1"/>
      </w:pPr>
      <w:r>
        <w:t xml:space="preserve">4. What this thesis claims, and what it does not</w:t>
      </w:r>
    </w:p>
    <w:p>
      <w:pPr>
        <w:pStyle w:val="FirstParagraph"/>
      </w:pPr>
      <w:r>
        <w:rPr>
          <w:bCs/>
          <w:b/>
        </w:rPr>
        <w:t xml:space="preserve">Claims (supported by my runs):</w:t>
      </w:r>
      <w:r>
        <w:t xml:space="preserve"> </w:t>
      </w:r>
      <w:r>
        <w:t xml:space="preserve">a naive merge can teach the source, source-balancing helps on unseen patients, in-domain scores are inflated, and calibration and the threshold do not transfer across datasets.</w:t>
      </w:r>
    </w:p>
    <w:p>
      <w:pPr>
        <w:pStyle w:val="BodyText"/>
      </w:pPr>
      <w:r>
        <w:rPr>
          <w:bCs/>
          <w:b/>
        </w:rPr>
        <w:t xml:space="preserve">Does not claim:</w:t>
      </w:r>
      <w:r>
        <w:t xml:space="preserve"> </w:t>
      </w:r>
      <w:r>
        <w:t xml:space="preserve">a new network, better accuracy than published systems, clinical readiness, or first-of-its-kind novelty (not yet verified).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Thesis comparison sheet</dc:title>
  <dc:creator/>
  <cp:keywords/>
  <dcterms:created xsi:type="dcterms:W3CDTF">2026-10-29T04:19:24Z</dcterms:created>
  <dcterms:modified xsi:type="dcterms:W3CDTF">2026-10-29T04:19:24Z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Disease or Source? Testing Merged Datasets for Early Diabetic Retinopathy Detection</vt:lpwstr>
  </property>
</Properties>
</file>