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Disease</w:t>
      </w:r>
      <w:r>
        <w:t xml:space="preserve"> </w:t>
      </w:r>
      <w:r>
        <w:t xml:space="preserve">or</w:t>
      </w:r>
      <w:r>
        <w:t xml:space="preserve"> </w:t>
      </w:r>
      <w:r>
        <w:t xml:space="preserve">Source?</w:t>
      </w:r>
      <w:r>
        <w:t xml:space="preserve"> </w:t>
      </w:r>
      <w:r>
        <w:t xml:space="preserve">Testing</w:t>
      </w:r>
      <w:r>
        <w:t xml:space="preserve"> </w:t>
      </w:r>
      <w:r>
        <w:t xml:space="preserve">Merged</w:t>
      </w:r>
      <w:r>
        <w:t xml:space="preserve"> </w:t>
      </w:r>
      <w:r>
        <w:t xml:space="preserve">Datasets</w:t>
      </w:r>
      <w:r>
        <w:t xml:space="preserve"> </w:t>
      </w:r>
      <w:r>
        <w:t xml:space="preserve">for</w:t>
      </w:r>
      <w:r>
        <w:t xml:space="preserve"> </w:t>
      </w:r>
      <w:r>
        <w:t xml:space="preserve">Early</w:t>
      </w:r>
      <w:r>
        <w:t xml:space="preserve"> </w:t>
      </w:r>
      <w:r>
        <w:t xml:space="preserve">Diabetic</w:t>
      </w:r>
      <w:r>
        <w:t xml:space="preserve"> </w:t>
      </w:r>
      <w:r>
        <w:t xml:space="preserve">Retinopathy</w:t>
      </w:r>
      <w:r>
        <w:t xml:space="preserve"> </w:t>
      </w:r>
      <w:r>
        <w:t xml:space="preserve">Detection</w:t>
      </w:r>
    </w:p>
    <w:p>
      <w:pPr>
        <w:pStyle w:val="Subtitle"/>
      </w:pPr>
      <w:r>
        <w:t xml:space="preserve">Progress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Advisor:</w:t>
      </w:r>
      <w:r>
        <w:t xml:space="preserve"> </w:t>
      </w:r>
      <w:r>
        <w:t xml:space="preserve">Navid</w:t>
      </w:r>
      <w:r>
        <w:t xml:space="preserve"> </w:t>
      </w:r>
      <w:r>
        <w:t xml:space="preserve">Amini,</w:t>
      </w:r>
      <w:r>
        <w:t xml:space="preserve"> </w:t>
      </w:r>
      <w:r>
        <w:t xml:space="preserve">PhD,</w:t>
      </w:r>
      <w:r>
        <w:t xml:space="preserve"> </w:t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Computer</w:t>
      </w:r>
      <w:r>
        <w:t xml:space="preserve"> </w:t>
      </w:r>
      <w:r>
        <w:t xml:space="preserve">Science,</w:t>
      </w:r>
      <w:r>
        <w:t xml:space="preserve"> </w:t>
      </w:r>
      <w:r>
        <w:t xml:space="preserve">Cal</w:t>
      </w:r>
      <w:r>
        <w:t xml:space="preserve"> </w:t>
      </w:r>
      <w:r>
        <w:t xml:space="preserve">State</w:t>
      </w:r>
      <w:r>
        <w:t xml:space="preserve"> </w:t>
      </w:r>
      <w:r>
        <w:t xml:space="preserve">LA</w:t>
      </w:r>
    </w:p>
    <w:bookmarkStart w:id="20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This project asks whether models trained on merged diabetic retinopathy (DR) datasets learn the disease or the dataset they came from, for early DR (grades 1-2 versus No DR) at a fixed specificity. The full pipeline runs on Kaggle with three public datasets (DDR, EyePACS, APTOS). Results so far show that a naive merge teaches the source, that a source-balanced merge helps on unseen patients, and that in-domain scores are optimistic. Items marked</w:t>
      </w:r>
      <w:r>
        <w:t xml:space="preserve"> </w:t>
      </w:r>
      <w:r>
        <w:rPr>
          <w:bCs/>
          <w:b/>
        </w:rPr>
        <w:t xml:space="preserve">[FILL]</w:t>
      </w:r>
      <w:r>
        <w:t xml:space="preserve"> </w:t>
      </w:r>
      <w:r>
        <w:t xml:space="preserve">depend on the five-seed run and must be completed before submitting.</w:t>
      </w:r>
    </w:p>
    <w:bookmarkEnd w:id="20"/>
    <w:bookmarkStart w:id="21" w:name="problem-and-gap"/>
    <w:p>
      <w:pPr>
        <w:pStyle w:val="Heading1"/>
      </w:pPr>
      <w:r>
        <w:t xml:space="preserve">2. Problem and gap</w:t>
      </w:r>
    </w:p>
    <w:p>
      <w:pPr>
        <w:numPr>
          <w:ilvl w:val="0"/>
          <w:numId w:val="1001"/>
        </w:numPr>
        <w:pStyle w:val="Compact"/>
      </w:pPr>
      <w:r>
        <w:t xml:space="preserve">Early DR (grades 1-2) is symptomless and under-studied; much well-known work targets referable DR (moderate or worse).</w:t>
      </w:r>
    </w:p>
    <w:p>
      <w:pPr>
        <w:numPr>
          <w:ilvl w:val="0"/>
          <w:numId w:val="1001"/>
        </w:numPr>
        <w:pStyle w:val="Compact"/>
      </w:pPr>
      <w:r>
        <w:t xml:space="preserve">Public datasets are often pooled; a 2025 review notes that multi-dataset training can mask poor external generalization.</w:t>
      </w:r>
    </w:p>
    <w:p>
      <w:pPr>
        <w:numPr>
          <w:ilvl w:val="0"/>
          <w:numId w:val="1001"/>
        </w:numPr>
        <w:pStyle w:val="Compact"/>
      </w:pPr>
      <w:r>
        <w:t xml:space="preserve">In three quick searches I found no study that tests whether a merged model learns the disease or the source, or that reports early-DR sensitivity at a pre-set specificity. A systematic literature search is still to do, so this is not a novelty claim.</w:t>
      </w:r>
    </w:p>
    <w:bookmarkEnd w:id="21"/>
    <w:bookmarkStart w:id="22" w:name="research-questions"/>
    <w:p>
      <w:pPr>
        <w:pStyle w:val="Heading1"/>
      </w:pPr>
      <w:r>
        <w:t xml:space="preserve">3. Research questions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Main:</w:t>
      </w:r>
      <w:r>
        <w:t xml:space="preserve"> </w:t>
      </w:r>
      <w:r>
        <w:t xml:space="preserve">when datasets are merged for early-DR detection, does the model learn the disease or the source?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RQ1:</w:t>
      </w:r>
      <w:r>
        <w:t xml:space="preserve"> </w:t>
      </w:r>
      <w:r>
        <w:t xml:space="preserve">does adding EyePACS to DDR improve early-DR sensitivity at a fixed specificity on unseen sources?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RQ2:</w:t>
      </w:r>
      <w:r>
        <w:t xml:space="preserve"> </w:t>
      </w:r>
      <w:r>
        <w:t xml:space="preserve">does a threshold frozen on validation survive a change of source?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RQ3:</w:t>
      </w:r>
      <w:r>
        <w:t xml:space="preserve"> </w:t>
      </w:r>
      <w:r>
        <w:t xml:space="preserve">do external benchmarks carry capture cues, such as image size, that a model could use instead of disease?</w:t>
      </w:r>
    </w:p>
    <w:bookmarkEnd w:id="22"/>
    <w:bookmarkStart w:id="23" w:name="method"/>
    <w:p>
      <w:pPr>
        <w:pStyle w:val="Heading1"/>
      </w:pPr>
      <w:r>
        <w:t xml:space="preserve">4. Method</w:t>
      </w:r>
    </w:p>
    <w:p>
      <w:pPr>
        <w:pStyle w:val="FirstParagraph"/>
      </w:pPr>
      <w:r>
        <w:rPr>
          <w:bCs/>
          <w:b/>
        </w:rPr>
        <w:t xml:space="preserve">Data arms</w:t>
      </w:r>
      <w:r>
        <w:t xml:space="preserve"> </w:t>
      </w:r>
      <w:r>
        <w:t xml:space="preserve">(everything else identical: EfficientNet-B0, 512 px, ten epochs, frozen splits, seeds):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DDR + all EyePACS grades, source-balanced within each 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more data help without teaching the source?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DDR + EyePACS grades 1, 3 and 4 only (old merge)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Deliberately flawed negative control</w:t>
            </w:r>
          </w:p>
        </w:tc>
      </w:tr>
    </w:tbl>
    <w:p>
      <w:pPr>
        <w:pStyle w:val="BodyText"/>
      </w:pPr>
      <w:r>
        <w:rPr>
          <w:bCs/>
          <w:b/>
        </w:rPr>
        <w:t xml:space="preserve">Splits.</w:t>
      </w:r>
      <w:r>
        <w:t xml:space="preserve"> </w:t>
      </w:r>
      <w:r>
        <w:t xml:space="preserve">DDR: 7,454 / 2,552 / 2,516 (random 60/20/20; no patient IDs; a group-aware version was also built). EyePACS: 24,572 / 5,266 / 5,270, split by patient. APTOS (3,662 images): external test only.</w:t>
      </w:r>
    </w:p>
    <w:p>
      <w:pPr>
        <w:pStyle w:val="BodyText"/>
      </w:pPr>
      <w:r>
        <w:rPr>
          <w:bCs/>
          <w:b/>
        </w:rPr>
        <w:t xml:space="preserve">Calibration.</w:t>
      </w:r>
      <w:r>
        <w:t xml:space="preserve"> </w:t>
      </w:r>
      <w:r>
        <w:t xml:space="preserve">Temperature scaling and prior-shift correction fitted on validation; threshold frozen at specificity 0.90; test sets opened only through a declared analysis. Post-hoc analyses are labelled.</w:t>
      </w:r>
    </w:p>
    <w:bookmarkEnd w:id="23"/>
    <w:bookmarkStart w:id="27" w:name="progress-to-date"/>
    <w:p>
      <w:pPr>
        <w:pStyle w:val="Heading1"/>
      </w:pPr>
      <w:r>
        <w:t xml:space="preserve">5. Progress to date</w:t>
      </w:r>
    </w:p>
    <w:bookmarkStart w:id="24" w:name="completed"/>
    <w:p>
      <w:pPr>
        <w:pStyle w:val="Heading2"/>
      </w:pPr>
      <w:r>
        <w:t xml:space="preserve">5.1 Completed</w:t>
      </w:r>
    </w:p>
    <w:p>
      <w:pPr>
        <w:numPr>
          <w:ilvl w:val="0"/>
          <w:numId w:val="1003"/>
        </w:numPr>
        <w:pStyle w:val="Compact"/>
      </w:pPr>
      <w:r>
        <w:t xml:space="preserve">Data audit and Kaggle pipeline (prepare, train, calibrate, evaluate, plot).</w:t>
      </w:r>
    </w:p>
    <w:p>
      <w:pPr>
        <w:numPr>
          <w:ilvl w:val="0"/>
          <w:numId w:val="1003"/>
        </w:numPr>
        <w:pStyle w:val="Compact"/>
      </w:pPr>
      <w:r>
        <w:t xml:space="preserve">Arms A, B and C: original run with three seeds; group-split run with five seeds</w:t>
      </w:r>
      <w:r>
        <w:t xml:space="preserve"> </w:t>
      </w:r>
      <w:r>
        <w:rPr>
          <w:bCs/>
          <w:b/>
        </w:rPr>
        <w:t xml:space="preserve">[FILL: confirm completed]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Internal (DDR, held-out EyePACS patients) and external (APTOS) evaluation.</w:t>
      </w:r>
    </w:p>
    <w:p>
      <w:pPr>
        <w:numPr>
          <w:ilvl w:val="0"/>
          <w:numId w:val="1003"/>
        </w:numPr>
        <w:pStyle w:val="Compact"/>
      </w:pPr>
      <w:r>
        <w:t xml:space="preserve">Fourteen imbalance runs (sampler, loss, augmentation) and three extensions.</w:t>
      </w:r>
    </w:p>
    <w:p>
      <w:pPr>
        <w:numPr>
          <w:ilvl w:val="0"/>
          <w:numId w:val="1003"/>
        </w:numPr>
        <w:pStyle w:val="Compact"/>
      </w:pPr>
      <w:r>
        <w:t xml:space="preserve">Four diagnostic checks (Section 5.3).</w:t>
      </w:r>
    </w:p>
    <w:bookmarkEnd w:id="24"/>
    <w:bookmarkStart w:id="25" w:name="results-original-run-three-seeds"/>
    <w:p>
      <w:pPr>
        <w:pStyle w:val="Heading2"/>
      </w:pPr>
      <w:r>
        <w:t xml:space="preserve">5.2 Results (original run, three seeds)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DDR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0.93 at specificity 0.91 for all arms; adding EyePACS did not improve DDR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Held-out EyePACS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frozen threshold gives specificity 0.39 (A), 0.89 (B), 0.013 (C): arm C flags 99% of healthy images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APTOS (external)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AUROC 0.994-0.995 for all arms, but specificity at the frozen threshold is 0.46 (A), 0.83 (B), 0.24 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 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2 is easy (AUROC 0.98-0.999); grade 1 is harder off-domain (EyePACS 0.61 A, 0.77 B, 0.63 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Imbalance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method beat plain cross-entropy beyond seed noise (best 0.9772 vs baseline 0.9761)</w:t>
            </w:r>
          </w:p>
        </w:tc>
      </w:tr>
    </w:tbl>
    <w:p>
      <w:pPr>
        <w:pStyle w:val="BodyText"/>
      </w:pPr>
      <w:r>
        <w:rPr>
          <w:bCs/>
          <w:b/>
        </w:rPr>
        <w:t xml:space="preserve">Five-seed results</w:t>
      </w:r>
      <w:r>
        <w:t xml:space="preserve"> </w:t>
      </w:r>
      <w:r>
        <w:t xml:space="preserve">(mean and 95% patient-level bootstrap interval, group-split models)</w:t>
      </w:r>
      <w:r>
        <w:t xml:space="preserve"> </w:t>
      </w:r>
      <w:r>
        <w:rPr>
          <w:bCs/>
          <w:b/>
        </w:rPr>
        <w:t xml:space="preserve">[FILL from the evaluation output]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 DDR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B: source-balanced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C: old merge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DDR: sensitivity at specificity 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EyePACS: AUROC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EyePACS: specificity at frozen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APTOS: AUROC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EyePACS: ECE and Brier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5"/>
    <w:bookmarkStart w:id="26" w:name="diagnostic-checks"/>
    <w:p>
      <w:pPr>
        <w:pStyle w:val="Heading2"/>
      </w:pPr>
      <w:r>
        <w:t xml:space="preserve">5.3 Diagnostic checks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Duplicates.</w:t>
      </w:r>
      <w:r>
        <w:t xml:space="preserve"> </w:t>
      </w:r>
      <w:r>
        <w:t xml:space="preserve">834 candidate groups; 4% of DDR test images had a near-duplicate in train. A group-aware split removed it and test results did not change beyond seed noise.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Image properties.</w:t>
      </w:r>
      <w:r>
        <w:t xml:space="preserve"> </w:t>
      </w:r>
      <w:r>
        <w:t xml:space="preserve">Image size alone predicts early DR at AUROC 0.96 in APTOS, 0.58 in DDR and 0.53 in EyePACS, so APTOS is camera-confounded and EyePACS is the cleanest benchmark. Within groups of APTOS images of the same size the models still score AUROC 0.984-0.989 (post-hoc), so size alone does not explain the APTOS score.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Strong augmentation.</w:t>
      </w:r>
      <w:r>
        <w:t xml:space="preserve"> </w:t>
      </w:r>
      <w:r>
        <w:t xml:space="preserve">The failure was a BatchNorm train/eval mismatch from the noise and blur part. Geometric augmentation on all classes scores 0.977; on minority classes only it scores 0.834, because it leaks the label.</w:t>
      </w:r>
    </w:p>
    <w:bookmarkEnd w:id="26"/>
    <w:bookmarkEnd w:id="27"/>
    <w:bookmarkStart w:id="28" w:name="limitations"/>
    <w:p>
      <w:pPr>
        <w:pStyle w:val="Heading1"/>
      </w:pPr>
      <w:r>
        <w:t xml:space="preserve">6. Limitations</w:t>
      </w:r>
    </w:p>
    <w:p>
      <w:pPr>
        <w:numPr>
          <w:ilvl w:val="0"/>
          <w:numId w:val="1005"/>
        </w:numPr>
        <w:pStyle w:val="Compact"/>
      </w:pPr>
      <w:r>
        <w:t xml:space="preserve">The frozen threshold does not transfer across datasets, so sensitivity alone is misleading off-domain; compare AUROC.</w:t>
      </w:r>
    </w:p>
    <w:p>
      <w:pPr>
        <w:numPr>
          <w:ilvl w:val="0"/>
          <w:numId w:val="1005"/>
        </w:numPr>
        <w:pStyle w:val="Compact"/>
      </w:pPr>
      <w:r>
        <w:t xml:space="preserve">APTOS may carry other capture cues beyond image size.</w:t>
      </w:r>
    </w:p>
    <w:p>
      <w:pPr>
        <w:numPr>
          <w:ilvl w:val="0"/>
          <w:numId w:val="1005"/>
        </w:numPr>
        <w:pStyle w:val="Compact"/>
      </w:pPr>
      <w:r>
        <w:t xml:space="preserve">DDR has no patient IDs, so same-patient leakage cannot be tested.</w:t>
      </w:r>
    </w:p>
    <w:p>
      <w:pPr>
        <w:numPr>
          <w:ilvl w:val="0"/>
          <w:numId w:val="1005"/>
        </w:numPr>
        <w:pStyle w:val="Compact"/>
      </w:pPr>
      <w:r>
        <w:t xml:space="preserve">Per-grade, specificity and image-size analyses were added after seeing the data and are post-hoc.</w:t>
      </w:r>
    </w:p>
    <w:p>
      <w:pPr>
        <w:numPr>
          <w:ilvl w:val="0"/>
          <w:numId w:val="1005"/>
        </w:numPr>
        <w:pStyle w:val="Compact"/>
      </w:pPr>
      <w:r>
        <w:t xml:space="preserve">Novelty claims depend on a literature search that is not yet done.</w:t>
      </w:r>
    </w:p>
    <w:bookmarkEnd w:id="28"/>
    <w:bookmarkStart w:id="29" w:name="remaining-work"/>
    <w:p>
      <w:pPr>
        <w:pStyle w:val="Heading1"/>
      </w:pPr>
      <w:r>
        <w:t xml:space="preserve">7. Remaining work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Own-source operating points (post-hoc)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Matched-subset check on APTOS (other capture cues)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geometric augmentation on all classes; keep minority-only as the cue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Systematic literature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Thesis 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do</w:t>
            </w:r>
          </w:p>
        </w:tc>
      </w:tr>
    </w:tbl>
    <w:bookmarkEnd w:id="29"/>
    <w:bookmarkStart w:id="3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Key sources: International Diabetes Federation,</w:t>
      </w:r>
      <w:r>
        <w:t xml:space="preserve"> </w:t>
      </w:r>
      <w:r>
        <w:rPr>
          <w:iCs/>
          <w:i/>
        </w:rPr>
        <w:t xml:space="preserve">IDF Diabetes Atlas</w:t>
      </w:r>
      <w:r>
        <w:t xml:space="preserve">, 11th ed., 2025. Gulshan, V., et al.,</w:t>
      </w:r>
      <w:r>
        <w:t xml:space="preserve"> </w:t>
      </w:r>
      <w:r>
        <w:rPr>
          <w:iCs/>
          <w:i/>
        </w:rPr>
        <w:t xml:space="preserve">JAMA</w:t>
      </w:r>
      <w:r>
        <w:t xml:space="preserve">, 2016. Li, T., et al., DDR dataset,</w:t>
      </w:r>
      <w:r>
        <w:t xml:space="preserve"> </w:t>
      </w:r>
      <w:r>
        <w:rPr>
          <w:iCs/>
          <w:i/>
        </w:rPr>
        <w:t xml:space="preserve">Information Sciences</w:t>
      </w:r>
      <w:r>
        <w:t xml:space="preserve">, 2019. Kaggle EyePACS (2015) and APTOS 2019. Guo, C., et al., On calibration of modern neural networks, ICML, 2017. Tan, M., &amp; Le, Q., EfficientNet, ICML, 2019.</w:t>
      </w:r>
      <w:r>
        <w:t xml:space="preserve"> </w:t>
      </w:r>
      <w:r>
        <w:rPr>
          <w:iCs/>
          <w:i/>
        </w:rPr>
        <w:t xml:space="preserve">From Retinal Pixels to Patients: Evolution of Deep Learning Research in Diabetic Retinopathy Screening</w:t>
      </w:r>
      <w:r>
        <w:t xml:space="preserve">, arXiv:2511.11065, 2025.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Disease or Source? Testing Merged Datasets for Early Diabetic Retinopathy Detection</dc:title>
  <dc:creator>Advisor: Navid Amini, PhD, Department of Computer Science, Cal State LA</dc:creator>
  <cp:keywords/>
  <dcterms:created xsi:type="dcterms:W3CDTF">2026-10-28T18:26:21Z</dcterms:created>
  <dcterms:modified xsi:type="dcterms:W3CDTF">2026-10-28T18:26:21Z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Progress report</vt:lpwstr>
  </property>
</Properties>
</file>