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F2937"/>
          <w:sz w:val="48"/>
        </w:rPr>
        <w:t>SG-ACO Experiments</w:t>
      </w:r>
    </w:p>
    <w:p/>
    <w:p>
      <w:pPr>
        <w:spacing w:after="120"/>
      </w:pPr>
      <w:r>
        <w:t xml:space="preserve">This repository contains the code, benchmark metadata, run outputs, statistical tests, and figures for the experimental study of </w:t>
      </w:r>
      <w:r>
        <w:rPr>
          <w:b/>
        </w:rPr>
        <w:t>SHAP-Guided Ant Colony Optimization (SG-ACO)</w:t>
      </w:r>
      <w:r>
        <w:t xml:space="preserve"> for the Job-Shop Scheduling Problem (JSSP).</w:t>
      </w:r>
    </w:p>
    <w:p>
      <w:pPr>
        <w:spacing w:after="120"/>
      </w:pPr>
      <w:r>
        <w:t>SG-ACO uses a gradient-boosted surrogate model and signed TreeSHAP feature attributions to guide the construction heuristic inside Ant Colony Optimization. The experiments compare SG-ACO against standard ACO variants, tabu search, and deterministic dispatching rules on named public JSSP benchmark instances.</w:t>
      </w:r>
    </w:p>
    <w:p>
      <w:pPr>
        <w:pStyle w:val="Heading1"/>
      </w:pPr>
      <w:r>
        <w:t>Repository contents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File</w:t>
            </w:r>
          </w:p>
        </w:tc>
        <w:tc>
          <w:tcPr>
            <w:tcW w:type="dxa" w:w="5184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engine.py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JSSP decoder, feature extraction, schedule construction, dispatching rules, ACO kernels, and tabu search.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methods.py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SG-ACO method logic: corpus generation, surrogate training, TreeSHAP signed weights, and ACO variants.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run_resumable.py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Resumable experiment runner for the full stochastic grid.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analyze.py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Generates summary tables, statistical tests, ablation results, timing tables, and figures.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make_report.py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Produces a manuscript-ready experimental report from the generated outputs.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instances.json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Benchmark metadata, sizes, best-known/optimal values, and expected instance paths.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inst_info.json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Per-instance surrogate information, corpus best values, training sizes, timings, and SHAP weights.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results.csv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Per-run results for each instance, method, and seed.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summary.csv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Per-instance summary statistics: mean, standard deviation, minimum, and BKS gap.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wilcoxon.csv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Per-instance Wilcoxon signed-rank tests with Holm correction.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wilcoxon_pooled.csv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Pooled Wilcoxon tests over BKS-normalized paired blocks.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friedman.json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Friedman test statistic, p-value, number of blocks, and average ranks.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nemenyi.csv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Nemenyi post-hoc p-values.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ablation.csv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Signed-SHAP vs magnitude-only SHAP ablation results.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timings.csv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Raw SG-ACO timing outputs.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treeshap_timing.csv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Aggregated TreeSHAP refresh-cost table.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fig_gap.png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Percentage gap to the best-known solution by instance and method.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fig_conv.png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Mean convergence curves for FT10 and TA01.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8"/>
              </w:rPr>
              <w:t>fig_weights.png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Signed TreeSHAP feature weights by instance.</w:t>
            </w:r>
          </w:p>
        </w:tc>
      </w:tr>
    </w:tbl>
    <w:p/>
    <w:p>
      <w:pPr>
        <w:pStyle w:val="Heading1"/>
      </w:pPr>
      <w:r>
        <w:t>Benchmark instances</w:t>
      </w:r>
    </w:p>
    <w:p>
      <w:pPr>
        <w:spacing w:after="120"/>
      </w:pPr>
      <w:r>
        <w:t>The main experiments use ten named public JSSP benchmark instances with published best-known or optimal makespans:</w:t>
      </w:r>
    </w:p>
    <w:p>
      <w:pPr>
        <w:spacing w:after="120"/>
      </w:pPr>
      <w:r>
        <w:rPr>
          <w:rFonts w:ascii="Consolas" w:hAnsi="Consolas"/>
          <w:color w:val="464646"/>
          <w:sz w:val="18"/>
        </w:rPr>
        <w:t>FT06</w:t>
      </w:r>
      <w:r>
        <w:t xml:space="preserve">, </w:t>
      </w:r>
      <w:r>
        <w:rPr>
          <w:rFonts w:ascii="Consolas" w:hAnsi="Consolas"/>
          <w:color w:val="464646"/>
          <w:sz w:val="18"/>
        </w:rPr>
        <w:t>LA01</w:t>
      </w:r>
      <w:r>
        <w:t xml:space="preserve">, </w:t>
      </w:r>
      <w:r>
        <w:rPr>
          <w:rFonts w:ascii="Consolas" w:hAnsi="Consolas"/>
          <w:color w:val="464646"/>
          <w:sz w:val="18"/>
        </w:rPr>
        <w:t>LA02</w:t>
      </w:r>
      <w:r>
        <w:t xml:space="preserve">, </w:t>
      </w:r>
      <w:r>
        <w:rPr>
          <w:rFonts w:ascii="Consolas" w:hAnsi="Consolas"/>
          <w:color w:val="464646"/>
          <w:sz w:val="18"/>
        </w:rPr>
        <w:t>LA03</w:t>
      </w:r>
      <w:r>
        <w:t xml:space="preserve">, </w:t>
      </w:r>
      <w:r>
        <w:rPr>
          <w:rFonts w:ascii="Consolas" w:hAnsi="Consolas"/>
          <w:color w:val="464646"/>
          <w:sz w:val="18"/>
        </w:rPr>
        <w:t>LA04</w:t>
      </w:r>
      <w:r>
        <w:t xml:space="preserve">, </w:t>
      </w:r>
      <w:r>
        <w:rPr>
          <w:rFonts w:ascii="Consolas" w:hAnsi="Consolas"/>
          <w:color w:val="464646"/>
          <w:sz w:val="18"/>
        </w:rPr>
        <w:t>LA05</w:t>
      </w:r>
      <w:r>
        <w:t xml:space="preserve">, </w:t>
      </w:r>
      <w:r>
        <w:rPr>
          <w:rFonts w:ascii="Consolas" w:hAnsi="Consolas"/>
          <w:color w:val="464646"/>
          <w:sz w:val="18"/>
        </w:rPr>
        <w:t>FT10</w:t>
      </w:r>
      <w:r>
        <w:t xml:space="preserve">, </w:t>
      </w:r>
      <w:r>
        <w:rPr>
          <w:rFonts w:ascii="Consolas" w:hAnsi="Consolas"/>
          <w:color w:val="464646"/>
          <w:sz w:val="18"/>
        </w:rPr>
        <w:t>ABZ5</w:t>
      </w:r>
      <w:r>
        <w:t xml:space="preserve">, </w:t>
      </w:r>
      <w:r>
        <w:rPr>
          <w:rFonts w:ascii="Consolas" w:hAnsi="Consolas"/>
          <w:color w:val="464646"/>
          <w:sz w:val="18"/>
        </w:rPr>
        <w:t>ORB01</w:t>
      </w:r>
      <w:r>
        <w:t xml:space="preserve">, and </w:t>
      </w:r>
      <w:r>
        <w:rPr>
          <w:rFonts w:ascii="Consolas" w:hAnsi="Consolas"/>
          <w:color w:val="464646"/>
          <w:sz w:val="18"/>
        </w:rPr>
        <w:t>TA01</w:t>
      </w:r>
      <w:r>
        <w:t>.</w:t>
      </w:r>
    </w:p>
    <w:p>
      <w:pPr>
        <w:spacing w:after="120"/>
      </w:pPr>
      <w:r>
        <w:t xml:space="preserve">Instance metadata are stored in </w:t>
      </w:r>
      <w:r>
        <w:rPr>
          <w:rFonts w:ascii="Consolas" w:hAnsi="Consolas"/>
          <w:color w:val="464646"/>
          <w:sz w:val="18"/>
        </w:rPr>
        <w:t>instances.json</w:t>
      </w:r>
      <w:r>
        <w:t>. The expected raw instance files should be placed under: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>instances/&lt;instance_name&gt;</w:t>
      </w:r>
    </w:p>
    <w:p>
      <w:pPr>
        <w:spacing w:after="120"/>
      </w:pPr>
      <w:r>
        <w:t>For example: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>instances/ft06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>instances/la01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>instances/ta01</w:t>
      </w:r>
    </w:p>
    <w:p>
      <w:pPr>
        <w:spacing w:after="120"/>
      </w:pPr>
      <w:r>
        <w:t>The Fisher–Thompson FT06 instance is available from Beasley’s OR-Library. Taillard-format instances should be generated or stored using the fixed seeds and paths reported in the study so that the experiments are exactly reproducible.</w:t>
      </w:r>
    </w:p>
    <w:p>
      <w:pPr>
        <w:pStyle w:val="Heading1"/>
      </w:pPr>
      <w:r>
        <w:t>Experimental setup</w:t>
      </w:r>
    </w:p>
    <w:p>
      <w:pPr>
        <w:spacing w:after="120"/>
      </w:pPr>
      <w:r>
        <w:t>The stochastic methods are evaluated with the same budget:</w:t>
      </w:r>
    </w:p>
    <w:p>
      <w:pPr>
        <w:pStyle w:val="ListBullet"/>
      </w:pPr>
      <w:r>
        <w:t>25 independent seeds per stochastic method</w:t>
      </w:r>
    </w:p>
    <w:p>
      <w:pPr>
        <w:pStyle w:val="ListBullet"/>
      </w:pPr>
      <w:r>
        <w:t>12 ants × 250 iterations = 3000 schedule evaluations per ACO run</w:t>
      </w:r>
    </w:p>
    <w:p>
      <w:pPr>
        <w:pStyle w:val="ListBullet"/>
      </w:pPr>
      <w:r>
        <w:t>3000 neighbor evaluations for tabu search</w:t>
      </w:r>
    </w:p>
    <w:p>
      <w:pPr>
        <w:pStyle w:val="ListBullet"/>
      </w:pPr>
      <w:r>
        <w:t xml:space="preserve">SG-ACO refresh interval </w:t>
      </w:r>
      <w:r>
        <w:rPr>
          <w:rFonts w:ascii="Consolas" w:hAnsi="Consolas"/>
          <w:color w:val="464646"/>
          <w:sz w:val="18"/>
        </w:rPr>
        <w:t>G = 25</w:t>
      </w:r>
    </w:p>
    <w:p>
      <w:pPr>
        <w:pStyle w:val="ListBullet"/>
      </w:pPr>
      <w:r>
        <w:t xml:space="preserve">ACO parameters: </w:t>
      </w:r>
      <w:r>
        <w:rPr>
          <w:rFonts w:ascii="Consolas" w:hAnsi="Consolas"/>
          <w:color w:val="464646"/>
          <w:sz w:val="18"/>
        </w:rPr>
        <w:t>alpha = 1</w:t>
      </w:r>
      <w:r>
        <w:t xml:space="preserve">, </w:t>
      </w:r>
      <w:r>
        <w:rPr>
          <w:rFonts w:ascii="Consolas" w:hAnsi="Consolas"/>
          <w:color w:val="464646"/>
          <w:sz w:val="18"/>
        </w:rPr>
        <w:t>beta = 2</w:t>
      </w:r>
      <w:r>
        <w:t xml:space="preserve">, </w:t>
      </w:r>
      <w:r>
        <w:rPr>
          <w:rFonts w:ascii="Consolas" w:hAnsi="Consolas"/>
          <w:color w:val="464646"/>
          <w:sz w:val="18"/>
        </w:rPr>
        <w:t>rho = 0.1</w:t>
      </w:r>
      <w:r>
        <w:t xml:space="preserve">, </w:t>
      </w:r>
      <w:r>
        <w:rPr>
          <w:rFonts w:ascii="Consolas" w:hAnsi="Consolas"/>
          <w:color w:val="464646"/>
          <w:sz w:val="18"/>
        </w:rPr>
        <w:t>lambda = 1</w:t>
      </w:r>
    </w:p>
    <w:p>
      <w:pPr>
        <w:spacing w:after="120"/>
      </w:pPr>
      <w:r>
        <w:t>Compared methods:</w:t>
      </w:r>
    </w:p>
    <w:p>
      <w:pPr>
        <w:pStyle w:val="ListBullet"/>
      </w:pPr>
      <w:r>
        <w:t>Standard ACO / Ant System (</w:t>
      </w:r>
      <w:r>
        <w:rPr>
          <w:rFonts w:ascii="Consolas" w:hAnsi="Consolas"/>
          <w:color w:val="464646"/>
          <w:sz w:val="18"/>
        </w:rPr>
        <w:t>AS-std</w:t>
      </w:r>
      <w:r>
        <w:t>)</w:t>
      </w:r>
    </w:p>
    <w:p>
      <w:pPr>
        <w:pStyle w:val="ListBullet"/>
      </w:pPr>
      <w:r>
        <w:t>MAX-MIN Ant System (</w:t>
      </w:r>
      <w:r>
        <w:rPr>
          <w:rFonts w:ascii="Consolas" w:hAnsi="Consolas"/>
          <w:color w:val="464646"/>
          <w:sz w:val="18"/>
        </w:rPr>
        <w:t>MMAS</w:t>
      </w:r>
      <w:r>
        <w:t>)</w:t>
      </w:r>
    </w:p>
    <w:p>
      <w:pPr>
        <w:pStyle w:val="ListBullet"/>
      </w:pPr>
      <w:r>
        <w:t>Ant Colony System (</w:t>
      </w:r>
      <w:r>
        <w:rPr>
          <w:rFonts w:ascii="Consolas" w:hAnsi="Consolas"/>
          <w:color w:val="464646"/>
          <w:sz w:val="18"/>
        </w:rPr>
        <w:t>ACS</w:t>
      </w:r>
      <w:r>
        <w:t>)</w:t>
      </w:r>
    </w:p>
    <w:p>
      <w:pPr>
        <w:pStyle w:val="ListBullet"/>
      </w:pPr>
      <w:r>
        <w:t>Tabu search (</w:t>
      </w:r>
      <w:r>
        <w:rPr>
          <w:rFonts w:ascii="Consolas" w:hAnsi="Consolas"/>
          <w:color w:val="464646"/>
          <w:sz w:val="18"/>
        </w:rPr>
        <w:t>Tabu</w:t>
      </w:r>
      <w:r>
        <w:t>)</w:t>
      </w:r>
    </w:p>
    <w:p>
      <w:pPr>
        <w:pStyle w:val="ListBullet"/>
      </w:pPr>
      <w:r>
        <w:t>Offline SHAP-guided ACO (</w:t>
      </w:r>
      <w:r>
        <w:rPr>
          <w:rFonts w:ascii="Consolas" w:hAnsi="Consolas"/>
          <w:color w:val="464646"/>
          <w:sz w:val="18"/>
        </w:rPr>
        <w:t>SHAP-off</w:t>
      </w:r>
      <w:r>
        <w:t>)</w:t>
      </w:r>
    </w:p>
    <w:p>
      <w:pPr>
        <w:pStyle w:val="ListBullet"/>
      </w:pPr>
      <w:r>
        <w:t>Closed-loop SG-ACO (</w:t>
      </w:r>
      <w:r>
        <w:rPr>
          <w:rFonts w:ascii="Consolas" w:hAnsi="Consolas"/>
          <w:color w:val="464646"/>
          <w:sz w:val="18"/>
        </w:rPr>
        <w:t>SG-ACO</w:t>
      </w:r>
      <w:r>
        <w:t>)</w:t>
      </w:r>
    </w:p>
    <w:p>
      <w:pPr>
        <w:pStyle w:val="ListBullet"/>
      </w:pPr>
      <w:r>
        <w:t xml:space="preserve">Deterministic rules: </w:t>
      </w:r>
      <w:r>
        <w:rPr>
          <w:rFonts w:ascii="Consolas" w:hAnsi="Consolas"/>
          <w:color w:val="464646"/>
          <w:sz w:val="18"/>
        </w:rPr>
        <w:t>SPT</w:t>
      </w:r>
      <w:r>
        <w:t xml:space="preserve">, </w:t>
      </w:r>
      <w:r>
        <w:rPr>
          <w:rFonts w:ascii="Consolas" w:hAnsi="Consolas"/>
          <w:color w:val="464646"/>
          <w:sz w:val="18"/>
        </w:rPr>
        <w:t>MWKR</w:t>
      </w:r>
      <w:r>
        <w:t xml:space="preserve">, and </w:t>
      </w:r>
      <w:r>
        <w:rPr>
          <w:rFonts w:ascii="Consolas" w:hAnsi="Consolas"/>
          <w:color w:val="464646"/>
          <w:sz w:val="18"/>
        </w:rPr>
        <w:t>MOR</w:t>
      </w:r>
    </w:p>
    <w:p>
      <w:pPr>
        <w:spacing w:after="120"/>
      </w:pPr>
      <w:r>
        <w:t xml:space="preserve">Because the benchmark instances optimize makespan and do not provide native due dates, the </w:t>
      </w:r>
      <w:r>
        <w:rPr>
          <w:rFonts w:ascii="Consolas" w:hAnsi="Consolas"/>
          <w:color w:val="464646"/>
          <w:sz w:val="18"/>
        </w:rPr>
        <w:t>JobSlack</w:t>
      </w:r>
      <w:r>
        <w:t xml:space="preserve"> feature uses the total-work-content rule: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>d_j = 1.5 × sum of processing times of job j</w:t>
      </w:r>
    </w:p>
    <w:p>
      <w:pPr>
        <w:pStyle w:val="Heading1"/>
      </w:pPr>
      <w:r>
        <w:t>Key figures</w:t>
      </w:r>
    </w:p>
    <w:p>
      <w:pPr>
        <w:pStyle w:val="Heading2"/>
      </w:pPr>
      <w:r>
        <w:t>Percentage gap to best-known solution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g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8"/>
        </w:rPr>
        <w:t>Percentage gap to best-known solution</w:t>
      </w:r>
    </w:p>
    <w:p>
      <w:pPr>
        <w:pStyle w:val="Heading2"/>
      </w:pPr>
      <w:r>
        <w:t>Convergence on FT10 and TA01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113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nv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3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8"/>
        </w:rPr>
        <w:t>Convergence curves</w:t>
      </w:r>
    </w:p>
    <w:p>
      <w:pPr>
        <w:pStyle w:val="Heading2"/>
      </w:pPr>
      <w:r>
        <w:t>Signed TreeSHAP feature weights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8529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weigh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8"/>
        </w:rPr>
        <w:t>Signed TreeSHAP weights</w:t>
      </w:r>
    </w:p>
    <w:p>
      <w:pPr>
        <w:pStyle w:val="Heading1"/>
      </w:pPr>
      <w:r>
        <w:t>Summary of main results</w:t>
      </w:r>
    </w:p>
    <w:p>
      <w:pPr>
        <w:spacing w:after="120"/>
      </w:pPr>
      <w:r>
        <w:t>Average percentage gap to the best-known solution across the ten main instances: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Method</w:t>
            </w:r>
          </w:p>
        </w:tc>
        <w:tc>
          <w:tcPr>
            <w:tcW w:type="dxa" w:w="5184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Mean gap (%)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Standard ACO (AS)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44.37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MAX-MIN Ant System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40.83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Ant Colony System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47.32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Tabu search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28.84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SHAP-ACO (offline)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40.65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SG-ACO (closed loop)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39.55</w:t>
            </w:r>
          </w:p>
        </w:tc>
      </w:tr>
    </w:tbl>
    <w:p/>
    <w:p>
      <w:pPr>
        <w:spacing w:after="120"/>
      </w:pPr>
      <w:r>
        <w:t>The Friedman test over 250 BKS-normalized paired blocks rejects equal performance across the six stochastic methods: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>chi-square = 187.71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>p-value    = 1.21e-38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>blocks     = 250</w:t>
      </w:r>
    </w:p>
    <w:p>
      <w:pPr>
        <w:spacing w:after="120"/>
      </w:pPr>
      <w:r>
        <w:t>Average Friedman ranks, where lower is better: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Method</w:t>
            </w:r>
          </w:p>
        </w:tc>
        <w:tc>
          <w:tcPr>
            <w:tcW w:type="dxa" w:w="5184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Average rank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Tabu search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2.394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SG-ACO (closed loop)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3.180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SHAP-ACO (offline)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3.378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MAX-MIN Ant System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3.620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Ant Colony System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3.888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Standard ACO (AS)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4.540</w:t>
            </w:r>
          </w:p>
        </w:tc>
      </w:tr>
    </w:tbl>
    <w:p/>
    <w:p>
      <w:pPr>
        <w:spacing w:after="120"/>
      </w:pPr>
      <w:r>
        <w:t>These results support the narrower claim that signed explanation-derived guidance improves the ACO family under the tested budget, while tabu search remains the strongest baseline overall on the larger instances.</w:t>
      </w:r>
    </w:p>
    <w:p>
      <w:pPr>
        <w:pStyle w:val="Heading1"/>
      </w:pPr>
      <w:r>
        <w:t>Installation</w:t>
      </w:r>
    </w:p>
    <w:p>
      <w:pPr>
        <w:spacing w:after="120"/>
      </w:pPr>
      <w:r>
        <w:t>Python 3.12 is recommended.</w:t>
      </w:r>
    </w:p>
    <w:p>
      <w:pPr>
        <w:spacing w:after="120"/>
      </w:pPr>
      <w:r>
        <w:t>Create a virtual environment: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>python -m venv .venv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>source .venv/bin/activate      # Linux/macOS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># .venv\Scripts\activate       # Windows</w:t>
      </w:r>
    </w:p>
    <w:p>
      <w:pPr>
        <w:spacing w:after="120"/>
      </w:pPr>
      <w:r>
        <w:t>Install dependencies: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>pip install numpy pandas scipy scikit-posthocs matplotlib numba scikit-learn shap</w:t>
      </w:r>
    </w:p>
    <w:p>
      <w:pPr>
        <w:spacing w:after="120"/>
      </w:pPr>
      <w:r>
        <w:t>Numba compiles several inner loops during the first run, so the first execution may be slower.</w:t>
      </w:r>
    </w:p>
    <w:p>
      <w:pPr>
        <w:pStyle w:val="Heading1"/>
      </w:pPr>
      <w:r>
        <w:t>Reproducing the experiments</w:t>
      </w:r>
    </w:p>
    <w:p>
      <w:pPr>
        <w:spacing w:after="120"/>
      </w:pPr>
      <w:r>
        <w:t xml:space="preserve">1. Place the benchmark instance files in the </w:t>
      </w:r>
      <w:r>
        <w:rPr>
          <w:rFonts w:ascii="Consolas" w:hAnsi="Consolas"/>
          <w:color w:val="464646"/>
          <w:sz w:val="18"/>
        </w:rPr>
        <w:t>instances/</w:t>
      </w:r>
      <w:r>
        <w:t xml:space="preserve"> directory.</w:t>
      </w:r>
    </w:p>
    <w:p>
      <w:pPr>
        <w:spacing w:after="120"/>
      </w:pPr>
      <w:r>
        <w:t>2. Run the resumable experiment grid: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>python run_resumable.py</w:t>
      </w:r>
    </w:p>
    <w:p>
      <w:pPr>
        <w:spacing w:after="120"/>
      </w:pPr>
      <w:r>
        <w:rPr>
          <w:rFonts w:ascii="Consolas" w:hAnsi="Consolas"/>
          <w:color w:val="464646"/>
          <w:sz w:val="18"/>
        </w:rPr>
        <w:t>run_resumable.py</w:t>
      </w:r>
      <w:r>
        <w:t xml:space="preserve"> is designed to be rerun safely. It appends completed runs to </w:t>
      </w:r>
      <w:r>
        <w:rPr>
          <w:rFonts w:ascii="Consolas" w:hAnsi="Consolas"/>
          <w:color w:val="464646"/>
          <w:sz w:val="18"/>
        </w:rPr>
        <w:t>results.csv</w:t>
      </w:r>
      <w:r>
        <w:t xml:space="preserve"> and exits periodically, so repeat the command until it exits with code </w:t>
      </w:r>
      <w:r>
        <w:rPr>
          <w:rFonts w:ascii="Consolas" w:hAnsi="Consolas"/>
          <w:color w:val="464646"/>
          <w:sz w:val="18"/>
        </w:rPr>
        <w:t>0</w:t>
      </w:r>
      <w:r>
        <w:t>.</w:t>
      </w:r>
    </w:p>
    <w:p>
      <w:pPr>
        <w:spacing w:after="120"/>
      </w:pPr>
      <w:r>
        <w:t>3. Generate summaries, statistical tests, and figures: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>python analyze.py</w:t>
      </w:r>
    </w:p>
    <w:p>
      <w:pPr>
        <w:spacing w:after="120"/>
      </w:pPr>
      <w:r>
        <w:t>4. Generate the manuscript-ready report: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>python make_report.py</w:t>
      </w:r>
    </w:p>
    <w:p>
      <w:pPr>
        <w:spacing w:after="120"/>
      </w:pPr>
      <w:r>
        <w:t>Expected generated outputs include: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>summary.csv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>wilcoxon.csv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>wilcoxon_pooled.csv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>friedman.json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>nemenyi.csv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>ablation.csv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>treeshap_timing.csv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>fig_gap.png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>fig_conv.png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>fig_weights.png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>report.md</w:t>
      </w:r>
    </w:p>
    <w:p>
      <w:pPr>
        <w:spacing w:after="120"/>
      </w:pPr>
      <w:r>
        <w:t xml:space="preserve">If </w:t>
      </w:r>
      <w:r>
        <w:rPr>
          <w:rFonts w:ascii="Consolas" w:hAnsi="Consolas"/>
          <w:color w:val="464646"/>
          <w:sz w:val="18"/>
        </w:rPr>
        <w:t>fig_conv.png</w:t>
      </w:r>
      <w:r>
        <w:t xml:space="preserve"> is regenerated, the convergence-curve chunks </w:t>
      </w:r>
      <w:r>
        <w:rPr>
          <w:rFonts w:ascii="Consolas" w:hAnsi="Consolas"/>
          <w:color w:val="464646"/>
          <w:sz w:val="18"/>
        </w:rPr>
        <w:t>curves_*.npz</w:t>
      </w:r>
      <w:r>
        <w:t xml:space="preserve"> must be present. They are produced automatically by </w:t>
      </w:r>
      <w:r>
        <w:rPr>
          <w:rFonts w:ascii="Consolas" w:hAnsi="Consolas"/>
          <w:color w:val="464646"/>
          <w:sz w:val="18"/>
        </w:rPr>
        <w:t>run_resumable.py</w:t>
      </w:r>
      <w:r>
        <w:t>.</w:t>
      </w:r>
    </w:p>
    <w:p>
      <w:pPr>
        <w:pStyle w:val="Heading1"/>
      </w:pPr>
      <w:r>
        <w:t>Data and reproducibility notes</w:t>
      </w:r>
    </w:p>
    <w:p>
      <w:pPr>
        <w:spacing w:after="120"/>
      </w:pPr>
      <w:r>
        <w:t>The repository is intended to archive the complete computational record for the study:</w:t>
      </w:r>
    </w:p>
    <w:p>
      <w:pPr>
        <w:pStyle w:val="ListBullet"/>
      </w:pPr>
      <w:r>
        <w:t>source code</w:t>
      </w:r>
    </w:p>
    <w:p>
      <w:pPr>
        <w:pStyle w:val="ListBullet"/>
      </w:pPr>
      <w:r>
        <w:t>benchmark metadata</w:t>
      </w:r>
    </w:p>
    <w:p>
      <w:pPr>
        <w:pStyle w:val="ListBullet"/>
      </w:pPr>
      <w:r>
        <w:t>instance files</w:t>
      </w:r>
    </w:p>
    <w:p>
      <w:pPr>
        <w:pStyle w:val="ListBullet"/>
      </w:pPr>
      <w:r>
        <w:t>per-run results</w:t>
      </w:r>
    </w:p>
    <w:p>
      <w:pPr>
        <w:pStyle w:val="ListBullet"/>
      </w:pPr>
      <w:r>
        <w:t>statistical outputs</w:t>
      </w:r>
    </w:p>
    <w:p>
      <w:pPr>
        <w:pStyle w:val="ListBullet"/>
      </w:pPr>
      <w:r>
        <w:t>generated figures</w:t>
      </w:r>
    </w:p>
    <w:p>
      <w:pPr>
        <w:spacing w:after="120"/>
      </w:pPr>
      <w:r>
        <w:t>For submission, update this section with the final public links: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>GitHub repository: &lt;insert URL&gt;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>Zenodo DOI: &lt;insert DOI&gt;</w:t>
      </w:r>
    </w:p>
    <w:p>
      <w:pPr>
        <w:spacing w:after="120"/>
      </w:pPr>
      <w:r>
        <w:t>Suggested data-availability statement:</w:t>
      </w:r>
    </w:p>
    <w:p>
      <w:pPr>
        <w:ind w:left="360" w:right="216"/>
      </w:pPr>
      <w:r>
        <w:rPr>
          <w:i/>
          <w:color w:val="4B5563"/>
        </w:rPr>
        <w:t>The FT06 benchmark instance is publicly available in Beasley’s OR-Library. Larger job-shop instances were generated using the standard Taillard procedure with the fixed random seeds reported in the paper. All experiment code, instance files, per-run results, and statistical outputs are included in this repository and archived with a Zenodo DOI.</w:t>
      </w:r>
    </w:p>
    <w:p>
      <w:pPr>
        <w:pStyle w:val="Heading1"/>
      </w:pPr>
      <w:r>
        <w:t>Suggested GitHub upload checklist</w:t>
      </w:r>
    </w:p>
    <w:p>
      <w:pPr>
        <w:spacing w:after="120"/>
      </w:pPr>
      <w:r>
        <w:t>Before pushing the repository, confirm that the following are included: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>README.md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>*.py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>*.csv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>*.json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>*.png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>instances/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>curves_*.npz        # optional, needed to regenerate convergence curves exactly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>inst_cache/         # optional, speeds reruns if cached surrogate artifacts are shared</w:t>
      </w:r>
    </w:p>
    <w:p>
      <w:pPr>
        <w:spacing w:after="120"/>
      </w:pPr>
      <w:r>
        <w:t>Suggested commands: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>git init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>git add README.md *.py *.csv *.json *.png instances/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>git commit -m "Add SG-ACO experiment archive"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>git branch -M main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>git remote add origin &lt;your-github-repository-url&gt;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>git push -u origin main</w:t>
      </w:r>
    </w:p>
    <w:p>
      <w:pPr>
        <w:pStyle w:val="Heading1"/>
      </w:pPr>
      <w:r>
        <w:t>License</w:t>
      </w:r>
    </w:p>
    <w:p>
      <w:pPr>
        <w:spacing w:after="120"/>
      </w:pPr>
      <w:r>
        <w:t>Add the license selected for the project before public release. For academic code releases, common choices are MIT, BSD-3-Clause, or Apache-2.0.</w:t>
      </w:r>
    </w:p>
    <w:p>
      <w:pPr>
        <w:pStyle w:val="Heading1"/>
      </w:pPr>
      <w:r>
        <w:t>Citation</w:t>
      </w:r>
    </w:p>
    <w:p>
      <w:pPr>
        <w:spacing w:after="120"/>
      </w:pPr>
      <w:r>
        <w:t>Please cite the associated paper and archived release once the repository is public: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>@misc{sgaco_experiments,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 xml:space="preserve">  title  = {SG-ACO Experiments: SHAP-Guided Ant Colony Optimization for Job-Shop Scheduling},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 xml:space="preserve">  author = {&lt;insert authors&gt;},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 xml:space="preserve">  year   = {&lt;insert year&gt;},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 xml:space="preserve">  doi    = {&lt;insert Zenodo DOI&gt;},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 xml:space="preserve">  url    = {&lt;insert GitHub URL&gt;}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>}</w:t>
      </w:r>
    </w:p>
    <w:sectPr w:rsidR="00FC693F" w:rsidRPr="0006063C" w:rsidSect="00034616">
      <w:footerReference w:type="default" r:id="rId12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SG-ACO Experiments README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0" w:after="0"/>
      <w:ind w:left="216" w:right="216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