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Report: CFPB Credit Reporting Complaint Forecasting</w:t>
      </w:r>
    </w:p>
    <w:p>
      <w:r>
        <w:t>Course: CIND 820</w:t>
      </w:r>
    </w:p>
    <w:p>
      <w:r>
        <w:t>Prepared from project artifacts in notebooks 01a-02b and profile report outputs.</w:t>
      </w:r>
    </w:p>
    <w:p>
      <w:r>
        <w:t>Date: 2026-04-15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This project forecasts monthly CFPB credit-reporting complaint share and tests whether tree-based methods improve on statistical baselines under strict time-order evaluation.</w:t>
      </w:r>
    </w:p>
    <w:p>
      <w:pPr>
        <w:pStyle w:val="ListBullet"/>
      </w:pPr>
      <w:r>
        <w:t>The strongest baseline model is Theta, with test sMAPE = 2.011 (02a artifact), substantially outperforming tree configurations in the current run.</w:t>
      </w:r>
    </w:p>
    <w:p>
      <w:pPr>
        <w:pStyle w:val="ListBullet"/>
      </w:pPr>
      <w:r>
        <w:t>Tree models underperform primarily because late-period level shifts are not transferred well from the available training regime; directional bias diagnostics indicate systematic under-forecasting in test.</w:t>
      </w:r>
    </w:p>
    <w:p>
      <w:pPr>
        <w:pStyle w:val="ListBullet"/>
      </w:pPr>
      <w:r>
        <w:t>Operationally, the result supports keeping a robust statistical baseline for near-term monitoring, while treating current tree pipelines as exploratory until regime-adaptation controls are strengthened.</w:t>
      </w:r>
    </w:p>
    <w:p>
      <w:pPr>
        <w:pStyle w:val="Heading1"/>
      </w:pPr>
      <w:r>
        <w:t>Research Questions</w:t>
      </w:r>
    </w:p>
    <w:p>
      <w:pPr>
        <w:pStyle w:val="ListBullet"/>
      </w:pPr>
      <w:r>
        <w:t>RQ1: Do Southern-region complaint trajectories exhibit different temporal dynamics than other U.S. regions?</w:t>
      </w:r>
    </w:p>
    <w:p>
      <w:pPr>
        <w:pStyle w:val="ListBullet"/>
      </w:pPr>
      <w:r>
        <w:t>RQ2: Which model family provides the most actionable forecasts for credit-reporting complaints?</w:t>
      </w:r>
    </w:p>
    <w:p>
      <w:pPr>
        <w:pStyle w:val="ListBullet"/>
      </w:pPr>
      <w:r>
        <w:t>RQ3: Do forecast trajectories indicate continued elevated complaint pressure into the post-2025 period?</w:t>
      </w:r>
    </w:p>
    <w:p>
      <w:pPr>
        <w:pStyle w:val="Heading1"/>
      </w:pPr>
      <w:r>
        <w:t>Data, Scope, and Representativeness</w:t>
      </w:r>
    </w:p>
    <w:p>
      <w:r>
        <w:t>Core modeling artifacts are produced from full monthly aggregates in data/processed/credit_reporting_timeseries_all.parquet via 01a, 02a, and 02b workflows. A ydata profile report is also available for a 500,000-row stratified analytic sample (21 variables, 15.2% missing cells in the profile).</w:t>
      </w:r>
    </w:p>
    <w:p>
      <w:pPr>
        <w:pStyle w:val="ListBullet"/>
      </w:pPr>
      <w:r>
        <w:t>Representativeness caveat: stratified samples (e.g., 300k/500k exploratory cuts) preserve major Product x Time x Region structure for EDA, but cannot fully preserve all tail combinations and text heterogeneity from the full complaint corpus.</w:t>
      </w:r>
    </w:p>
    <w:p>
      <w:pPr>
        <w:pStyle w:val="ListBullet"/>
      </w:pPr>
      <w:r>
        <w:t>Modeling caveat: final monthly forecasting conclusions in 02a/02b rely on full monthly aggregates rather than only sample-level records; this reduces, but does not eliminate, transfer risk from sample-based diagnostics.</w:t>
      </w:r>
    </w:p>
    <w:p>
      <w:pPr>
        <w:pStyle w:val="ListBullet"/>
      </w:pPr>
      <w:r>
        <w:t>Generalization caveat: abrupt exogenous shocks (policy changes, major breaches, reporting-rule shifts) can invalidate learned dynamics.</w:t>
      </w:r>
    </w:p>
    <w:p>
      <w:pPr>
        <w:pStyle w:val="Heading1"/>
      </w:pPr>
      <w:r>
        <w:t>Project Specification (Exact Temporal Splits)</w:t>
      </w:r>
    </w:p>
    <w:p>
      <w:pPr>
        <w:pStyle w:val="ListBullet"/>
      </w:pPr>
      <w:r>
        <w:t>02a (monthly statistical baselines): n=168 periods, Train=102, Val=33, Test=33.</w:t>
      </w:r>
    </w:p>
    <w:p>
      <w:pPr>
        <w:pStyle w:val="ListBullet"/>
      </w:pPr>
      <w:r>
        <w:t>02a spans: Train 2012-01 to 2020-06; Validation 2020-07 to 2023-03; Test 2023-04 to 2025-12.</w:t>
      </w:r>
    </w:p>
    <w:p>
      <w:pPr>
        <w:pStyle w:val="ListBullet"/>
      </w:pPr>
      <w:r>
        <w:t>02b (monthly tree models; leading zero-share periods removed): n=159 periods, Train=97, Val=31, Test=31.</w:t>
      </w:r>
    </w:p>
    <w:p>
      <w:pPr>
        <w:pStyle w:val="ListBullet"/>
      </w:pPr>
      <w:r>
        <w:t>02b spans: Train 2012-10 to 2020-10; Validation 2020-11 to 2023-05; Test 2023-06 to 2025-12.</w:t>
      </w:r>
    </w:p>
    <w:p>
      <w:pPr>
        <w:pStyle w:val="ListBullet"/>
      </w:pPr>
      <w:r>
        <w:t>Quarter labels represented in monthly test windows: 2023Q2 through 2025Q4.</w:t>
      </w:r>
    </w:p>
    <w:p>
      <w:pPr>
        <w:pStyle w:val="ListBullet"/>
      </w:pPr>
      <w:r>
        <w:t>2026Q1 contextual note: supplemental archived quarterly diagnostics report observed 2026Q1 counts (South=549,995; Non-South=365,206) as post-test monitoring context, not as part of 02a/02b model fitting.</w:t>
      </w:r>
    </w:p>
    <w:p>
      <w:pPr>
        <w:pStyle w:val="Heading1"/>
      </w:pPr>
      <w:r>
        <w:t>Methods</w:t>
      </w:r>
    </w:p>
    <w:p>
      <w:pPr>
        <w:pStyle w:val="ListBullet"/>
      </w:pPr>
      <w:r>
        <w:t>02a baseline families: Naive, Moving Average, Seasonal Naive, ETS (SES/Holt-Winters), ARIMA, SARIMA, Theta, FFT.</w:t>
      </w:r>
    </w:p>
    <w:p>
      <w:pPr>
        <w:pStyle w:val="ListBullet"/>
      </w:pPr>
      <w:r>
        <w:t>02a ranking rule: test sMAPE first, then MAE, then runtime; supported by rolling-origin and bias/horizon diagnostics sections.</w:t>
      </w:r>
    </w:p>
    <w:p>
      <w:pPr>
        <w:pStyle w:val="ListBullet"/>
      </w:pPr>
      <w:r>
        <w:t>02b tree strategy: leakage-safe direct multi-horizon construction with y_h1..y_h4 targets, lag/rolling/EWMA/Fourier/calendar covariates, and train-only scaling.</w:t>
      </w:r>
    </w:p>
    <w:p>
      <w:pPr>
        <w:pStyle w:val="ListBullet"/>
      </w:pPr>
      <w:r>
        <w:t>02b model sets: Random Forest and XGBoost base and grid-tuned variants; compared against rebuilt 02a baselines for methodological continuity.</w:t>
      </w:r>
    </w:p>
    <w:p>
      <w:pPr>
        <w:pStyle w:val="Heading1"/>
      </w:pPr>
      <w:r>
        <w:t>Results</w:t>
      </w:r>
    </w:p>
    <w:p>
      <w:r>
        <w:t>A. Baseline model comparison (from reports/artifacts/02a_creditreporting_monthly_baseline_results.csv):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sMAPE_test</w:t>
            </w:r>
          </w:p>
        </w:tc>
        <w:tc>
          <w:tcPr>
            <w:tcW w:type="dxa" w:w="1728"/>
          </w:tcPr>
          <w:p>
            <w:r>
              <w:t>MAE_test</w:t>
            </w:r>
          </w:p>
        </w:tc>
        <w:tc>
          <w:tcPr>
            <w:tcW w:type="dxa" w:w="1728"/>
          </w:tcPr>
          <w:p>
            <w:r>
              <w:t>RMSE_test</w:t>
            </w:r>
          </w:p>
        </w:tc>
        <w:tc>
          <w:tcPr>
            <w:tcW w:type="dxa" w:w="1728"/>
          </w:tcPr>
          <w:p>
            <w:r>
              <w:t>runtime_sec</w:t>
            </w:r>
          </w:p>
        </w:tc>
      </w:tr>
      <w:tr>
        <w:tc>
          <w:tcPr>
            <w:tcW w:type="dxa" w:w="1728"/>
          </w:tcPr>
          <w:p>
            <w:r>
              <w:t>Theta</w:t>
            </w:r>
          </w:p>
        </w:tc>
        <w:tc>
          <w:tcPr>
            <w:tcW w:type="dxa" w:w="1728"/>
          </w:tcPr>
          <w:p>
            <w:r>
              <w:t>2.011</w:t>
            </w:r>
          </w:p>
        </w:tc>
        <w:tc>
          <w:tcPr>
            <w:tcW w:type="dxa" w:w="1728"/>
          </w:tcPr>
          <w:p>
            <w:r>
              <w:t>0.017</w:t>
            </w:r>
          </w:p>
        </w:tc>
        <w:tc>
          <w:tcPr>
            <w:tcW w:type="dxa" w:w="1728"/>
          </w:tcPr>
          <w:p>
            <w:r>
              <w:t>0.026</w:t>
            </w:r>
          </w:p>
        </w:tc>
        <w:tc>
          <w:tcPr>
            <w:tcW w:type="dxa" w:w="1728"/>
          </w:tcPr>
          <w:p>
            <w:r>
              <w:t>0.031</w:t>
            </w:r>
          </w:p>
        </w:tc>
      </w:tr>
      <w:tr>
        <w:tc>
          <w:tcPr>
            <w:tcW w:type="dxa" w:w="1728"/>
          </w:tcPr>
          <w:p>
            <w:r>
              <w:t>Naive</w:t>
            </w:r>
          </w:p>
        </w:tc>
        <w:tc>
          <w:tcPr>
            <w:tcW w:type="dxa" w:w="1728"/>
          </w:tcPr>
          <w:p>
            <w:r>
              <w:t>5.727</w:t>
            </w:r>
          </w:p>
        </w:tc>
        <w:tc>
          <w:tcPr>
            <w:tcW w:type="dxa" w:w="1728"/>
          </w:tcPr>
          <w:p>
            <w:r>
              <w:t>0.048</w:t>
            </w:r>
          </w:p>
        </w:tc>
        <w:tc>
          <w:tcPr>
            <w:tcW w:type="dxa" w:w="1728"/>
          </w:tcPr>
          <w:p>
            <w:r>
              <w:t>0.058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</w:tr>
      <w:tr>
        <w:tc>
          <w:tcPr>
            <w:tcW w:type="dxa" w:w="1728"/>
          </w:tcPr>
          <w:p>
            <w:r>
              <w:t>ARIMA(1, 1, 0)</w:t>
            </w:r>
          </w:p>
        </w:tc>
        <w:tc>
          <w:tcPr>
            <w:tcW w:type="dxa" w:w="1728"/>
          </w:tcPr>
          <w:p>
            <w:r>
              <w:t>5.990</w:t>
            </w:r>
          </w:p>
        </w:tc>
        <w:tc>
          <w:tcPr>
            <w:tcW w:type="dxa" w:w="1728"/>
          </w:tcPr>
          <w:p>
            <w:r>
              <w:t>0.051</w:t>
            </w:r>
          </w:p>
        </w:tc>
        <w:tc>
          <w:tcPr>
            <w:tcW w:type="dxa" w:w="1728"/>
          </w:tcPr>
          <w:p>
            <w:r>
              <w:t>0.060</w:t>
            </w:r>
          </w:p>
        </w:tc>
        <w:tc>
          <w:tcPr>
            <w:tcW w:type="dxa" w:w="1728"/>
          </w:tcPr>
          <w:p>
            <w:r>
              <w:t>4.705</w:t>
            </w:r>
          </w:p>
        </w:tc>
      </w:tr>
      <w:tr>
        <w:tc>
          <w:tcPr>
            <w:tcW w:type="dxa" w:w="1728"/>
          </w:tcPr>
          <w:p>
            <w:r>
              <w:t>SARIMA(1, 1, 0)x(0,0,1,12)</w:t>
            </w:r>
          </w:p>
        </w:tc>
        <w:tc>
          <w:tcPr>
            <w:tcW w:type="dxa" w:w="1728"/>
          </w:tcPr>
          <w:p>
            <w:r>
              <w:t>6.016</w:t>
            </w:r>
          </w:p>
        </w:tc>
        <w:tc>
          <w:tcPr>
            <w:tcW w:type="dxa" w:w="1728"/>
          </w:tcPr>
          <w:p>
            <w:r>
              <w:t>0.051</w:t>
            </w:r>
          </w:p>
        </w:tc>
        <w:tc>
          <w:tcPr>
            <w:tcW w:type="dxa" w:w="1728"/>
          </w:tcPr>
          <w:p>
            <w:r>
              <w:t>0.060</w:t>
            </w:r>
          </w:p>
        </w:tc>
        <w:tc>
          <w:tcPr>
            <w:tcW w:type="dxa" w:w="1728"/>
          </w:tcPr>
          <w:p>
            <w:r>
              <w:t>7.122</w:t>
            </w:r>
          </w:p>
        </w:tc>
      </w:tr>
      <w:tr>
        <w:tc>
          <w:tcPr>
            <w:tcW w:type="dxa" w:w="1728"/>
          </w:tcPr>
          <w:p>
            <w:r>
              <w:t>ETS SES</w:t>
            </w:r>
          </w:p>
        </w:tc>
        <w:tc>
          <w:tcPr>
            <w:tcW w:type="dxa" w:w="1728"/>
          </w:tcPr>
          <w:p>
            <w:r>
              <w:t>6.075</w:t>
            </w:r>
          </w:p>
        </w:tc>
        <w:tc>
          <w:tcPr>
            <w:tcW w:type="dxa" w:w="1728"/>
          </w:tcPr>
          <w:p>
            <w:r>
              <w:t>0.051</w:t>
            </w:r>
          </w:p>
        </w:tc>
        <w:tc>
          <w:tcPr>
            <w:tcW w:type="dxa" w:w="1728"/>
          </w:tcPr>
          <w:p>
            <w:r>
              <w:t>0.061</w:t>
            </w:r>
          </w:p>
        </w:tc>
        <w:tc>
          <w:tcPr>
            <w:tcW w:type="dxa" w:w="1728"/>
          </w:tcPr>
          <w:p>
            <w:r>
              <w:t>0.033</w:t>
            </w:r>
          </w:p>
        </w:tc>
      </w:tr>
    </w:tbl>
    <w:p>
      <w:r>
        <w:t>Key finding: Theta is the held-out winner with test sMAPE 2.011, materially below all alternatives in this run.</w:t>
      </w:r>
    </w:p>
    <w:p>
      <w:r>
        <w:t>B. Tree-model evidence from 02b notebook outputs:</w:t>
      </w:r>
    </w:p>
    <w:p>
      <w:pPr>
        <w:pStyle w:val="ListBullet"/>
      </w:pPr>
      <w:r>
        <w:t>RF-GridBest: validation sMAPE ≈ 4.303; test sMAPE ≈ 26.330 (large degradation from validation to test).</w:t>
      </w:r>
    </w:p>
    <w:p>
      <w:pPr>
        <w:pStyle w:val="ListBullet"/>
      </w:pPr>
      <w:r>
        <w:t>XGB-GridBest: validation sMAPE ≈ 3.346; test sMAPE ≈ 34.753 (larger degradation).</w:t>
      </w:r>
    </w:p>
    <w:p>
      <w:pPr>
        <w:pStyle w:val="ListBullet"/>
      </w:pPr>
      <w:r>
        <w:t>Bias diagnostics in 02b flag likely systematic test-direction bias for both RF and XGB (persistent under-forecast tendency in current run).</w:t>
      </w:r>
    </w:p>
    <w:p>
      <w:pPr>
        <w:pStyle w:val="ListBullet"/>
      </w:pPr>
      <w:r>
        <w:t>02b summary statement reports best rebuilt baseline around test sMAPE 2.805 versus much larger tree-model test errors, reinforcing baseline superiority under current setup.</w:t>
      </w:r>
    </w:p>
    <w:p>
      <w:pPr>
        <w:pStyle w:val="Heading1"/>
      </w:pPr>
      <w:r>
        <w:t>Single Throughline: Drivers -&gt; Detectable Signals -&gt; Forecast Behavior</w:t>
      </w:r>
    </w:p>
    <w:p>
      <w:pPr>
        <w:pStyle w:val="ListBullet"/>
      </w:pPr>
      <w:r>
        <w:t>Observed complaint growth pressure (especially in late periods) appears as level shifts, trend acceleration, and changing variance patterns.</w:t>
      </w:r>
    </w:p>
    <w:p>
      <w:pPr>
        <w:pStyle w:val="ListBullet"/>
      </w:pPr>
      <w:r>
        <w:t>These dynamics are detectable in engineered signals: lag stack, rolling moments, EWMA smoothing, trend residuals, and seasonal Fourier/calendar terms.</w:t>
      </w:r>
    </w:p>
    <w:p>
      <w:pPr>
        <w:pStyle w:val="ListBullet"/>
      </w:pPr>
      <w:r>
        <w:t>Statistical baselines (especially Theta) adapted to these aggregate temporal structures better than current tree settings on held-out data.</w:t>
      </w:r>
    </w:p>
    <w:p>
      <w:pPr>
        <w:pStyle w:val="ListBullet"/>
      </w:pPr>
      <w:r>
        <w:t>Tree models captured short-lead validation slices but transferred poorly to later higher-level regimes, producing directional under-forecast bias in test.</w:t>
      </w:r>
    </w:p>
    <w:p>
      <w:pPr>
        <w:pStyle w:val="Heading1"/>
      </w:pPr>
      <w:r>
        <w:t>Transfer Risks and Mitigations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Why It Matters</w:t>
            </w:r>
          </w:p>
        </w:tc>
        <w:tc>
          <w:tcPr>
            <w:tcW w:type="dxa" w:w="2880"/>
          </w:tcPr>
          <w:p>
            <w:r>
              <w:t>Mitigation Applied / Recommended</w:t>
            </w:r>
          </w:p>
        </w:tc>
      </w:tr>
      <w:tr>
        <w:tc>
          <w:tcPr>
            <w:tcW w:type="dxa" w:w="2880"/>
          </w:tcPr>
          <w:p>
            <w:r>
              <w:t>Regime shift after training window</w:t>
            </w:r>
          </w:p>
        </w:tc>
        <w:tc>
          <w:tcPr>
            <w:tcW w:type="dxa" w:w="2880"/>
          </w:tcPr>
          <w:p>
            <w:r>
              <w:t>Validation-fit may not transfer to late test levels.</w:t>
            </w:r>
          </w:p>
        </w:tc>
        <w:tc>
          <w:tcPr>
            <w:tcW w:type="dxa" w:w="2880"/>
          </w:tcPr>
          <w:p>
            <w:r>
              <w:t>Use rolling-origin checks (applied); add drift-triggered refits and regime indicators.</w:t>
            </w:r>
          </w:p>
        </w:tc>
      </w:tr>
      <w:tr>
        <w:tc>
          <w:tcPr>
            <w:tcW w:type="dxa" w:w="2880"/>
          </w:tcPr>
          <w:p>
            <w:r>
              <w:t>Small effective monthly sample for trees</w:t>
            </w:r>
          </w:p>
        </w:tc>
        <w:tc>
          <w:tcPr>
            <w:tcW w:type="dxa" w:w="2880"/>
          </w:tcPr>
          <w:p>
            <w:r>
              <w:t>Hyperparameter ranking instability and near-ties.</w:t>
            </w:r>
          </w:p>
        </w:tc>
        <w:tc>
          <w:tcPr>
            <w:tcW w:type="dxa" w:w="2880"/>
          </w:tcPr>
          <w:p>
            <w:r>
              <w:t>Compact grids + macro-horizon scoring (applied); add nested time-CV and uncertainty bands.</w:t>
            </w:r>
          </w:p>
        </w:tc>
      </w:tr>
      <w:tr>
        <w:tc>
          <w:tcPr>
            <w:tcW w:type="dxa" w:w="2880"/>
          </w:tcPr>
          <w:p>
            <w:r>
              <w:t>Directional bias hidden by aggregate metrics</w:t>
            </w:r>
          </w:p>
        </w:tc>
        <w:tc>
          <w:tcPr>
            <w:tcW w:type="dxa" w:w="2880"/>
          </w:tcPr>
          <w:p>
            <w:r>
              <w:t>Operational under-response if under-forecast persists.</w:t>
            </w:r>
          </w:p>
        </w:tc>
        <w:tc>
          <w:tcPr>
            <w:tcW w:type="dxa" w:w="2880"/>
          </w:tcPr>
          <w:p>
            <w:r>
              <w:t>MFE and over/under-rate diagnostics (applied); add decision-threshold calibration by horizon.</w:t>
            </w:r>
          </w:p>
        </w:tc>
      </w:tr>
      <w:tr>
        <w:tc>
          <w:tcPr>
            <w:tcW w:type="dxa" w:w="2880"/>
          </w:tcPr>
          <w:p>
            <w:r>
              <w:t>Sample representativeness limits in EDA profile slices</w:t>
            </w:r>
          </w:p>
        </w:tc>
        <w:tc>
          <w:tcPr>
            <w:tcW w:type="dxa" w:w="2880"/>
          </w:tcPr>
          <w:p>
            <w:r>
              <w:t>Tail behavior and narrative nuance may be underrepresented.</w:t>
            </w:r>
          </w:p>
        </w:tc>
        <w:tc>
          <w:tcPr>
            <w:tcW w:type="dxa" w:w="2880"/>
          </w:tcPr>
          <w:p>
            <w:r>
              <w:t>Treat sampled profile as exploratory only; keep production modeling on full aggregates (applied).</w:t>
            </w:r>
          </w:p>
        </w:tc>
      </w:tr>
    </w:tbl>
    <w:p>
      <w:pPr>
        <w:pStyle w:val="Heading1"/>
      </w:pPr>
      <w:r>
        <w:t>Figure Plan with So-What Captions</w:t>
      </w:r>
    </w:p>
    <w:p>
      <w:pPr>
        <w:pStyle w:val="ListBullet"/>
      </w:pPr>
      <w:r>
        <w:t>Figure 1 (Trend Context, from 01a/01b EDA): Long-run monthly credit-reporting trajectory. So what: establishes where structural growth begins and why static assumptions fail.</w:t>
      </w:r>
    </w:p>
    <w:p>
      <w:pPr>
        <w:pStyle w:val="ListBullet"/>
      </w:pPr>
      <w:r>
        <w:t>Figure 2 (02a Top Baseline vs Actual): Validation/test fit and 12-month outlook for Theta (and FFT comparator). So what: shows practical improvement in month-to-month planning precision.</w:t>
      </w:r>
    </w:p>
    <w:p>
      <w:pPr>
        <w:pStyle w:val="ListBullet"/>
      </w:pPr>
      <w:r>
        <w:t>Figure 3 (02b Tree Horizon Diagnostics): Horizon-wise errors and directional bias for RF/XGB. So what: explains why tree models are currently not deployment-ready for complaint monitoring.</w:t>
      </w:r>
    </w:p>
    <w:p>
      <w:pPr>
        <w:pStyle w:val="ListBullet"/>
      </w:pPr>
      <w:r>
        <w:t>Figure 4 (Timeline Spec): Explicit train/validation/test boundaries plus 2026Q1 monitoring marker. So what: makes evaluation provenance auditable and aligns conclusions with temporal scope.</w:t>
      </w:r>
    </w:p>
    <w:p>
      <w:pPr>
        <w:pStyle w:val="Heading1"/>
      </w:pPr>
      <w:r>
        <w:t>Conclusions and Recommendations</w:t>
      </w:r>
    </w:p>
    <w:p>
      <w:pPr>
        <w:pStyle w:val="ListBullet"/>
      </w:pPr>
      <w:r>
        <w:t>Primary conclusion: under current data and split design, statistical baselines (Theta-led) are more reliable than tree-based alternatives for monthly credit-reporting share forecasting.</w:t>
      </w:r>
    </w:p>
    <w:p>
      <w:pPr>
        <w:pStyle w:val="ListBullet"/>
      </w:pPr>
      <w:r>
        <w:t>Policy relevance: lower-error, lower-bias baselines better support staffing escalation timing and complaint-pressure surveillance.</w:t>
      </w:r>
    </w:p>
    <w:p>
      <w:pPr>
        <w:pStyle w:val="ListBullet"/>
      </w:pPr>
      <w:r>
        <w:t>Immediate action: keep Theta-class baseline as operational benchmark; gate tree-model use behind improved regime-transfer performance and reduced directional bias.</w:t>
      </w:r>
    </w:p>
    <w:p>
      <w:pPr>
        <w:pStyle w:val="ListBullet"/>
      </w:pPr>
      <w:r>
        <w:t>Next iteration priorities: explicit prediction intervals, horizon-specific alert thresholds, and post-2025 rolling updates including 2026Q1 onward as new holdout/monitoring windows.</w:t>
      </w:r>
    </w:p>
    <w:p>
      <w:pPr>
        <w:pStyle w:val="Heading1"/>
      </w:pPr>
      <w:r>
        <w:t>Reproducibility References</w:t>
      </w:r>
    </w:p>
    <w:p>
      <w:pPr>
        <w:pStyle w:val="ListBullet"/>
      </w:pPr>
      <w:r>
        <w:t>notebooks/01a_cfpb_data_overview_preprocessing_eda.ipynb</w:t>
      </w:r>
    </w:p>
    <w:p>
      <w:pPr>
        <w:pStyle w:val="ListBullet"/>
      </w:pPr>
      <w:r>
        <w:t>notebooks/01b_credit_reporting_eda.ipynb</w:t>
      </w:r>
    </w:p>
    <w:p>
      <w:pPr>
        <w:pStyle w:val="ListBullet"/>
      </w:pPr>
      <w:r>
        <w:t>notebooks/02a_credit reporting_monthly_tsf_baseline models.ipynb</w:t>
      </w:r>
    </w:p>
    <w:p>
      <w:pPr>
        <w:pStyle w:val="ListBullet"/>
      </w:pPr>
      <w:r>
        <w:t>notebooks/02b_credit reporting_monthly_tsf_tree based models.ipynb</w:t>
      </w:r>
    </w:p>
    <w:p>
      <w:pPr>
        <w:pStyle w:val="ListBullet"/>
      </w:pPr>
      <w:r>
        <w:t>reports/cfpb_credit_reporting_ydata_profile.html</w:t>
      </w:r>
    </w:p>
    <w:p>
      <w:pPr>
        <w:pStyle w:val="ListBullet"/>
      </w:pPr>
      <w:r>
        <w:t>reports/artifacts/02a_creditreporting_monthly_baseline_results.csv</w:t>
      </w:r>
    </w:p>
    <w:p>
      <w:pPr>
        <w:pStyle w:val="ListBullet"/>
      </w:pPr>
      <w:r>
        <w:t>reports/2026-03-26/tables/02b_creditreporting_monthly_tree_vs_02a_baselines.csv</w:t>
      </w:r>
    </w:p>
    <w:p>
      <w:pPr>
        <w:pStyle w:val="ListBullet"/>
      </w:pPr>
      <w:r>
        <w:t>reports/2026-03-26/tables/02b_creditreporting_monthly_rebuilt_02a_baselines.csv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