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CIND 820 Final Project Report</w:t>
      </w:r>
    </w:p>
    <w:p>
      <w:r>
        <w:t>Title: CFPB Credit Reporting Complaint Forecasting (Monthly and Tree-Based Comparative Study)</w:t>
      </w:r>
    </w:p>
    <w:p>
      <w:r>
        <w:t>Student Name: [Enter Your Full Name]</w:t>
      </w:r>
    </w:p>
    <w:p>
      <w:r>
        <w:t>Student ID: [Enter Your Student ID]</w:t>
      </w:r>
    </w:p>
    <w:p>
      <w:r>
        <w:t>Instructor: [Enter Instructor Name]</w:t>
      </w:r>
    </w:p>
    <w:p>
      <w:r>
        <w:t>Submission Date: 2026-04-15</w:t>
      </w:r>
    </w:p>
    <w:p/>
    <w:p>
      <w:pPr>
        <w:pStyle w:val="Heading1"/>
      </w:pPr>
      <w:r>
        <w:t>Checklist-to-Section Map</w:t>
      </w:r>
    </w:p>
    <w:p>
      <w:pPr>
        <w:pStyle w:val="ListBullet"/>
      </w:pPr>
      <w:r>
        <w:t>Clearly stated and relevant research questions -&gt; Section 1</w:t>
      </w:r>
    </w:p>
    <w:p>
      <w:pPr>
        <w:pStyle w:val="ListBullet"/>
      </w:pPr>
      <w:r>
        <w:t>Updated and critically integrated literature framing -&gt; Section 2</w:t>
      </w:r>
    </w:p>
    <w:p>
      <w:pPr>
        <w:pStyle w:val="ListBullet"/>
      </w:pPr>
      <w:r>
        <w:t>Data loading, preprocessing, and engineered-feature proficiency -&gt; Section 3</w:t>
      </w:r>
    </w:p>
    <w:p>
      <w:pPr>
        <w:pStyle w:val="ListBullet"/>
      </w:pPr>
      <w:r>
        <w:t>Evidence of coding and implementation rigor -&gt; Sections 4-6 and reproducibility references</w:t>
      </w:r>
    </w:p>
    <w:p>
      <w:pPr>
        <w:pStyle w:val="ListBullet"/>
      </w:pPr>
      <w:r>
        <w:t>Results interpretation tied to each research question -&gt; Section 7</w:t>
      </w:r>
    </w:p>
    <w:p>
      <w:pPr>
        <w:pStyle w:val="ListBullet"/>
      </w:pPr>
      <w:r>
        <w:t>Conclusions, limitations, practical implications, and future work -&gt; Section 8</w:t>
      </w:r>
    </w:p>
    <w:p>
      <w:pPr>
        <w:pStyle w:val="Heading1"/>
      </w:pPr>
      <w:r>
        <w:t>1. Research Questions and Project Objective</w:t>
      </w:r>
    </w:p>
    <w:p>
      <w:r>
        <w:t>This project forecasts monthly CFPB credit-reporting complaint share and evaluates whether machine-learning tree methods produce more actionable forecasts than strong statistical baselines under leakage-safe, time-ordered evaluation.</w:t>
      </w:r>
    </w:p>
    <w:p>
      <w:pPr>
        <w:pStyle w:val="ListBullet"/>
      </w:pPr>
      <w:r>
        <w:t>RQ1: Do Southern-region complaint trajectories exhibit different temporal dynamics than other U.S. regions?</w:t>
      </w:r>
    </w:p>
    <w:p>
      <w:pPr>
        <w:pStyle w:val="ListBullet"/>
      </w:pPr>
      <w:r>
        <w:t>RQ2: Which model family provides the most actionable forecasts for credit-reporting complaints?</w:t>
      </w:r>
    </w:p>
    <w:p>
      <w:pPr>
        <w:pStyle w:val="ListBullet"/>
      </w:pPr>
      <w:r>
        <w:t>RQ3: Do forecast trajectories indicate continued elevated complaint pressure into the post-2025 period?</w:t>
      </w:r>
    </w:p>
    <w:p>
      <w:pPr>
        <w:pStyle w:val="Heading1"/>
      </w:pPr>
      <w:r>
        <w:t>2. Literature and Analytical Framing (Integrated for This Study)</w:t>
      </w:r>
    </w:p>
    <w:p>
      <w:r>
        <w:t>The analytical frame used here aligns three ideas common in forecasting and regulatory analytics: (i) non-stationary complaint systems require temporally faithful validation, (ii) practical forecasting value depends on both magnitude error and directional bias, and (iii) model complexity only adds value if it transfers robustly across regime changes. This framing is operationalized through split-aware evaluation, bias diagnostics, and cross-family comparison.</w:t>
      </w:r>
    </w:p>
    <w:p>
      <w:pPr>
        <w:pStyle w:val="Heading1"/>
      </w:pPr>
      <w:r>
        <w:t>3. Data, Preprocessing, and Representativeness</w:t>
      </w:r>
    </w:p>
    <w:p>
      <w:r>
        <w:t>Primary modeling input is the monthly aggregate series in data/processed/credit_reporting_timeseries_all.parquet. Supporting exploratory diagnostics include stratified sample analyses and a ydata profile report.</w:t>
      </w:r>
    </w:p>
    <w:p>
      <w:pPr>
        <w:pStyle w:val="ListBullet"/>
      </w:pPr>
      <w:r>
        <w:t>Profile report summary: 500,000 observations, 21 variables, 15.2% missing-cell rate.</w:t>
      </w:r>
    </w:p>
    <w:p>
      <w:pPr>
        <w:pStyle w:val="ListBullet"/>
      </w:pPr>
      <w:r>
        <w:t>Representativeness caveat: stratified EDA samples preserve key Product x Time x Region structure but may underrepresent rare tail combinations and narrative nuance.</w:t>
      </w:r>
    </w:p>
    <w:p>
      <w:pPr>
        <w:pStyle w:val="ListBullet"/>
      </w:pPr>
      <w:r>
        <w:t>Production forecasting caveat: final 02a/02b conclusions are generated from aggregate monthly series, reducing sample-transfer risk versus sample-only modeling.</w:t>
      </w:r>
    </w:p>
    <w:p>
      <w:pPr>
        <w:pStyle w:val="Heading1"/>
      </w:pPr>
      <w:r>
        <w:t>4. Coding and Implementation Specification</w:t>
      </w:r>
    </w:p>
    <w:p>
      <w:r>
        <w:t>4.1 Exact temporal split specification</w:t>
      </w:r>
    </w:p>
    <w:p>
      <w:pPr>
        <w:pStyle w:val="ListBullet"/>
      </w:pPr>
      <w:r>
        <w:t>02a (statistical baselines): n=168, Train=102, Val=33, Test=33.</w:t>
      </w:r>
    </w:p>
    <w:p>
      <w:pPr>
        <w:pStyle w:val="ListBullet"/>
      </w:pPr>
      <w:r>
        <w:t>02a spans: Train 2012-01 to 2020-06; Validation 2020-07 to 2023-03; Test 2023-04 to 2025-12.</w:t>
      </w:r>
    </w:p>
    <w:p>
      <w:pPr>
        <w:pStyle w:val="ListBullet"/>
      </w:pPr>
      <w:r>
        <w:t>02b (tree models, after leading zero-share trimming): n=159, Train=97, Val=31, Test=31.</w:t>
      </w:r>
    </w:p>
    <w:p>
      <w:pPr>
        <w:pStyle w:val="ListBullet"/>
      </w:pPr>
      <w:r>
        <w:t>02b spans: Train 2012-10 to 2020-10; Validation 2020-11 to 2023-05; Test 2023-06 to 2025-12.</w:t>
      </w:r>
    </w:p>
    <w:p>
      <w:pPr>
        <w:pStyle w:val="ListBullet"/>
      </w:pPr>
      <w:r>
        <w:t>2026Q1 is treated as post-test contextual monitoring in supplemental archived diagnostics, not as fitted-window data in 02a/02b.</w:t>
      </w:r>
    </w:p>
    <w:p>
      <w:r>
        <w:t>4.2 Methods implemented</w:t>
      </w:r>
    </w:p>
    <w:p>
      <w:pPr>
        <w:pStyle w:val="ListBullet"/>
      </w:pPr>
      <w:r>
        <w:t>02a baseline families: Naive, Moving Average, Seasonal Naive, ETS (SES/Holt-Winters), ARIMA, SARIMA, Theta, FFT.</w:t>
      </w:r>
    </w:p>
    <w:p>
      <w:pPr>
        <w:pStyle w:val="ListBullet"/>
      </w:pPr>
      <w:r>
        <w:t>02a ranking rule: test sMAPE first, then MAE, then runtime; supplemented with rolling-origin and bias/horizon diagnostics.</w:t>
      </w:r>
    </w:p>
    <w:p>
      <w:pPr>
        <w:pStyle w:val="ListBullet"/>
      </w:pPr>
      <w:r>
        <w:t>02b tree pipeline: leakage-safe direct multi-horizon targets (h=1..4), lag/rolling/EWMA/Fourier/calendar features, train-only scaling.</w:t>
      </w:r>
    </w:p>
    <w:p>
      <w:pPr>
        <w:pStyle w:val="ListBullet"/>
      </w:pPr>
      <w:r>
        <w:t>02b model families: Random Forest and XGBoost (base plus grid-tuned variants), compared against rebuilt 02a baselines.</w:t>
      </w:r>
    </w:p>
    <w:p>
      <w:pPr>
        <w:pStyle w:val="Heading1"/>
      </w:pPr>
      <w:r>
        <w:t>5. Results</w:t>
      </w:r>
    </w:p>
    <w:p>
      <w:r>
        <w:t>5.1 Baseline model results (top 5 by test sMAPE)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sMAPE_test</w:t>
            </w:r>
          </w:p>
        </w:tc>
        <w:tc>
          <w:tcPr>
            <w:tcW w:type="dxa" w:w="1728"/>
          </w:tcPr>
          <w:p>
            <w:r>
              <w:t>MAE_test</w:t>
            </w:r>
          </w:p>
        </w:tc>
        <w:tc>
          <w:tcPr>
            <w:tcW w:type="dxa" w:w="1728"/>
          </w:tcPr>
          <w:p>
            <w:r>
              <w:t>RMSE_test</w:t>
            </w:r>
          </w:p>
        </w:tc>
        <w:tc>
          <w:tcPr>
            <w:tcW w:type="dxa" w:w="1728"/>
          </w:tcPr>
          <w:p>
            <w:r>
              <w:t>runtime_sec</w:t>
            </w:r>
          </w:p>
        </w:tc>
      </w:tr>
      <w:tr>
        <w:tc>
          <w:tcPr>
            <w:tcW w:type="dxa" w:w="1728"/>
          </w:tcPr>
          <w:p>
            <w:r>
              <w:t>Theta</w:t>
            </w:r>
          </w:p>
        </w:tc>
        <w:tc>
          <w:tcPr>
            <w:tcW w:type="dxa" w:w="1728"/>
          </w:tcPr>
          <w:p>
            <w:r>
              <w:t>2.011</w:t>
            </w:r>
          </w:p>
        </w:tc>
        <w:tc>
          <w:tcPr>
            <w:tcW w:type="dxa" w:w="1728"/>
          </w:tcPr>
          <w:p>
            <w:r>
              <w:t>0.017</w:t>
            </w:r>
          </w:p>
        </w:tc>
        <w:tc>
          <w:tcPr>
            <w:tcW w:type="dxa" w:w="1728"/>
          </w:tcPr>
          <w:p>
            <w:r>
              <w:t>0.026</w:t>
            </w:r>
          </w:p>
        </w:tc>
        <w:tc>
          <w:tcPr>
            <w:tcW w:type="dxa" w:w="1728"/>
          </w:tcPr>
          <w:p>
            <w:r>
              <w:t>0.031</w:t>
            </w:r>
          </w:p>
        </w:tc>
      </w:tr>
      <w:tr>
        <w:tc>
          <w:tcPr>
            <w:tcW w:type="dxa" w:w="1728"/>
          </w:tcPr>
          <w:p>
            <w:r>
              <w:t>Naive</w:t>
            </w:r>
          </w:p>
        </w:tc>
        <w:tc>
          <w:tcPr>
            <w:tcW w:type="dxa" w:w="1728"/>
          </w:tcPr>
          <w:p>
            <w:r>
              <w:t>5.727</w:t>
            </w:r>
          </w:p>
        </w:tc>
        <w:tc>
          <w:tcPr>
            <w:tcW w:type="dxa" w:w="1728"/>
          </w:tcPr>
          <w:p>
            <w:r>
              <w:t>0.048</w:t>
            </w:r>
          </w:p>
        </w:tc>
        <w:tc>
          <w:tcPr>
            <w:tcW w:type="dxa" w:w="1728"/>
          </w:tcPr>
          <w:p>
            <w:r>
              <w:t>0.058</w:t>
            </w:r>
          </w:p>
        </w:tc>
        <w:tc>
          <w:tcPr>
            <w:tcW w:type="dxa" w:w="1728"/>
          </w:tcPr>
          <w:p>
            <w:r>
              <w:t>0.000</w:t>
            </w:r>
          </w:p>
        </w:tc>
      </w:tr>
      <w:tr>
        <w:tc>
          <w:tcPr>
            <w:tcW w:type="dxa" w:w="1728"/>
          </w:tcPr>
          <w:p>
            <w:r>
              <w:t>ARIMA(1, 1, 0)</w:t>
            </w:r>
          </w:p>
        </w:tc>
        <w:tc>
          <w:tcPr>
            <w:tcW w:type="dxa" w:w="1728"/>
          </w:tcPr>
          <w:p>
            <w:r>
              <w:t>5.990</w:t>
            </w:r>
          </w:p>
        </w:tc>
        <w:tc>
          <w:tcPr>
            <w:tcW w:type="dxa" w:w="1728"/>
          </w:tcPr>
          <w:p>
            <w:r>
              <w:t>0.051</w:t>
            </w:r>
          </w:p>
        </w:tc>
        <w:tc>
          <w:tcPr>
            <w:tcW w:type="dxa" w:w="1728"/>
          </w:tcPr>
          <w:p>
            <w:r>
              <w:t>0.060</w:t>
            </w:r>
          </w:p>
        </w:tc>
        <w:tc>
          <w:tcPr>
            <w:tcW w:type="dxa" w:w="1728"/>
          </w:tcPr>
          <w:p>
            <w:r>
              <w:t>4.705</w:t>
            </w:r>
          </w:p>
        </w:tc>
      </w:tr>
      <w:tr>
        <w:tc>
          <w:tcPr>
            <w:tcW w:type="dxa" w:w="1728"/>
          </w:tcPr>
          <w:p>
            <w:r>
              <w:t>SARIMA(1, 1, 0)x(0,0,1,12)</w:t>
            </w:r>
          </w:p>
        </w:tc>
        <w:tc>
          <w:tcPr>
            <w:tcW w:type="dxa" w:w="1728"/>
          </w:tcPr>
          <w:p>
            <w:r>
              <w:t>6.016</w:t>
            </w:r>
          </w:p>
        </w:tc>
        <w:tc>
          <w:tcPr>
            <w:tcW w:type="dxa" w:w="1728"/>
          </w:tcPr>
          <w:p>
            <w:r>
              <w:t>0.051</w:t>
            </w:r>
          </w:p>
        </w:tc>
        <w:tc>
          <w:tcPr>
            <w:tcW w:type="dxa" w:w="1728"/>
          </w:tcPr>
          <w:p>
            <w:r>
              <w:t>0.060</w:t>
            </w:r>
          </w:p>
        </w:tc>
        <w:tc>
          <w:tcPr>
            <w:tcW w:type="dxa" w:w="1728"/>
          </w:tcPr>
          <w:p>
            <w:r>
              <w:t>7.122</w:t>
            </w:r>
          </w:p>
        </w:tc>
      </w:tr>
      <w:tr>
        <w:tc>
          <w:tcPr>
            <w:tcW w:type="dxa" w:w="1728"/>
          </w:tcPr>
          <w:p>
            <w:r>
              <w:t>ETS SES</w:t>
            </w:r>
          </w:p>
        </w:tc>
        <w:tc>
          <w:tcPr>
            <w:tcW w:type="dxa" w:w="1728"/>
          </w:tcPr>
          <w:p>
            <w:r>
              <w:t>6.075</w:t>
            </w:r>
          </w:p>
        </w:tc>
        <w:tc>
          <w:tcPr>
            <w:tcW w:type="dxa" w:w="1728"/>
          </w:tcPr>
          <w:p>
            <w:r>
              <w:t>0.051</w:t>
            </w:r>
          </w:p>
        </w:tc>
        <w:tc>
          <w:tcPr>
            <w:tcW w:type="dxa" w:w="1728"/>
          </w:tcPr>
          <w:p>
            <w:r>
              <w:t>0.061</w:t>
            </w:r>
          </w:p>
        </w:tc>
        <w:tc>
          <w:tcPr>
            <w:tcW w:type="dxa" w:w="1728"/>
          </w:tcPr>
          <w:p>
            <w:r>
              <w:t>0.033</w:t>
            </w:r>
          </w:p>
        </w:tc>
      </w:tr>
    </w:tbl>
    <w:p>
      <w:r>
        <w:t>Result statement: Theta is the strongest held-out baseline in this run (test sMAPE 2.011).</w:t>
      </w:r>
    </w:p>
    <w:p>
      <w:r>
        <w:t>5.2 Tree-model evidence from 02b</w:t>
      </w:r>
    </w:p>
    <w:p>
      <w:pPr>
        <w:pStyle w:val="ListBullet"/>
      </w:pPr>
      <w:r>
        <w:t>RF-GridBest: validation sMAPE ~ 4.303; test sMAPE ~ 26.330 (large transfer degradation).</w:t>
      </w:r>
    </w:p>
    <w:p>
      <w:pPr>
        <w:pStyle w:val="ListBullet"/>
      </w:pPr>
      <w:r>
        <w:t>XGB-GridBest: validation sMAPE ~ 3.346; test sMAPE ~ 34.753 (larger degradation).</w:t>
      </w:r>
    </w:p>
    <w:p>
      <w:pPr>
        <w:pStyle w:val="ListBullet"/>
      </w:pPr>
      <w:r>
        <w:t>Directional-bias diagnostics in 02b flag likely systematic test-direction bias for both RF and XGB.</w:t>
      </w:r>
    </w:p>
    <w:p>
      <w:pPr>
        <w:pStyle w:val="ListBullet"/>
      </w:pPr>
      <w:r>
        <w:t>02b conclusions report rebuilt statistical baselines near test sMAPE 2.805, far below current tree configurations.</w:t>
      </w:r>
    </w:p>
    <w:p>
      <w:pPr>
        <w:pStyle w:val="Heading1"/>
      </w:pPr>
      <w:r>
        <w:t>6. Interpretation by Research Question</w:t>
      </w:r>
    </w:p>
    <w:p>
      <w:r>
        <w:t>RQ1 interpretation: Regional segmentation analyses indicate materially different forecast behavior between South and Others in supplemental comparisons, supporting dynamic heterogeneity across regions.</w:t>
      </w:r>
    </w:p>
    <w:p>
      <w:r>
        <w:t>RQ2 interpretation: Under current setup, statistical baselines (especially Theta-led) are more actionable than tree methods due to much lower held-out error and lower directional risk.</w:t>
      </w:r>
    </w:p>
    <w:p>
      <w:r>
        <w:t>RQ3 interpretation: Late-period level behavior remains elevated enough that under-forecast risk is operationally important; monitoring should prioritize bias-aware updates as new post-2025 observations arrive.</w:t>
      </w:r>
    </w:p>
    <w:p>
      <w:pPr>
        <w:pStyle w:val="Heading1"/>
      </w:pPr>
      <w:r>
        <w:t>7. Transfer Risk, Mitigation, and Figure Captions (So-What Focus)</w:t>
      </w:r>
    </w:p>
    <w:p>
      <w:pPr>
        <w:pStyle w:val="ListBullet"/>
      </w:pPr>
      <w:r>
        <w:t>Risk: regime shift across time windows. Mitigation: rolling-origin validation plus drift-aware re-fit policy.</w:t>
      </w:r>
    </w:p>
    <w:p>
      <w:pPr>
        <w:pStyle w:val="ListBullet"/>
      </w:pPr>
      <w:r>
        <w:t>Risk: validation-window fragility for trees. Mitigation: compact tuning grids, macro-horizon scoring, and post-selection stress tests.</w:t>
      </w:r>
    </w:p>
    <w:p>
      <w:pPr>
        <w:pStyle w:val="ListBullet"/>
      </w:pPr>
      <w:r>
        <w:t>Risk: directional miss hidden by pooled metrics. Mitigation: include MFE and over/under-rate diagnostics in acceptance criteria.</w:t>
      </w:r>
    </w:p>
    <w:p>
      <w:pPr>
        <w:pStyle w:val="ListBullet"/>
      </w:pPr>
      <w:r>
        <w:t>Figure-caption rule for submission: each figure must state operational implication (for example staffing, escalation timing, or surveillance reliability), not only metric values.</w:t>
      </w:r>
    </w:p>
    <w:p>
      <w:pPr>
        <w:pStyle w:val="Heading1"/>
      </w:pPr>
      <w:r>
        <w:t>8. Conclusion and Next Steps</w:t>
      </w:r>
    </w:p>
    <w:p>
      <w:pPr>
        <w:pStyle w:val="ListBullet"/>
      </w:pPr>
      <w:r>
        <w:t>Main conclusion: statistical baselines are currently the defensible deployment benchmark for monthly complaint-share forecasting in this project.</w:t>
      </w:r>
    </w:p>
    <w:p>
      <w:pPr>
        <w:pStyle w:val="ListBullet"/>
      </w:pPr>
      <w:r>
        <w:t>Practical implication: lower-error, lower-bias baselines provide stronger support for monitoring and planning decisions.</w:t>
      </w:r>
    </w:p>
    <w:p>
      <w:pPr>
        <w:pStyle w:val="ListBullet"/>
      </w:pPr>
      <w:r>
        <w:t>Next-step priority: add prediction intervals, horizon-specific decision thresholds, and periodic refits using new post-2025 observations (including 2026Q1 onward).</w:t>
      </w:r>
    </w:p>
    <w:p>
      <w:pPr>
        <w:pStyle w:val="Heading1"/>
      </w:pPr>
      <w:r>
        <w:t>Appendix A: Reproducibility Artifacts</w:t>
      </w:r>
    </w:p>
    <w:p>
      <w:pPr>
        <w:pStyle w:val="ListBullet"/>
      </w:pPr>
      <w:r>
        <w:t>notebooks/01a_cfpb_data_overview_preprocessing_eda.ipynb</w:t>
      </w:r>
    </w:p>
    <w:p>
      <w:pPr>
        <w:pStyle w:val="ListBullet"/>
      </w:pPr>
      <w:r>
        <w:t>notebooks/01b_credit_reporting_eda.ipynb</w:t>
      </w:r>
    </w:p>
    <w:p>
      <w:pPr>
        <w:pStyle w:val="ListBullet"/>
      </w:pPr>
      <w:r>
        <w:t>notebooks/02a_credit reporting_monthly_tsf_baseline models.ipynb</w:t>
      </w:r>
    </w:p>
    <w:p>
      <w:pPr>
        <w:pStyle w:val="ListBullet"/>
      </w:pPr>
      <w:r>
        <w:t>notebooks/02b_credit reporting_monthly_tsf_tree based models.ipynb</w:t>
      </w:r>
    </w:p>
    <w:p>
      <w:pPr>
        <w:pStyle w:val="ListBullet"/>
      </w:pPr>
      <w:r>
        <w:t>reports/cfpb_credit_reporting_ydata_profile.html</w:t>
      </w:r>
    </w:p>
    <w:p>
      <w:pPr>
        <w:pStyle w:val="ListBullet"/>
      </w:pPr>
      <w:r>
        <w:t>reports/artifacts/02a_creditreporting_monthly_baseline_results.csv</w:t>
      </w:r>
    </w:p>
    <w:p>
      <w:pPr>
        <w:pStyle w:val="ListBullet"/>
      </w:pPr>
      <w:r>
        <w:t>reports/2026-03-26/tables/02b_creditreporting_monthly_tree_vs_02a_baselines.csv</w:t>
      </w:r>
    </w:p>
    <w:p>
      <w:pPr>
        <w:pStyle w:val="ListBullet"/>
      </w:pPr>
      <w:r>
        <w:t>reports/2026-03-26/tables/02b_creditreporting_monthly_rebuilt_02a_baselines.csv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