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8"/>
        </w:rPr>
        <w:t>Práctica I — Ordenamiento de un Conjunto Grande de Datos en C++</w:t>
      </w:r>
    </w:p>
    <w:p>
      <w:pPr>
        <w:jc w:val="center"/>
      </w:pPr>
      <w:r>
        <w:rPr>
          <w:color w:val="555555"/>
          <w:sz w:val="26"/>
        </w:rPr>
        <w:t>QuickSort · HeapSort · Árbol AVL — 100.000 palabras</w:t>
      </w:r>
    </w:p>
    <w:p>
      <w:pPr>
        <w:jc w:val="center"/>
      </w:pPr>
      <w:r>
        <w:rPr>
          <w:color w:val="777777"/>
          <w:sz w:val="22"/>
        </w:rPr>
        <w:t>ST0245 — Estructuras de Datos y Algoritmos</w:t>
      </w:r>
    </w:p>
    <w:p/>
    <w:p>
      <w:pPr>
        <w:pStyle w:val="Heading1"/>
      </w:pPr>
      <w:r>
        <w:t>1. Enfoque de implementación</w:t>
      </w:r>
    </w:p>
    <w:p>
      <w:r>
        <w:t>El programa (src/main.cpp) carga dataset.txt en un std::vector&lt;std::string&gt; de 100.000 palabras en inglés y ejecuta sobre esa misma entrada tres estrategias de ordenamiento independientes, midiendo cada una por separado con std::chrono::high_resolution_clock. El conjunto de datos no contiene palabras repetidas, por lo que un resultado válido es una secuencia estrictamente creciente de exactamente 100.000 palabras; además, las tres estrategias deben producir una salida idéntica, y el programa lo verifica explícitamente.</w:t>
      </w:r>
    </w:p>
    <w:p>
      <w:r>
        <w:t>No se utiliza ninguna función de ordenamiento del lenguaje: no hay std::sort, std::stable_sort, std::priority_queue, std::make_heap, std::map ni std::set en ninguna parte del código de ordenamiento.</w:t>
      </w:r>
    </w:p>
    <w:p>
      <w:pPr>
        <w:pStyle w:val="Heading2"/>
      </w:pPr>
      <w:r>
        <w:t>A) QuickSort sobre std::vector&lt;std::string&gt; (src/QuickSort.hpp)</w:t>
      </w:r>
    </w:p>
    <w:p>
      <w:r>
        <w:t>Implementado desde cero como un quicksort recursivo e in-place con:</w:t>
      </w:r>
    </w:p>
    <w:p>
      <w:pPr>
        <w:pStyle w:val="ListBullet"/>
      </w:pPr>
      <w:r>
        <w:t>Selección de pivote por mediana de tres (primer, medio y último elemento), para evitar el caso patológico O(n²) que se dispara con entradas ya ordenadas o en orden inverso.</w:t>
      </w:r>
    </w:p>
    <w:p>
      <w:pPr>
        <w:pStyle w:val="ListBullet"/>
      </w:pPr>
      <w:r>
        <w:t>Particionamiento estilo Hoare con el pivote ubicado en la posición high-1, lo que da a ambos punteros de recorrido un centinela natural y evita comprobaciones de límites adicionales.</w:t>
      </w:r>
    </w:p>
    <w:p>
      <w:pPr>
        <w:pStyle w:val="ListBullet"/>
      </w:pPr>
      <w:r>
        <w:t>Corte a insertion sort para particiones menores a 16 elementos, lo que elimina el costo de la recursión donde menos aporta y mantiene baja la profundidad de pila.</w:t>
      </w:r>
    </w:p>
    <w:p>
      <w:r>
        <w:t>Opera directamente sobre el arreglo contiguo que respalda al vector, por lo que los accesos a memoria durante el particionamiento son secuenciales y aprovechan bien la caché.</w:t>
      </w:r>
    </w:p>
    <w:p>
      <w:pPr>
        <w:pStyle w:val="Heading2"/>
      </w:pPr>
      <w:r>
        <w:t>B) HeapSort sobre una estructura de Heap Binario (src/HeapSort.hpp)</w:t>
      </w:r>
    </w:p>
    <w:p>
      <w:r>
        <w:t>Se construyó desde cero la clase BinaryHeap. Es un max-heap almacenado de forma implícita en un arreglo dinámico: el nodo en el índice i mantiene sus hijos en 2i+1 y 2i+2, y su padre en (i-1)/2, de modo que la forma del árbol queda codificada en los índices y no se necesitan punteros. La clase expone el TAD completo de heap:</w:t>
      </w:r>
    </w:p>
    <w:p>
      <w:pPr>
        <w:pStyle w:val="ListBullet"/>
      </w:pPr>
      <w:r>
        <w:t>BinaryHeap(vector) — heapify ascendente que construye el heap en O(n), comenzando en el último nodo interno (las hojas ya son heaps válidos).</w:t>
      </w:r>
    </w:p>
    <w:p>
      <w:pPr>
        <w:pStyle w:val="ListBullet"/>
      </w:pPr>
      <w:r>
        <w:t>insert(valor) — O(log n): agrega al final y luego siftUp mientras el elemento sea mayor que su padre.</w:t>
      </w:r>
    </w:p>
    <w:p>
      <w:pPr>
        <w:pStyle w:val="ListBullet"/>
      </w:pPr>
      <w:r>
        <w:t>extractMax() — O(log n): toma la raíz, mueve el último elemento a su lugar y aplica siftDown para restaurar la propiedad de heap.</w:t>
      </w:r>
    </w:p>
    <w:p>
      <w:pPr>
        <w:pStyle w:val="ListBullet"/>
      </w:pPr>
      <w:r>
        <w:t>peekMax(), size(), empty() — accesores en O(1).</w:t>
      </w:r>
    </w:p>
    <w:p>
      <w:pPr>
        <w:pStyle w:val="ListBullet"/>
      </w:pPr>
      <w:r>
        <w:t>sortAscending() — el HeapSort propiamente dicho: intercambia repetidamente el máximo a su posición final al fondo del arreglo y reduce el heap en uno.</w:t>
      </w:r>
    </w:p>
    <w:p>
      <w:r>
        <w:t>La función heapSort() mueve el vector hacia dentro del heap y lo mueve de vuelta al terminar, por lo que todo el ordenamiento ocurre en un único búfer sin copiar las 100.000 cadenas. Eso mantiene el espacio auxiliar en O(1).</w:t>
      </w:r>
    </w:p>
    <w:p>
      <w:pPr>
        <w:pStyle w:val="Heading2"/>
      </w:pPr>
      <w:r>
        <w:t>C) Árbol AVL — inserción y recorrido inorden (src/AVLTree.hpp)</w:t>
      </w:r>
    </w:p>
    <w:p>
      <w:r>
        <w:t>Árbol binario de búsqueda auto-balanceado implementado desde cero. Cada AVLNode almacena la palabra, dos punteros a hijos y la altura del subárbol. En cada inserción:</w:t>
      </w:r>
    </w:p>
    <w:p>
      <w:pPr>
        <w:pStyle w:val="ListBullet"/>
      </w:pPr>
      <w:r>
        <w:t>Desciende por comparación de cadenas hasta la posición de hoja correcta y enlaza allí el nodo nuevo.</w:t>
      </w:r>
    </w:p>
    <w:p>
      <w:pPr>
        <w:pStyle w:val="ListBullet"/>
      </w:pPr>
      <w:r>
        <w:t>Regresa actualizando alturas y revisando el factor de balance (altura(izq) - altura(der)) en cada ancestro.</w:t>
      </w:r>
    </w:p>
    <w:p>
      <w:pPr>
        <w:pStyle w:val="ListBullet"/>
      </w:pPr>
      <w:r>
        <w:t>Aplica una rotación simple o doble (LL, RR, LR, RL) donde el factor de balance excede ±1, restaurando la altura O(log n).</w:t>
      </w:r>
    </w:p>
    <w:p>
      <w:r>
        <w:t>Las 100.000 palabras se insertan una a una; el orden final se obtiene con un único recorrido inorden (izquierda, nodo, derecha), que por el invariante del ABB visita los nodos en orden ascendente. Con el dataset completo el árbol alcanza una altura de 20, muy cerca del mínimo teórico ⌈log₂(100.001)⌉ = 17, lo que confirma que el balanceo funciona.</w:t>
      </w:r>
    </w:p>
    <w:p>
      <w:pPr>
        <w:pStyle w:val="Heading2"/>
      </w:pPr>
      <w:r>
        <w:t>Preparación del conjunto de datos (src/generate_dataset.cpp)</w:t>
      </w:r>
    </w:p>
    <w:p>
      <w:r>
        <w:t>words_alpha.txt se distribuye en orden alfabético, que es justamente el patrón de entrada que degrada un QuickSort ingenuo a su peor caso O(n²) y que vuelve inválida la comparación. Por eso un programa auxiliar lee la lista completa, la mezcla con std::shuffle usando un generador Mersenne Twister (std::mt19937) sembrado desde std::random_device, y escribe las primeras 100.000 palabras a dataset.txt. std::shuffle es una utilidad de permutación, no una función de ordenamiento, por lo que no cae dentro de la restricción sobre ordenamientos del lenguaje.</w:t>
      </w:r>
    </w:p>
    <w:p>
      <w:pPr>
        <w:pStyle w:val="Heading1"/>
      </w:pPr>
      <w:r>
        <w:t>2. Metodología experimental</w:t>
      </w:r>
    </w:p>
    <w:p>
      <w:r>
        <w:t>Todas las mediciones se tomaron con la compilación de entrega (GCC, -O2) sobre dataset.txt (100.000 palabras, 943.878 caracteres). Para reducir el ruido y hacer los resultados reproducibles se siguió el siguiente protocolo:</w:t>
      </w:r>
    </w:p>
    <w:p>
      <w:pPr>
        <w:pStyle w:val="ListBullet"/>
      </w:pPr>
      <w:r>
        <w:t>Cada valor reportado es la media de 3 ejecuciones consecutivas de la misma medición.</w:t>
      </w:r>
    </w:p>
    <w:p>
      <w:pPr>
        <w:pStyle w:val="ListBullet"/>
      </w:pPr>
      <w:r>
        <w:t>La entrada se copia antes de cada ejecución, de modo que el costo de la copia queda fuera de la región cronometrada.</w:t>
      </w:r>
    </w:p>
    <w:p>
      <w:pPr>
        <w:pStyle w:val="ListBullet"/>
      </w:pPr>
      <w:r>
        <w:t>Las tres estrategias reciben exactamente la misma entrada en cada escenario.</w:t>
      </w:r>
    </w:p>
    <w:p>
      <w:pPr>
        <w:pStyle w:val="ListBullet"/>
      </w:pPr>
      <w:r>
        <w:t>Las entradas ordenadas e inversas se generan con nuestro propio QuickSort, nunca con un ordenamiento de biblioteca.</w:t>
      </w:r>
    </w:p>
    <w:p>
      <w:pPr>
        <w:pStyle w:val="ListBullet"/>
      </w:pPr>
      <w:r>
        <w:t>En el caso del AVL se cronometra la estrategia completa: construcción del árbol por inserciones más el recorrido inorden que extrae el orden final.</w:t>
      </w:r>
    </w:p>
    <w:p>
      <w:r>
        <w:t>Se ejecutaron dos experimentos: (A) el comportamiento de cada estrategia frente a tres formas distintas de la entrada, y (B) la escalabilidad al variar el tamaño n. Todas las mediciones quedan volcadas en benchmark_results.csv.</w:t>
      </w:r>
    </w:p>
    <w:p>
      <w:pPr>
        <w:pStyle w:val="Heading1"/>
      </w:pPr>
      <w:r>
        <w:t>3. Experimento A — Escenarios de entrada</w:t>
      </w:r>
    </w:p>
    <w:p>
      <w:r>
        <w:t>Se midieron las tres estrategias con n = 100.000 bajo tres formas de entrada: aleatoria (el dataset entregado), ordenada ascendentemente e invertida (orden descendente). Tiempos en milisegundos:</w:t>
      </w:r>
    </w:p>
    <w:tbl>
      <w:tblPr>
        <w:tblW w:type="auto" w:w="0"/>
        <w:jc w:val="center"/>
        <w:tblLayout w:type="fixed"/>
        <w:tblLook w:firstColumn="1" w:firstRow="1" w:lastColumn="0" w:lastRow="0" w:noHBand="0" w:noVBand="1" w:val="04A0"/>
      </w:tblPr>
      <w:tblGrid>
        <w:gridCol w:w="2160"/>
        <w:gridCol w:w="2160"/>
        <w:gridCol w:w="2160"/>
        <w:gridCol w:w="2160"/>
      </w:tblGrid>
      <w:tr>
        <w:tc>
          <w:tcPr>
            <w:tcW w:type="dxa" w:w="2160"/>
            <w:shd w:val="clear" w:color="auto" w:fill="2F5496"/>
          </w:tcPr>
          <w:p>
            <w:r/>
            <w:r>
              <w:rPr>
                <w:b/>
                <w:color w:val="FFFFFF"/>
                <w:sz w:val="19"/>
              </w:rPr>
              <w:t>Escenario</w:t>
            </w:r>
          </w:p>
        </w:tc>
        <w:tc>
          <w:tcPr>
            <w:tcW w:type="dxa" w:w="2160"/>
            <w:shd w:val="clear" w:color="auto" w:fill="2F5496"/>
          </w:tcPr>
          <w:p>
            <w:r/>
            <w:r>
              <w:rPr>
                <w:b/>
                <w:color w:val="FFFFFF"/>
                <w:sz w:val="19"/>
              </w:rPr>
              <w:t>QuickSort</w:t>
            </w:r>
          </w:p>
        </w:tc>
        <w:tc>
          <w:tcPr>
            <w:tcW w:type="dxa" w:w="2160"/>
            <w:shd w:val="clear" w:color="auto" w:fill="2F5496"/>
          </w:tcPr>
          <w:p>
            <w:r/>
            <w:r>
              <w:rPr>
                <w:b/>
                <w:color w:val="FFFFFF"/>
                <w:sz w:val="19"/>
              </w:rPr>
              <w:t>HeapSort</w:t>
            </w:r>
          </w:p>
        </w:tc>
        <w:tc>
          <w:tcPr>
            <w:tcW w:type="dxa" w:w="2160"/>
            <w:shd w:val="clear" w:color="auto" w:fill="2F5496"/>
          </w:tcPr>
          <w:p>
            <w:r/>
            <w:r>
              <w:rPr>
                <w:b/>
                <w:color w:val="FFFFFF"/>
                <w:sz w:val="19"/>
              </w:rPr>
              <w:t>Árbol AVL</w:t>
            </w:r>
          </w:p>
        </w:tc>
      </w:tr>
      <w:tr>
        <w:tc>
          <w:tcPr>
            <w:tcW w:type="dxa" w:w="2160"/>
          </w:tcPr>
          <w:p>
            <w:r/>
            <w:r>
              <w:rPr>
                <w:b/>
                <w:sz w:val="19"/>
              </w:rPr>
              <w:t>Aleatorio</w:t>
            </w:r>
          </w:p>
        </w:tc>
        <w:tc>
          <w:tcPr>
            <w:tcW w:type="dxa" w:w="2160"/>
          </w:tcPr>
          <w:p>
            <w:r/>
            <w:r>
              <w:rPr>
                <w:b w:val="0"/>
                <w:sz w:val="19"/>
              </w:rPr>
              <w:t>19,61</w:t>
            </w:r>
          </w:p>
        </w:tc>
        <w:tc>
          <w:tcPr>
            <w:tcW w:type="dxa" w:w="2160"/>
          </w:tcPr>
          <w:p>
            <w:r/>
            <w:r>
              <w:rPr>
                <w:b w:val="0"/>
                <w:sz w:val="19"/>
              </w:rPr>
              <w:t>45,72</w:t>
            </w:r>
          </w:p>
        </w:tc>
        <w:tc>
          <w:tcPr>
            <w:tcW w:type="dxa" w:w="2160"/>
          </w:tcPr>
          <w:p>
            <w:r/>
            <w:r>
              <w:rPr>
                <w:b w:val="0"/>
                <w:sz w:val="19"/>
              </w:rPr>
              <w:t>42,03</w:t>
            </w:r>
          </w:p>
        </w:tc>
      </w:tr>
      <w:tr>
        <w:tc>
          <w:tcPr>
            <w:tcW w:type="dxa" w:w="2160"/>
          </w:tcPr>
          <w:p>
            <w:r/>
            <w:r>
              <w:rPr>
                <w:b/>
                <w:sz w:val="19"/>
              </w:rPr>
              <w:t>Ordenado</w:t>
            </w:r>
          </w:p>
        </w:tc>
        <w:tc>
          <w:tcPr>
            <w:tcW w:type="dxa" w:w="2160"/>
          </w:tcPr>
          <w:p>
            <w:r/>
            <w:r>
              <w:rPr>
                <w:b w:val="0"/>
                <w:sz w:val="19"/>
              </w:rPr>
              <w:t>7,24</w:t>
            </w:r>
          </w:p>
        </w:tc>
        <w:tc>
          <w:tcPr>
            <w:tcW w:type="dxa" w:w="2160"/>
          </w:tcPr>
          <w:p>
            <w:r/>
            <w:r>
              <w:rPr>
                <w:b w:val="0"/>
                <w:sz w:val="19"/>
              </w:rPr>
              <w:t>34,40</w:t>
            </w:r>
          </w:p>
        </w:tc>
        <w:tc>
          <w:tcPr>
            <w:tcW w:type="dxa" w:w="2160"/>
          </w:tcPr>
          <w:p>
            <w:r/>
            <w:r>
              <w:rPr>
                <w:b w:val="0"/>
                <w:sz w:val="19"/>
              </w:rPr>
              <w:t>18,64</w:t>
            </w:r>
          </w:p>
        </w:tc>
      </w:tr>
      <w:tr>
        <w:tc>
          <w:tcPr>
            <w:tcW w:type="dxa" w:w="2160"/>
          </w:tcPr>
          <w:p>
            <w:r/>
            <w:r>
              <w:rPr>
                <w:b/>
                <w:sz w:val="19"/>
              </w:rPr>
              <w:t>Inverso</w:t>
            </w:r>
          </w:p>
        </w:tc>
        <w:tc>
          <w:tcPr>
            <w:tcW w:type="dxa" w:w="2160"/>
          </w:tcPr>
          <w:p>
            <w:r/>
            <w:r>
              <w:rPr>
                <w:b w:val="0"/>
                <w:sz w:val="19"/>
              </w:rPr>
              <w:t>13,77</w:t>
            </w:r>
          </w:p>
        </w:tc>
        <w:tc>
          <w:tcPr>
            <w:tcW w:type="dxa" w:w="2160"/>
          </w:tcPr>
          <w:p>
            <w:r/>
            <w:r>
              <w:rPr>
                <w:b w:val="0"/>
                <w:sz w:val="19"/>
              </w:rPr>
              <w:t>32,59</w:t>
            </w:r>
          </w:p>
        </w:tc>
        <w:tc>
          <w:tcPr>
            <w:tcW w:type="dxa" w:w="2160"/>
          </w:tcPr>
          <w:p>
            <w:r/>
            <w:r>
              <w:rPr>
                <w:b w:val="0"/>
                <w:sz w:val="19"/>
              </w:rPr>
              <w:t>18,16</w:t>
            </w:r>
          </w:p>
        </w:tc>
      </w:tr>
    </w:tbl>
    <w:p/>
    <w:p>
      <w:pPr>
        <w:jc w:val="center"/>
      </w:pPr>
      <w:r>
        <w:drawing>
          <wp:inline xmlns:a="http://schemas.openxmlformats.org/drawingml/2006/main" xmlns:pic="http://schemas.openxmlformats.org/drawingml/2006/picture">
            <wp:extent cx="5577840" cy="3253740"/>
            <wp:docPr id="1" name="Picture 1"/>
            <wp:cNvGraphicFramePr>
              <a:graphicFrameLocks noChangeAspect="1"/>
            </wp:cNvGraphicFramePr>
            <a:graphic>
              <a:graphicData uri="http://schemas.openxmlformats.org/drawingml/2006/picture">
                <pic:pic>
                  <pic:nvPicPr>
                    <pic:cNvPr id="0" name="chart_scenarios.png"/>
                    <pic:cNvPicPr/>
                  </pic:nvPicPr>
                  <pic:blipFill>
                    <a:blip r:embed="rId9"/>
                    <a:stretch>
                      <a:fillRect/>
                    </a:stretch>
                  </pic:blipFill>
                  <pic:spPr>
                    <a:xfrm>
                      <a:off x="0" y="0"/>
                      <a:ext cx="5577840" cy="3253740"/>
                    </a:xfrm>
                    <a:prstGeom prst="rect"/>
                  </pic:spPr>
                </pic:pic>
              </a:graphicData>
            </a:graphic>
          </wp:inline>
        </w:drawing>
      </w:r>
    </w:p>
    <w:p>
      <w:pPr>
        <w:jc w:val="center"/>
      </w:pPr>
      <w:r>
        <w:rPr>
          <w:i/>
          <w:color w:val="555555"/>
          <w:sz w:val="18"/>
        </w:rPr>
        <w:t>Figura 1 — Tiempo de cada estrategia según la forma de la entrada (n = 100.000).</w:t>
      </w:r>
    </w:p>
    <w:p/>
    <w:p>
      <w:pPr>
        <w:pStyle w:val="Heading2"/>
      </w:pPr>
      <w:r>
        <w:t>Hallazgo 1: QuickSort es más rápido con datos ya ordenados, no más lento</w:t>
      </w:r>
    </w:p>
    <w:p>
      <w:r>
        <w:t>Este es el resultado más importante del experimento. La intuición dice que una entrada ya ordenada es el peor caso de QuickSort, pero aquí resultó ser el más rápido: 7,24 ms contra 19,61 ms con datos aleatorios, es decir 2,7 veces más rápido. La razón es la mediana de tres: cuando el arreglo está ordenado, el elemento del medio es exactamente la mediana real, por lo que cada partición queda perfectamente balanceada y la recursión alcanza la profundidad mínima log₂(n). Además, el corte a insertion sort recorre particiones pequeñas ya ordenadas en O(k) en lugar de O(k²).</w:t>
      </w:r>
    </w:p>
    <w:p>
      <w:r>
        <w:t>Esto constituye la evidencia empírica de que el peor caso O(n²) fue efectivamente evitado por diseño. Un QuickSort ingenuo, que toma como pivote el primer o el último elemento, habría degenerado en n niveles de recursión con esta misma entrada, desbordando la pila mucho antes de terminar.</w:t>
      </w:r>
    </w:p>
    <w:p>
      <w:pPr>
        <w:pStyle w:val="Heading2"/>
      </w:pPr>
      <w:r>
        <w:t>Hallazgo 2: el árbol AVL es más lento con datos aleatorios</w:t>
      </w:r>
    </w:p>
    <w:p>
      <w:r>
        <w:t>El AVL tardó 42,03 ms con datos aleatorios frente a 18,64 ms con datos ordenados, más del doble, lo cual también contradice la intuición inicial: en un ABB sin balanceo la entrada ordenada es el peor caso, porque degenera en una lista enlazada. El AVL impide esa degeneración mediante rotaciones, así que la altura permanece acotada en ambos casos y lo que termina decidiendo el tiempo es la localidad de memoria.</w:t>
      </w:r>
    </w:p>
    <w:p>
      <w:r>
        <w:t>Con entrada ordenada, cada inserción desciende siempre por la misma rama extrema del árbol, un camino corto y repetido que permanece en la caché del procesador. Con entrada aleatoria, cada inserción recorre un camino distinto desde la raíz hasta una hoja, saltando entre 100.000 nodos dispersos en el heap, lo que provoca un fallo de caché en prácticamente cada nivel del descenso.</w:t>
      </w:r>
    </w:p>
    <w:p>
      <w:pPr>
        <w:pStyle w:val="Heading2"/>
      </w:pPr>
      <w:r>
        <w:t>Hallazgo 3: HeapSort es el menos sensible a la forma de la entrada</w:t>
      </w:r>
    </w:p>
    <w:p>
      <w:r>
        <w:t>HeapSort varió entre 32,59 y 45,72 ms en los tres escenarios, un 40 % de diferencia entre el mejor y el peor caso. Es un rango mucho más estrecho que el de las otras dos estrategias, que variaron un 171 % (QuickSort) y un 131 % (AVL) entre escenarios. Esto es coherente con su definición: construye el heap y luego extrae n máximos, y ese trabajo es esencialmente el mismo sin importar el orden inicial. Por eso su peor caso y su caso promedio coinciden en O(n log n).</w:t>
      </w:r>
    </w:p>
    <w:p>
      <w:r>
        <w:t>El mejor desempeño con la entrada invertida (32,59 ms) tiene una explicación precisa: una secuencia en orden descendente ya satisface casi por completo la propiedad de max-heap, por lo que la fase inicial de construcción realiza muy pocos intercambios.</w:t>
      </w:r>
    </w:p>
    <w:p>
      <w:pPr>
        <w:pStyle w:val="Heading1"/>
      </w:pPr>
      <w:r>
        <w:t>4. Experimento B — Escalabilidad</w:t>
      </w:r>
    </w:p>
    <w:p>
      <w:r>
        <w:t>Se midieron las tres estrategias con datos aleatorios variando n entre 1.000 y 100.000 palabras. La columna normalizada divide el tiempo entre n·log₂(n): si una implementación se comporta realmente como O(n log n), ese cociente debe mantenerse aproximadamente constante al crecer n.</w:t>
      </w:r>
    </w:p>
    <w:tbl>
      <w:tblPr>
        <w:tblW w:type="auto" w:w="0"/>
        <w:jc w:val="center"/>
        <w:tblLayout w:type="fixed"/>
        <w:tblLook w:firstColumn="1" w:firstRow="1" w:lastColumn="0" w:lastRow="0" w:noHBand="0" w:noVBand="1" w:val="04A0"/>
      </w:tblPr>
      <w:tblGrid>
        <w:gridCol w:w="1234"/>
        <w:gridCol w:w="1234"/>
        <w:gridCol w:w="1234"/>
        <w:gridCol w:w="1234"/>
        <w:gridCol w:w="1234"/>
        <w:gridCol w:w="1234"/>
        <w:gridCol w:w="1234"/>
      </w:tblGrid>
      <w:tr>
        <w:tc>
          <w:tcPr>
            <w:tcW w:type="dxa" w:w="1224"/>
            <w:shd w:val="clear" w:color="auto" w:fill="2F5496"/>
          </w:tcPr>
          <w:p>
            <w:r/>
            <w:r>
              <w:rPr>
                <w:b/>
                <w:color w:val="FFFFFF"/>
                <w:sz w:val="19"/>
              </w:rPr>
              <w:t>n</w:t>
            </w:r>
          </w:p>
        </w:tc>
        <w:tc>
          <w:tcPr>
            <w:tcW w:type="dxa" w:w="1656"/>
            <w:shd w:val="clear" w:color="auto" w:fill="2F5496"/>
          </w:tcPr>
          <w:p>
            <w:r/>
            <w:r>
              <w:rPr>
                <w:b/>
                <w:color w:val="FFFFFF"/>
                <w:sz w:val="19"/>
              </w:rPr>
              <w:t>QuickSort (ms)</w:t>
            </w:r>
          </w:p>
        </w:tc>
        <w:tc>
          <w:tcPr>
            <w:tcW w:type="dxa" w:w="1656"/>
            <w:shd w:val="clear" w:color="auto" w:fill="2F5496"/>
          </w:tcPr>
          <w:p>
            <w:r/>
            <w:r>
              <w:rPr>
                <w:b/>
                <w:color w:val="FFFFFF"/>
                <w:sz w:val="19"/>
              </w:rPr>
              <w:t>HeapSort (ms)</w:t>
            </w:r>
          </w:p>
        </w:tc>
        <w:tc>
          <w:tcPr>
            <w:tcW w:type="dxa" w:w="1368"/>
            <w:shd w:val="clear" w:color="auto" w:fill="2F5496"/>
          </w:tcPr>
          <w:p>
            <w:r/>
            <w:r>
              <w:rPr>
                <w:b/>
                <w:color w:val="FFFFFF"/>
                <w:sz w:val="19"/>
              </w:rPr>
              <w:t>AVL (ms)</w:t>
            </w:r>
          </w:p>
        </w:tc>
        <w:tc>
          <w:tcPr>
            <w:tcW w:type="dxa" w:w="1152"/>
            <w:shd w:val="clear" w:color="auto" w:fill="2F5496"/>
          </w:tcPr>
          <w:p>
            <w:r/>
            <w:r>
              <w:rPr>
                <w:b/>
                <w:color w:val="FFFFFF"/>
                <w:sz w:val="19"/>
              </w:rPr>
              <w:t>Q norm.</w:t>
            </w:r>
          </w:p>
        </w:tc>
        <w:tc>
          <w:tcPr>
            <w:tcW w:type="dxa" w:w="1152"/>
            <w:shd w:val="clear" w:color="auto" w:fill="2F5496"/>
          </w:tcPr>
          <w:p>
            <w:r/>
            <w:r>
              <w:rPr>
                <w:b/>
                <w:color w:val="FFFFFF"/>
                <w:sz w:val="19"/>
              </w:rPr>
              <w:t>H norm.</w:t>
            </w:r>
          </w:p>
        </w:tc>
        <w:tc>
          <w:tcPr>
            <w:tcW w:type="dxa" w:w="1152"/>
            <w:shd w:val="clear" w:color="auto" w:fill="2F5496"/>
          </w:tcPr>
          <w:p>
            <w:r/>
            <w:r>
              <w:rPr>
                <w:b/>
                <w:color w:val="FFFFFF"/>
                <w:sz w:val="19"/>
              </w:rPr>
              <w:t>A norm.</w:t>
            </w:r>
          </w:p>
        </w:tc>
      </w:tr>
      <w:tr>
        <w:tc>
          <w:tcPr>
            <w:tcW w:type="dxa" w:w="1224"/>
          </w:tcPr>
          <w:p>
            <w:r/>
            <w:r>
              <w:rPr>
                <w:b/>
                <w:sz w:val="19"/>
              </w:rPr>
              <w:t>1.000</w:t>
            </w:r>
          </w:p>
        </w:tc>
        <w:tc>
          <w:tcPr>
            <w:tcW w:type="dxa" w:w="1656"/>
          </w:tcPr>
          <w:p>
            <w:r/>
            <w:r>
              <w:rPr>
                <w:b w:val="0"/>
                <w:sz w:val="19"/>
              </w:rPr>
              <w:t>0,117</w:t>
            </w:r>
          </w:p>
        </w:tc>
        <w:tc>
          <w:tcPr>
            <w:tcW w:type="dxa" w:w="1656"/>
          </w:tcPr>
          <w:p>
            <w:r/>
            <w:r>
              <w:rPr>
                <w:b w:val="0"/>
                <w:sz w:val="19"/>
              </w:rPr>
              <w:t>0,194</w:t>
            </w:r>
          </w:p>
        </w:tc>
        <w:tc>
          <w:tcPr>
            <w:tcW w:type="dxa" w:w="1368"/>
          </w:tcPr>
          <w:p>
            <w:r/>
            <w:r>
              <w:rPr>
                <w:b w:val="0"/>
                <w:sz w:val="19"/>
              </w:rPr>
              <w:t>0,124</w:t>
            </w:r>
          </w:p>
        </w:tc>
        <w:tc>
          <w:tcPr>
            <w:tcW w:type="dxa" w:w="1152"/>
          </w:tcPr>
          <w:p>
            <w:r/>
            <w:r>
              <w:rPr>
                <w:b w:val="0"/>
                <w:sz w:val="19"/>
              </w:rPr>
              <w:t>11,69</w:t>
            </w:r>
          </w:p>
        </w:tc>
        <w:tc>
          <w:tcPr>
            <w:tcW w:type="dxa" w:w="1152"/>
          </w:tcPr>
          <w:p>
            <w:r/>
            <w:r>
              <w:rPr>
                <w:b w:val="0"/>
                <w:sz w:val="19"/>
              </w:rPr>
              <w:t>19,50</w:t>
            </w:r>
          </w:p>
        </w:tc>
        <w:tc>
          <w:tcPr>
            <w:tcW w:type="dxa" w:w="1152"/>
          </w:tcPr>
          <w:p>
            <w:r/>
            <w:r>
              <w:rPr>
                <w:b w:val="0"/>
                <w:sz w:val="19"/>
              </w:rPr>
              <w:t>12,39</w:t>
            </w:r>
          </w:p>
        </w:tc>
      </w:tr>
      <w:tr>
        <w:tc>
          <w:tcPr>
            <w:tcW w:type="dxa" w:w="1224"/>
          </w:tcPr>
          <w:p>
            <w:r/>
            <w:r>
              <w:rPr>
                <w:b/>
                <w:sz w:val="19"/>
              </w:rPr>
              <w:t>5.000</w:t>
            </w:r>
          </w:p>
        </w:tc>
        <w:tc>
          <w:tcPr>
            <w:tcW w:type="dxa" w:w="1656"/>
          </w:tcPr>
          <w:p>
            <w:r/>
            <w:r>
              <w:rPr>
                <w:b w:val="0"/>
                <w:sz w:val="19"/>
              </w:rPr>
              <w:t>0,779</w:t>
            </w:r>
          </w:p>
        </w:tc>
        <w:tc>
          <w:tcPr>
            <w:tcW w:type="dxa" w:w="1656"/>
          </w:tcPr>
          <w:p>
            <w:r/>
            <w:r>
              <w:rPr>
                <w:b w:val="0"/>
                <w:sz w:val="19"/>
              </w:rPr>
              <w:t>1,274</w:t>
            </w:r>
          </w:p>
        </w:tc>
        <w:tc>
          <w:tcPr>
            <w:tcW w:type="dxa" w:w="1368"/>
          </w:tcPr>
          <w:p>
            <w:r/>
            <w:r>
              <w:rPr>
                <w:b w:val="0"/>
                <w:sz w:val="19"/>
              </w:rPr>
              <w:t>0,774</w:t>
            </w:r>
          </w:p>
        </w:tc>
        <w:tc>
          <w:tcPr>
            <w:tcW w:type="dxa" w:w="1152"/>
          </w:tcPr>
          <w:p>
            <w:r/>
            <w:r>
              <w:rPr>
                <w:b w:val="0"/>
                <w:sz w:val="19"/>
              </w:rPr>
              <w:t>12,69</w:t>
            </w:r>
          </w:p>
        </w:tc>
        <w:tc>
          <w:tcPr>
            <w:tcW w:type="dxa" w:w="1152"/>
          </w:tcPr>
          <w:p>
            <w:r/>
            <w:r>
              <w:rPr>
                <w:b w:val="0"/>
                <w:sz w:val="19"/>
              </w:rPr>
              <w:t>20,74</w:t>
            </w:r>
          </w:p>
        </w:tc>
        <w:tc>
          <w:tcPr>
            <w:tcW w:type="dxa" w:w="1152"/>
          </w:tcPr>
          <w:p>
            <w:r/>
            <w:r>
              <w:rPr>
                <w:b w:val="0"/>
                <w:sz w:val="19"/>
              </w:rPr>
              <w:t>12,59</w:t>
            </w:r>
          </w:p>
        </w:tc>
      </w:tr>
      <w:tr>
        <w:tc>
          <w:tcPr>
            <w:tcW w:type="dxa" w:w="1224"/>
          </w:tcPr>
          <w:p>
            <w:r/>
            <w:r>
              <w:rPr>
                <w:b/>
                <w:sz w:val="19"/>
              </w:rPr>
              <w:t>10.000</w:t>
            </w:r>
          </w:p>
        </w:tc>
        <w:tc>
          <w:tcPr>
            <w:tcW w:type="dxa" w:w="1656"/>
          </w:tcPr>
          <w:p>
            <w:r/>
            <w:r>
              <w:rPr>
                <w:b w:val="0"/>
                <w:sz w:val="19"/>
              </w:rPr>
              <w:t>1,555</w:t>
            </w:r>
          </w:p>
        </w:tc>
        <w:tc>
          <w:tcPr>
            <w:tcW w:type="dxa" w:w="1656"/>
          </w:tcPr>
          <w:p>
            <w:r/>
            <w:r>
              <w:rPr>
                <w:b w:val="0"/>
                <w:sz w:val="19"/>
              </w:rPr>
              <w:t>2,738</w:t>
            </w:r>
          </w:p>
        </w:tc>
        <w:tc>
          <w:tcPr>
            <w:tcW w:type="dxa" w:w="1368"/>
          </w:tcPr>
          <w:p>
            <w:r/>
            <w:r>
              <w:rPr>
                <w:b w:val="0"/>
                <w:sz w:val="19"/>
              </w:rPr>
              <w:t>1,814</w:t>
            </w:r>
          </w:p>
        </w:tc>
        <w:tc>
          <w:tcPr>
            <w:tcW w:type="dxa" w:w="1152"/>
          </w:tcPr>
          <w:p>
            <w:r/>
            <w:r>
              <w:rPr>
                <w:b w:val="0"/>
                <w:sz w:val="19"/>
              </w:rPr>
              <w:t>11,70</w:t>
            </w:r>
          </w:p>
        </w:tc>
        <w:tc>
          <w:tcPr>
            <w:tcW w:type="dxa" w:w="1152"/>
          </w:tcPr>
          <w:p>
            <w:r/>
            <w:r>
              <w:rPr>
                <w:b w:val="0"/>
                <w:sz w:val="19"/>
              </w:rPr>
              <w:t>20,60</w:t>
            </w:r>
          </w:p>
        </w:tc>
        <w:tc>
          <w:tcPr>
            <w:tcW w:type="dxa" w:w="1152"/>
          </w:tcPr>
          <w:p>
            <w:r/>
            <w:r>
              <w:rPr>
                <w:b w:val="0"/>
                <w:sz w:val="19"/>
              </w:rPr>
              <w:t>13,66</w:t>
            </w:r>
          </w:p>
        </w:tc>
      </w:tr>
      <w:tr>
        <w:tc>
          <w:tcPr>
            <w:tcW w:type="dxa" w:w="1224"/>
          </w:tcPr>
          <w:p>
            <w:r/>
            <w:r>
              <w:rPr>
                <w:b/>
                <w:sz w:val="19"/>
              </w:rPr>
              <w:t>25.000</w:t>
            </w:r>
          </w:p>
        </w:tc>
        <w:tc>
          <w:tcPr>
            <w:tcW w:type="dxa" w:w="1656"/>
          </w:tcPr>
          <w:p>
            <w:r/>
            <w:r>
              <w:rPr>
                <w:b w:val="0"/>
                <w:sz w:val="19"/>
              </w:rPr>
              <w:t>4,344</w:t>
            </w:r>
          </w:p>
        </w:tc>
        <w:tc>
          <w:tcPr>
            <w:tcW w:type="dxa" w:w="1656"/>
          </w:tcPr>
          <w:p>
            <w:r/>
            <w:r>
              <w:rPr>
                <w:b w:val="0"/>
                <w:sz w:val="19"/>
              </w:rPr>
              <w:t>8,330</w:t>
            </w:r>
          </w:p>
        </w:tc>
        <w:tc>
          <w:tcPr>
            <w:tcW w:type="dxa" w:w="1368"/>
          </w:tcPr>
          <w:p>
            <w:r/>
            <w:r>
              <w:rPr>
                <w:b w:val="0"/>
                <w:sz w:val="19"/>
              </w:rPr>
              <w:t>5,803</w:t>
            </w:r>
          </w:p>
        </w:tc>
        <w:tc>
          <w:tcPr>
            <w:tcW w:type="dxa" w:w="1152"/>
          </w:tcPr>
          <w:p>
            <w:r/>
            <w:r>
              <w:rPr>
                <w:b w:val="0"/>
                <w:sz w:val="19"/>
              </w:rPr>
              <w:t>11,89</w:t>
            </w:r>
          </w:p>
        </w:tc>
        <w:tc>
          <w:tcPr>
            <w:tcW w:type="dxa" w:w="1152"/>
          </w:tcPr>
          <w:p>
            <w:r/>
            <w:r>
              <w:rPr>
                <w:b w:val="0"/>
                <w:sz w:val="19"/>
              </w:rPr>
              <w:t>22,81</w:t>
            </w:r>
          </w:p>
        </w:tc>
        <w:tc>
          <w:tcPr>
            <w:tcW w:type="dxa" w:w="1152"/>
          </w:tcPr>
          <w:p>
            <w:r/>
            <w:r>
              <w:rPr>
                <w:b w:val="0"/>
                <w:sz w:val="19"/>
              </w:rPr>
              <w:t>15,89</w:t>
            </w:r>
          </w:p>
        </w:tc>
      </w:tr>
      <w:tr>
        <w:tc>
          <w:tcPr>
            <w:tcW w:type="dxa" w:w="1224"/>
          </w:tcPr>
          <w:p>
            <w:r/>
            <w:r>
              <w:rPr>
                <w:b/>
                <w:sz w:val="19"/>
              </w:rPr>
              <w:t>50.000</w:t>
            </w:r>
          </w:p>
        </w:tc>
        <w:tc>
          <w:tcPr>
            <w:tcW w:type="dxa" w:w="1656"/>
          </w:tcPr>
          <w:p>
            <w:r/>
            <w:r>
              <w:rPr>
                <w:b w:val="0"/>
                <w:sz w:val="19"/>
              </w:rPr>
              <w:t>9,100</w:t>
            </w:r>
          </w:p>
        </w:tc>
        <w:tc>
          <w:tcPr>
            <w:tcW w:type="dxa" w:w="1656"/>
          </w:tcPr>
          <w:p>
            <w:r/>
            <w:r>
              <w:rPr>
                <w:b w:val="0"/>
                <w:sz w:val="19"/>
              </w:rPr>
              <w:t>17,331</w:t>
            </w:r>
          </w:p>
        </w:tc>
        <w:tc>
          <w:tcPr>
            <w:tcW w:type="dxa" w:w="1368"/>
          </w:tcPr>
          <w:p>
            <w:r/>
            <w:r>
              <w:rPr>
                <w:b w:val="0"/>
                <w:sz w:val="19"/>
              </w:rPr>
              <w:t>13,072</w:t>
            </w:r>
          </w:p>
        </w:tc>
        <w:tc>
          <w:tcPr>
            <w:tcW w:type="dxa" w:w="1152"/>
          </w:tcPr>
          <w:p>
            <w:r/>
            <w:r>
              <w:rPr>
                <w:b w:val="0"/>
                <w:sz w:val="19"/>
              </w:rPr>
              <w:t>11,66</w:t>
            </w:r>
          </w:p>
        </w:tc>
        <w:tc>
          <w:tcPr>
            <w:tcW w:type="dxa" w:w="1152"/>
          </w:tcPr>
          <w:p>
            <w:r/>
            <w:r>
              <w:rPr>
                <w:b w:val="0"/>
                <w:sz w:val="19"/>
              </w:rPr>
              <w:t>22,21</w:t>
            </w:r>
          </w:p>
        </w:tc>
        <w:tc>
          <w:tcPr>
            <w:tcW w:type="dxa" w:w="1152"/>
          </w:tcPr>
          <w:p>
            <w:r/>
            <w:r>
              <w:rPr>
                <w:b w:val="0"/>
                <w:sz w:val="19"/>
              </w:rPr>
              <w:t>16,75</w:t>
            </w:r>
          </w:p>
        </w:tc>
      </w:tr>
      <w:tr>
        <w:tc>
          <w:tcPr>
            <w:tcW w:type="dxa" w:w="1224"/>
          </w:tcPr>
          <w:p>
            <w:r/>
            <w:r>
              <w:rPr>
                <w:b/>
                <w:sz w:val="19"/>
              </w:rPr>
              <w:t>100.000</w:t>
            </w:r>
          </w:p>
        </w:tc>
        <w:tc>
          <w:tcPr>
            <w:tcW w:type="dxa" w:w="1656"/>
          </w:tcPr>
          <w:p>
            <w:r/>
            <w:r>
              <w:rPr>
                <w:b w:val="0"/>
                <w:sz w:val="19"/>
              </w:rPr>
              <w:t>19,940</w:t>
            </w:r>
          </w:p>
        </w:tc>
        <w:tc>
          <w:tcPr>
            <w:tcW w:type="dxa" w:w="1656"/>
          </w:tcPr>
          <w:p>
            <w:r/>
            <w:r>
              <w:rPr>
                <w:b w:val="0"/>
                <w:sz w:val="19"/>
              </w:rPr>
              <w:t>42,343</w:t>
            </w:r>
          </w:p>
        </w:tc>
        <w:tc>
          <w:tcPr>
            <w:tcW w:type="dxa" w:w="1368"/>
          </w:tcPr>
          <w:p>
            <w:r/>
            <w:r>
              <w:rPr>
                <w:b w:val="0"/>
                <w:sz w:val="19"/>
              </w:rPr>
              <w:t>37,578</w:t>
            </w:r>
          </w:p>
        </w:tc>
        <w:tc>
          <w:tcPr>
            <w:tcW w:type="dxa" w:w="1152"/>
          </w:tcPr>
          <w:p>
            <w:r/>
            <w:r>
              <w:rPr>
                <w:b w:val="0"/>
                <w:sz w:val="19"/>
              </w:rPr>
              <w:t>12,01</w:t>
            </w:r>
          </w:p>
        </w:tc>
        <w:tc>
          <w:tcPr>
            <w:tcW w:type="dxa" w:w="1152"/>
          </w:tcPr>
          <w:p>
            <w:r/>
            <w:r>
              <w:rPr>
                <w:b w:val="0"/>
                <w:sz w:val="19"/>
              </w:rPr>
              <w:t>25,49</w:t>
            </w:r>
          </w:p>
        </w:tc>
        <w:tc>
          <w:tcPr>
            <w:tcW w:type="dxa" w:w="1152"/>
          </w:tcPr>
          <w:p>
            <w:r/>
            <w:r>
              <w:rPr>
                <w:b w:val="0"/>
                <w:sz w:val="19"/>
              </w:rPr>
              <w:t>22,62</w:t>
            </w:r>
          </w:p>
        </w:tc>
      </w:tr>
    </w:tbl>
    <w:p/>
    <w:p>
      <w:r>
        <w:rPr>
          <w:i/>
        </w:rPr>
        <w:t>Las columnas normalizadas corresponden a t/(n·log₂ n) × 10⁶.</w:t>
      </w:r>
    </w:p>
    <w:p>
      <w:pPr>
        <w:jc w:val="center"/>
      </w:pPr>
      <w:r>
        <w:drawing>
          <wp:inline xmlns:a="http://schemas.openxmlformats.org/drawingml/2006/main" xmlns:pic="http://schemas.openxmlformats.org/drawingml/2006/picture">
            <wp:extent cx="5577840" cy="3253740"/>
            <wp:docPr id="2" name="Picture 2"/>
            <wp:cNvGraphicFramePr>
              <a:graphicFrameLocks noChangeAspect="1"/>
            </wp:cNvGraphicFramePr>
            <a:graphic>
              <a:graphicData uri="http://schemas.openxmlformats.org/drawingml/2006/picture">
                <pic:pic>
                  <pic:nvPicPr>
                    <pic:cNvPr id="0" name="chart_scalability.png"/>
                    <pic:cNvPicPr/>
                  </pic:nvPicPr>
                  <pic:blipFill>
                    <a:blip r:embed="rId10"/>
                    <a:stretch>
                      <a:fillRect/>
                    </a:stretch>
                  </pic:blipFill>
                  <pic:spPr>
                    <a:xfrm>
                      <a:off x="0" y="0"/>
                      <a:ext cx="5577840" cy="3253740"/>
                    </a:xfrm>
                    <a:prstGeom prst="rect"/>
                  </pic:spPr>
                </pic:pic>
              </a:graphicData>
            </a:graphic>
          </wp:inline>
        </w:drawing>
      </w:r>
    </w:p>
    <w:p>
      <w:pPr>
        <w:jc w:val="center"/>
      </w:pPr>
      <w:r>
        <w:rPr>
          <w:i/>
          <w:color w:val="555555"/>
          <w:sz w:val="18"/>
        </w:rPr>
        <w:t>Figura 2 — Crecimiento del tiempo de ejecución con el tamaño de la entrada.</w:t>
      </w:r>
    </w:p>
    <w:p/>
    <w:p>
      <w:pPr>
        <w:jc w:val="center"/>
      </w:pPr>
      <w:r>
        <w:drawing>
          <wp:inline xmlns:a="http://schemas.openxmlformats.org/drawingml/2006/main" xmlns:pic="http://schemas.openxmlformats.org/drawingml/2006/picture">
            <wp:extent cx="5577840" cy="3253740"/>
            <wp:docPr id="3" name="Picture 3"/>
            <wp:cNvGraphicFramePr>
              <a:graphicFrameLocks noChangeAspect="1"/>
            </wp:cNvGraphicFramePr>
            <a:graphic>
              <a:graphicData uri="http://schemas.openxmlformats.org/drawingml/2006/picture">
                <pic:pic>
                  <pic:nvPicPr>
                    <pic:cNvPr id="0" name="chart_normalized.png"/>
                    <pic:cNvPicPr/>
                  </pic:nvPicPr>
                  <pic:blipFill>
                    <a:blip r:embed="rId11"/>
                    <a:stretch>
                      <a:fillRect/>
                    </a:stretch>
                  </pic:blipFill>
                  <pic:spPr>
                    <a:xfrm>
                      <a:off x="0" y="0"/>
                      <a:ext cx="5577840" cy="3253740"/>
                    </a:xfrm>
                    <a:prstGeom prst="rect"/>
                  </pic:spPr>
                </pic:pic>
              </a:graphicData>
            </a:graphic>
          </wp:inline>
        </w:drawing>
      </w:r>
    </w:p>
    <w:p>
      <w:pPr>
        <w:jc w:val="center"/>
      </w:pPr>
      <w:r>
        <w:rPr>
          <w:i/>
          <w:color w:val="555555"/>
          <w:sz w:val="18"/>
        </w:rPr>
        <w:t>Figura 3 — Costo normalizado t/(n·log₂ n). Una línea plana confirma comportamiento O(n log n) real; la pendiente ascendente revela los factores constantes que la notación Big O oculta.</w:t>
      </w:r>
    </w:p>
    <w:p/>
    <w:p>
      <w:r>
        <w:t>La Figura 3 es la más informativa de las tres y separa claramente a las tres estrategias:</w:t>
      </w:r>
    </w:p>
    <w:p>
      <w:pPr>
        <w:pStyle w:val="ListBullet"/>
      </w:pPr>
      <w:r>
        <w:t>QuickSort mantiene su cociente prácticamente plano (entre 11,66 y 12,69 a lo largo de dos órdenes de magnitud de n, una variación de apenas 2,7 % entre el primero y el último). Su comportamiento empírico coincide con O(n log n) de forma casi perfecta.</w:t>
      </w:r>
    </w:p>
    <w:p>
      <w:pPr>
        <w:pStyle w:val="ListBullet"/>
      </w:pPr>
      <w:r>
        <w:t>HeapSort sube de 19,50 a 25,49, un incremento del 31 %. Sigue siendo O(n log n), pero su factor constante empeora conforme el arreglo deja de caber en los niveles rápidos de caché: siftDown salta entre los índices i, 2i+1 y 2i+2, que para n grande quedan muy separados en memoria.</w:t>
      </w:r>
    </w:p>
    <w:p>
      <w:pPr>
        <w:pStyle w:val="ListBullet"/>
      </w:pPr>
      <w:r>
        <w:t>El árbol AVL es con diferencia el que más se degrada: sube de 12,39 a 22,62, un 83 %. Para n pequeño es tan eficiente como QuickSort —de hecho a n = 5.000 lo iguala—, pero al crecer n se acumulan dos costos que no aparecen en la notación asintótica: 100.000 asignaciones dinámicas individuales y el recorrido por punteros entre nodos dispersos en memoria. A n = 100.000 casi alcanza a HeapSort, pese a haber empezado muy por debajo.</w:t>
      </w:r>
    </w:p>
    <w:p>
      <w:pPr>
        <w:pStyle w:val="Heading1"/>
      </w:pPr>
      <w:r>
        <w:t>5. Consumo de memoria</w:t>
      </w:r>
    </w:p>
    <w:p>
      <w:r>
        <w:t>La estimación se calcula en tiempo de ejecución con sizeof sobre las estructuras reales, sumando la carga útil de caracteres efectivamente almacenada (943.878 caracteres para n = 100.000):</w:t>
      </w:r>
    </w:p>
    <w:tbl>
      <w:tblPr>
        <w:tblW w:type="auto" w:w="0"/>
        <w:jc w:val="center"/>
        <w:tblLayout w:type="fixed"/>
        <w:tblLook w:firstColumn="1" w:firstRow="1" w:lastColumn="0" w:lastRow="0" w:noHBand="0" w:noVBand="1" w:val="04A0"/>
      </w:tblPr>
      <w:tblGrid>
        <w:gridCol w:w="1728"/>
        <w:gridCol w:w="1728"/>
        <w:gridCol w:w="1728"/>
        <w:gridCol w:w="1728"/>
        <w:gridCol w:w="1728"/>
      </w:tblGrid>
      <w:tr>
        <w:tc>
          <w:tcPr>
            <w:tcW w:type="dxa" w:w="2160"/>
            <w:shd w:val="clear" w:color="auto" w:fill="2F5496"/>
          </w:tcPr>
          <w:p>
            <w:r/>
            <w:r>
              <w:rPr>
                <w:b/>
                <w:color w:val="FFFFFF"/>
                <w:sz w:val="19"/>
              </w:rPr>
              <w:t>Estructura</w:t>
            </w:r>
          </w:p>
        </w:tc>
        <w:tc>
          <w:tcPr>
            <w:tcW w:type="dxa" w:w="2448"/>
            <w:shd w:val="clear" w:color="auto" w:fill="2F5496"/>
          </w:tcPr>
          <w:p>
            <w:r/>
            <w:r>
              <w:rPr>
                <w:b/>
                <w:color w:val="FFFFFF"/>
                <w:sz w:val="19"/>
              </w:rPr>
              <w:t>Costo por elemento</w:t>
            </w:r>
          </w:p>
        </w:tc>
        <w:tc>
          <w:tcPr>
            <w:tcW w:type="dxa" w:w="1440"/>
            <w:shd w:val="clear" w:color="auto" w:fill="2F5496"/>
          </w:tcPr>
          <w:p>
            <w:r/>
            <w:r>
              <w:rPr>
                <w:b/>
                <w:color w:val="FFFFFF"/>
                <w:sz w:val="19"/>
              </w:rPr>
              <w:t>Contenedor</w:t>
            </w:r>
          </w:p>
        </w:tc>
        <w:tc>
          <w:tcPr>
            <w:tcW w:type="dxa" w:w="1440"/>
            <w:shd w:val="clear" w:color="auto" w:fill="2F5496"/>
          </w:tcPr>
          <w:p>
            <w:r/>
            <w:r>
              <w:rPr>
                <w:b/>
                <w:color w:val="FFFFFF"/>
                <w:sz w:val="19"/>
              </w:rPr>
              <w:t>Carga útil</w:t>
            </w:r>
          </w:p>
        </w:tc>
        <w:tc>
          <w:tcPr>
            <w:tcW w:type="dxa" w:w="1440"/>
            <w:shd w:val="clear" w:color="auto" w:fill="2F5496"/>
          </w:tcPr>
          <w:p>
            <w:r/>
            <w:r>
              <w:rPr>
                <w:b/>
                <w:color w:val="FFFFFF"/>
                <w:sz w:val="19"/>
              </w:rPr>
              <w:t>Total aprox.</w:t>
            </w:r>
          </w:p>
        </w:tc>
      </w:tr>
      <w:tr>
        <w:tc>
          <w:tcPr>
            <w:tcW w:type="dxa" w:w="2160"/>
          </w:tcPr>
          <w:p>
            <w:r/>
            <w:r>
              <w:rPr>
                <w:b/>
                <w:sz w:val="19"/>
              </w:rPr>
              <w:t>vector&lt;string&gt;</w:t>
              <w:br/>
              <w:t>(QuickSort / HeapSort)</w:t>
            </w:r>
          </w:p>
        </w:tc>
        <w:tc>
          <w:tcPr>
            <w:tcW w:type="dxa" w:w="2448"/>
          </w:tcPr>
          <w:p>
            <w:r/>
            <w:r>
              <w:rPr>
                <w:b w:val="0"/>
                <w:sz w:val="19"/>
              </w:rPr>
              <w:t>sizeof(std::string)</w:t>
              <w:br/>
              <w:t>= 32 B</w:t>
            </w:r>
          </w:p>
        </w:tc>
        <w:tc>
          <w:tcPr>
            <w:tcW w:type="dxa" w:w="1440"/>
          </w:tcPr>
          <w:p>
            <w:r/>
            <w:r>
              <w:rPr>
                <w:b w:val="0"/>
                <w:sz w:val="19"/>
              </w:rPr>
              <w:t>3,05 MB</w:t>
            </w:r>
          </w:p>
        </w:tc>
        <w:tc>
          <w:tcPr>
            <w:tcW w:type="dxa" w:w="1440"/>
          </w:tcPr>
          <w:p>
            <w:r/>
            <w:r>
              <w:rPr>
                <w:b w:val="0"/>
                <w:sz w:val="19"/>
              </w:rPr>
              <w:t>921,76 KB</w:t>
            </w:r>
          </w:p>
        </w:tc>
        <w:tc>
          <w:tcPr>
            <w:tcW w:type="dxa" w:w="1440"/>
          </w:tcPr>
          <w:p>
            <w:r/>
            <w:r>
              <w:rPr>
                <w:b w:val="0"/>
                <w:sz w:val="19"/>
              </w:rPr>
              <w:t>3,95 MB</w:t>
            </w:r>
          </w:p>
        </w:tc>
      </w:tr>
      <w:tr>
        <w:tc>
          <w:tcPr>
            <w:tcW w:type="dxa" w:w="2160"/>
          </w:tcPr>
          <w:p>
            <w:r/>
            <w:r>
              <w:rPr>
                <w:b/>
                <w:sz w:val="19"/>
              </w:rPr>
              <w:t>Árbol AVL</w:t>
              <w:br/>
              <w:t>(100.000 nodos, altura 20)</w:t>
            </w:r>
          </w:p>
        </w:tc>
        <w:tc>
          <w:tcPr>
            <w:tcW w:type="dxa" w:w="2448"/>
          </w:tcPr>
          <w:p>
            <w:r/>
            <w:r>
              <w:rPr>
                <w:b w:val="0"/>
                <w:sz w:val="19"/>
              </w:rPr>
              <w:t>sizeof(AVLNode) = 56 B</w:t>
              <w:br/>
              <w:t>(string + 2 punteros + int altura)</w:t>
            </w:r>
          </w:p>
        </w:tc>
        <w:tc>
          <w:tcPr>
            <w:tcW w:type="dxa" w:w="1440"/>
          </w:tcPr>
          <w:p>
            <w:r/>
            <w:r>
              <w:rPr>
                <w:b w:val="0"/>
                <w:sz w:val="19"/>
              </w:rPr>
              <w:t>5,34 MB</w:t>
            </w:r>
          </w:p>
        </w:tc>
        <w:tc>
          <w:tcPr>
            <w:tcW w:type="dxa" w:w="1440"/>
          </w:tcPr>
          <w:p>
            <w:r/>
            <w:r>
              <w:rPr>
                <w:b w:val="0"/>
                <w:sz w:val="19"/>
              </w:rPr>
              <w:t>921,76 KB</w:t>
            </w:r>
          </w:p>
        </w:tc>
        <w:tc>
          <w:tcPr>
            <w:tcW w:type="dxa" w:w="1440"/>
          </w:tcPr>
          <w:p>
            <w:r/>
            <w:r>
              <w:rPr>
                <w:b w:val="0"/>
                <w:sz w:val="19"/>
              </w:rPr>
              <w:t>6,24 MB</w:t>
            </w:r>
          </w:p>
        </w:tc>
      </w:tr>
    </w:tbl>
    <w:p/>
    <w:p>
      <w:r>
        <w:t>El árbol AVL consume aproximadamente 2,29 MB más que las estructuras basadas en arreglo para los mismos datos, un 58 % adicional. Cada nodo carga dos punteros de 8 bytes más un campo de altura por encima de la cadena, y además cada nodo es una asignación dinámica independiente en lugar de un único bloque contiguo.</w:t>
      </w:r>
    </w:p>
    <w:p>
      <w:r>
        <w:t>En cuanto a espacio auxiliar, HeapSort es el más económico: opera dentro del mismo arreglo y requiere O(1) adicional. QuickSort requiere O(log n) por la pila de recursión. El AVL requiere O(n) porque construye una estructura completamente nueva.</w:t>
      </w:r>
    </w:p>
    <w:p>
      <w:pPr>
        <w:pStyle w:val="Heading1"/>
      </w:pPr>
      <w:r>
        <w:t>6. Análisis comparativo</w:t>
      </w:r>
    </w:p>
    <w:tbl>
      <w:tblPr>
        <w:tblW w:type="auto" w:w="0"/>
        <w:jc w:val="center"/>
        <w:tblLayout w:type="fixed"/>
        <w:tblLook w:firstColumn="1" w:firstRow="1" w:lastColumn="0" w:lastRow="0" w:noHBand="0" w:noVBand="1" w:val="04A0"/>
      </w:tblPr>
      <w:tblGrid>
        <w:gridCol w:w="1440"/>
        <w:gridCol w:w="1440"/>
        <w:gridCol w:w="1440"/>
        <w:gridCol w:w="1440"/>
        <w:gridCol w:w="1440"/>
        <w:gridCol w:w="1440"/>
      </w:tblGrid>
      <w:tr>
        <w:tc>
          <w:tcPr>
            <w:tcW w:type="dxa" w:w="1656"/>
            <w:shd w:val="clear" w:color="auto" w:fill="2F5496"/>
          </w:tcPr>
          <w:p>
            <w:r/>
            <w:r>
              <w:rPr>
                <w:b/>
                <w:color w:val="FFFFFF"/>
                <w:sz w:val="19"/>
              </w:rPr>
              <w:t>Algoritmo</w:t>
            </w:r>
          </w:p>
        </w:tc>
        <w:tc>
          <w:tcPr>
            <w:tcW w:type="dxa" w:w="1584"/>
            <w:shd w:val="clear" w:color="auto" w:fill="2F5496"/>
          </w:tcPr>
          <w:p>
            <w:r/>
            <w:r>
              <w:rPr>
                <w:b/>
                <w:color w:val="FFFFFF"/>
                <w:sz w:val="19"/>
              </w:rPr>
              <w:t>Mejor caso</w:t>
            </w:r>
          </w:p>
        </w:tc>
        <w:tc>
          <w:tcPr>
            <w:tcW w:type="dxa" w:w="1656"/>
            <w:shd w:val="clear" w:color="auto" w:fill="2F5496"/>
          </w:tcPr>
          <w:p>
            <w:r/>
            <w:r>
              <w:rPr>
                <w:b/>
                <w:color w:val="FFFFFF"/>
                <w:sz w:val="19"/>
              </w:rPr>
              <w:t>Caso promedio</w:t>
            </w:r>
          </w:p>
        </w:tc>
        <w:tc>
          <w:tcPr>
            <w:tcW w:type="dxa" w:w="1512"/>
            <w:shd w:val="clear" w:color="auto" w:fill="2F5496"/>
          </w:tcPr>
          <w:p>
            <w:r/>
            <w:r>
              <w:rPr>
                <w:b/>
                <w:color w:val="FFFFFF"/>
                <w:sz w:val="19"/>
              </w:rPr>
              <w:t>Peor caso</w:t>
            </w:r>
          </w:p>
        </w:tc>
        <w:tc>
          <w:tcPr>
            <w:tcW w:type="dxa" w:w="1512"/>
            <w:shd w:val="clear" w:color="auto" w:fill="2F5496"/>
          </w:tcPr>
          <w:p>
            <w:r/>
            <w:r>
              <w:rPr>
                <w:b/>
                <w:color w:val="FFFFFF"/>
                <w:sz w:val="19"/>
              </w:rPr>
              <w:t>Espacio extra</w:t>
            </w:r>
          </w:p>
        </w:tc>
        <w:tc>
          <w:tcPr>
            <w:tcW w:type="dxa" w:w="1152"/>
            <w:shd w:val="clear" w:color="auto" w:fill="2F5496"/>
          </w:tcPr>
          <w:p>
            <w:r/>
            <w:r>
              <w:rPr>
                <w:b/>
                <w:color w:val="FFFFFF"/>
                <w:sz w:val="19"/>
              </w:rPr>
              <w:t>Estable</w:t>
            </w:r>
          </w:p>
        </w:tc>
      </w:tr>
      <w:tr>
        <w:tc>
          <w:tcPr>
            <w:tcW w:type="dxa" w:w="1656"/>
          </w:tcPr>
          <w:p>
            <w:r/>
            <w:r>
              <w:rPr>
                <w:b/>
                <w:sz w:val="19"/>
              </w:rPr>
              <w:t>QuickSort</w:t>
            </w:r>
          </w:p>
        </w:tc>
        <w:tc>
          <w:tcPr>
            <w:tcW w:type="dxa" w:w="1584"/>
          </w:tcPr>
          <w:p>
            <w:r/>
            <w:r>
              <w:rPr>
                <w:b w:val="0"/>
                <w:sz w:val="19"/>
              </w:rPr>
              <w:t>O(n log n)</w:t>
            </w:r>
          </w:p>
        </w:tc>
        <w:tc>
          <w:tcPr>
            <w:tcW w:type="dxa" w:w="1656"/>
          </w:tcPr>
          <w:p>
            <w:r/>
            <w:r>
              <w:rPr>
                <w:b w:val="0"/>
                <w:sz w:val="19"/>
              </w:rPr>
              <w:t>O(n log n)</w:t>
            </w:r>
          </w:p>
        </w:tc>
        <w:tc>
          <w:tcPr>
            <w:tcW w:type="dxa" w:w="1512"/>
          </w:tcPr>
          <w:p>
            <w:r/>
            <w:r>
              <w:rPr>
                <w:b w:val="0"/>
                <w:sz w:val="19"/>
              </w:rPr>
              <w:t>O(n²) *</w:t>
            </w:r>
          </w:p>
        </w:tc>
        <w:tc>
          <w:tcPr>
            <w:tcW w:type="dxa" w:w="1512"/>
          </w:tcPr>
          <w:p>
            <w:r/>
            <w:r>
              <w:rPr>
                <w:b w:val="0"/>
                <w:sz w:val="19"/>
              </w:rPr>
              <w:t>O(log n)</w:t>
            </w:r>
          </w:p>
        </w:tc>
        <w:tc>
          <w:tcPr>
            <w:tcW w:type="dxa" w:w="1152"/>
          </w:tcPr>
          <w:p>
            <w:r/>
            <w:r>
              <w:rPr>
                <w:b w:val="0"/>
                <w:sz w:val="19"/>
              </w:rPr>
              <w:t>No</w:t>
            </w:r>
          </w:p>
        </w:tc>
      </w:tr>
      <w:tr>
        <w:tc>
          <w:tcPr>
            <w:tcW w:type="dxa" w:w="1656"/>
          </w:tcPr>
          <w:p>
            <w:r/>
            <w:r>
              <w:rPr>
                <w:b/>
                <w:sz w:val="19"/>
              </w:rPr>
              <w:t>HeapSort</w:t>
            </w:r>
          </w:p>
        </w:tc>
        <w:tc>
          <w:tcPr>
            <w:tcW w:type="dxa" w:w="1584"/>
          </w:tcPr>
          <w:p>
            <w:r/>
            <w:r>
              <w:rPr>
                <w:b w:val="0"/>
                <w:sz w:val="19"/>
              </w:rPr>
              <w:t>O(n log n)</w:t>
            </w:r>
          </w:p>
        </w:tc>
        <w:tc>
          <w:tcPr>
            <w:tcW w:type="dxa" w:w="1656"/>
          </w:tcPr>
          <w:p>
            <w:r/>
            <w:r>
              <w:rPr>
                <w:b w:val="0"/>
                <w:sz w:val="19"/>
              </w:rPr>
              <w:t>O(n log n)</w:t>
            </w:r>
          </w:p>
        </w:tc>
        <w:tc>
          <w:tcPr>
            <w:tcW w:type="dxa" w:w="1512"/>
          </w:tcPr>
          <w:p>
            <w:r/>
            <w:r>
              <w:rPr>
                <w:b w:val="0"/>
                <w:sz w:val="19"/>
              </w:rPr>
              <w:t>O(n log n)</w:t>
            </w:r>
          </w:p>
        </w:tc>
        <w:tc>
          <w:tcPr>
            <w:tcW w:type="dxa" w:w="1512"/>
          </w:tcPr>
          <w:p>
            <w:r/>
            <w:r>
              <w:rPr>
                <w:b w:val="0"/>
                <w:sz w:val="19"/>
              </w:rPr>
              <w:t>O(1)</w:t>
            </w:r>
          </w:p>
        </w:tc>
        <w:tc>
          <w:tcPr>
            <w:tcW w:type="dxa" w:w="1152"/>
          </w:tcPr>
          <w:p>
            <w:r/>
            <w:r>
              <w:rPr>
                <w:b w:val="0"/>
                <w:sz w:val="19"/>
              </w:rPr>
              <w:t>No</w:t>
            </w:r>
          </w:p>
        </w:tc>
      </w:tr>
      <w:tr>
        <w:tc>
          <w:tcPr>
            <w:tcW w:type="dxa" w:w="1656"/>
          </w:tcPr>
          <w:p>
            <w:r/>
            <w:r>
              <w:rPr>
                <w:b/>
                <w:sz w:val="19"/>
              </w:rPr>
              <w:t>Árbol AVL</w:t>
            </w:r>
          </w:p>
        </w:tc>
        <w:tc>
          <w:tcPr>
            <w:tcW w:type="dxa" w:w="1584"/>
          </w:tcPr>
          <w:p>
            <w:r/>
            <w:r>
              <w:rPr>
                <w:b w:val="0"/>
                <w:sz w:val="19"/>
              </w:rPr>
              <w:t>O(n log n)</w:t>
            </w:r>
          </w:p>
        </w:tc>
        <w:tc>
          <w:tcPr>
            <w:tcW w:type="dxa" w:w="1656"/>
          </w:tcPr>
          <w:p>
            <w:r/>
            <w:r>
              <w:rPr>
                <w:b w:val="0"/>
                <w:sz w:val="19"/>
              </w:rPr>
              <w:t>O(n log n)</w:t>
            </w:r>
          </w:p>
        </w:tc>
        <w:tc>
          <w:tcPr>
            <w:tcW w:type="dxa" w:w="1512"/>
          </w:tcPr>
          <w:p>
            <w:r/>
            <w:r>
              <w:rPr>
                <w:b w:val="0"/>
                <w:sz w:val="19"/>
              </w:rPr>
              <w:t>O(n log n)</w:t>
            </w:r>
          </w:p>
        </w:tc>
        <w:tc>
          <w:tcPr>
            <w:tcW w:type="dxa" w:w="1512"/>
          </w:tcPr>
          <w:p>
            <w:r/>
            <w:r>
              <w:rPr>
                <w:b w:val="0"/>
                <w:sz w:val="19"/>
              </w:rPr>
              <w:t>O(n)</w:t>
            </w:r>
          </w:p>
        </w:tc>
        <w:tc>
          <w:tcPr>
            <w:tcW w:type="dxa" w:w="1152"/>
          </w:tcPr>
          <w:p>
            <w:r/>
            <w:r>
              <w:rPr>
                <w:b w:val="0"/>
                <w:sz w:val="19"/>
              </w:rPr>
              <w:t>Sí **</w:t>
            </w:r>
          </w:p>
        </w:tc>
      </w:tr>
    </w:tbl>
    <w:p/>
    <w:p>
      <w:r>
        <w:rPr>
          <w:i/>
          <w:sz w:val="18"/>
        </w:rPr>
        <w:t>* Mitigado con mediana de tres y corte a insertion sort; el Experimento A confirma empíricamente que no se activa.</w:t>
        <w:br/>
        <w:t>** El AVL de esta implementación descarta duplicados, por lo que la estabilidad no es observable con este dataset (no hay palabras repetidas).</w:t>
      </w:r>
    </w:p>
    <w:p>
      <w:pPr>
        <w:pStyle w:val="Heading2"/>
      </w:pPr>
      <w:r>
        <w:t>¿Cuál algoritmo tuvo mejor desempeño?</w:t>
      </w:r>
    </w:p>
    <w:p>
      <w:r>
        <w:t>QuickSort fue el más rápido en los tres escenarios sin excepción, y con el margen más amplio en el caso de datos ordenados. Con la entrada real del problema (datos aleatorios, n = 100.000) resultó 2,33 veces más rápido que HeapSort y 2,14 veces más rápido que el AVL. Además es el único cuyo costo normalizado se mantiene plano, es decir, el que mejor escala. Sumado a que su consumo de memoria es el menor junto con HeapSort, es el ganador claro para este problema.</w:t>
      </w:r>
    </w:p>
    <w:p>
      <w:pPr>
        <w:pStyle w:val="Heading2"/>
      </w:pPr>
      <w:r>
        <w:t>¿Por qué la complejidad teórica difiere a veces de los resultados prácticos?</w:t>
      </w:r>
    </w:p>
    <w:p>
      <w:r>
        <w:t>Las tres estrategias son O(n log n) en promedio y sin embargo sus tiempos difieren hasta en un factor de 2,3. La notación Big O cuenta operaciones y descarta deliberadamente los factores constantes, los patrones de acceso a memoria y los efectos del hardware, que son precisamente los que dominan a escala real:</w:t>
      </w:r>
    </w:p>
    <w:p>
      <w:pPr>
        <w:pStyle w:val="ListBullet"/>
      </w:pPr>
      <w:r>
        <w:t>Localidad de caché: los recorridos de particionamiento de QuickSort son secuenciales; el siftDown de HeapSort salta entre los índices i, 2i+1 y 2i+2, que para n grande están lejos entre sí y provocan fallos de caché aun realizando un número comparable de comparaciones. La Figura 3 cuantifica ese efecto: el costo normalizado de HeapSort crece un 31 % mientras el de QuickSort permanece plano.</w:t>
      </w:r>
    </w:p>
    <w:p>
      <w:pPr>
        <w:pStyle w:val="ListBullet"/>
      </w:pPr>
      <w:r>
        <w:t>Costo de asignación dinámica: el AVL realiza 100.000 asignaciones individuales, una por nodo, además del recorrido por punteros durante inserciones y rotaciones. Esa sobrecarga por operación es muy superior a la de indexar un arreglo, aunque su complejidad asintótica sea la misma.</w:t>
      </w:r>
    </w:p>
    <w:p>
      <w:pPr>
        <w:pStyle w:val="ListBullet"/>
      </w:pPr>
      <w:r>
        <w:t>Factores constantes del algoritmo: HeapSort realiza en la práctica más comparaciones e intercambios que el caso promedio de QuickSort, pese a compartir la misma clase de complejidad.</w:t>
      </w:r>
    </w:p>
    <w:p>
      <w:pPr>
        <w:pStyle w:val="ListBullet"/>
      </w:pPr>
      <w:r>
        <w:t>La forma de la entrada importa tanto como su tamaño: el Experimento A muestra que la misma implementación puede variar 2,5 veces según cómo lleguen ordenados los datos, algo que la notación Big O del caso promedio no captura.</w:t>
      </w:r>
    </w:p>
    <w:p>
      <w:pPr>
        <w:pStyle w:val="Heading2"/>
      </w:pPr>
      <w:r>
        <w:t>¿Qué ventajas y desventajas presenta cada estructura?</w:t>
      </w:r>
    </w:p>
    <w:tbl>
      <w:tblPr>
        <w:tblW w:type="auto" w:w="0"/>
        <w:jc w:val="center"/>
        <w:tblLayout w:type="fixed"/>
        <w:tblLook w:firstColumn="1" w:firstRow="1" w:lastColumn="0" w:lastRow="0" w:noHBand="0" w:noVBand="1" w:val="04A0"/>
      </w:tblPr>
      <w:tblGrid>
        <w:gridCol w:w="2880"/>
        <w:gridCol w:w="2880"/>
        <w:gridCol w:w="2880"/>
      </w:tblGrid>
      <w:tr>
        <w:tc>
          <w:tcPr>
            <w:tcW w:type="dxa" w:w="1728"/>
            <w:shd w:val="clear" w:color="auto" w:fill="2F5496"/>
          </w:tcPr>
          <w:p>
            <w:r/>
            <w:r>
              <w:rPr>
                <w:b/>
                <w:color w:val="FFFFFF"/>
                <w:sz w:val="19"/>
              </w:rPr>
              <w:t>Estructura</w:t>
            </w:r>
          </w:p>
        </w:tc>
        <w:tc>
          <w:tcPr>
            <w:tcW w:type="dxa" w:w="3600"/>
            <w:shd w:val="clear" w:color="auto" w:fill="2F5496"/>
          </w:tcPr>
          <w:p>
            <w:r/>
            <w:r>
              <w:rPr>
                <w:b/>
                <w:color w:val="FFFFFF"/>
                <w:sz w:val="19"/>
              </w:rPr>
              <w:t>Ventajas</w:t>
            </w:r>
          </w:p>
        </w:tc>
        <w:tc>
          <w:tcPr>
            <w:tcW w:type="dxa" w:w="3600"/>
            <w:shd w:val="clear" w:color="auto" w:fill="2F5496"/>
          </w:tcPr>
          <w:p>
            <w:r/>
            <w:r>
              <w:rPr>
                <w:b/>
                <w:color w:val="FFFFFF"/>
                <w:sz w:val="19"/>
              </w:rPr>
              <w:t>Desventajas</w:t>
            </w:r>
          </w:p>
        </w:tc>
      </w:tr>
      <w:tr>
        <w:tc>
          <w:tcPr>
            <w:tcW w:type="dxa" w:w="1728"/>
          </w:tcPr>
          <w:p>
            <w:r/>
            <w:r>
              <w:rPr>
                <w:b/>
                <w:sz w:val="19"/>
              </w:rPr>
              <w:t>vector + QuickSort</w:t>
            </w:r>
          </w:p>
        </w:tc>
        <w:tc>
          <w:tcPr>
            <w:tcW w:type="dxa" w:w="3600"/>
          </w:tcPr>
          <w:p>
            <w:r/>
            <w:r>
              <w:rPr>
                <w:b w:val="0"/>
                <w:sz w:val="19"/>
              </w:rPr>
              <w:t>La más rápida en la práctica; excelente localidad de caché; in-place; bajo consumo de memoria; escala de forma casi ideal.</w:t>
            </w:r>
          </w:p>
        </w:tc>
        <w:tc>
          <w:tcPr>
            <w:tcW w:type="dxa" w:w="3600"/>
          </w:tcPr>
          <w:p>
            <w:r/>
            <w:r>
              <w:rPr>
                <w:b w:val="0"/>
                <w:sz w:val="19"/>
              </w:rPr>
              <w:t>Peor caso O(n²) si no se protege la elección del pivote; no es estable; requiere O(log n) de pila por la recursión.</w:t>
            </w:r>
          </w:p>
        </w:tc>
      </w:tr>
      <w:tr>
        <w:tc>
          <w:tcPr>
            <w:tcW w:type="dxa" w:w="1728"/>
          </w:tcPr>
          <w:p>
            <w:r/>
            <w:r>
              <w:rPr>
                <w:b/>
                <w:sz w:val="19"/>
              </w:rPr>
              <w:t>vector + HeapSort</w:t>
            </w:r>
          </w:p>
        </w:tc>
        <w:tc>
          <w:tcPr>
            <w:tcW w:type="dxa" w:w="3600"/>
          </w:tcPr>
          <w:p>
            <w:r/>
            <w:r>
              <w:rPr>
                <w:b w:val="0"/>
                <w:sz w:val="19"/>
              </w:rPr>
              <w:t>Peor caso garantizado en O(n log n); solo O(1) de espacio extra; in-place; el más predecible ante cualquier forma de entrada.</w:t>
            </w:r>
          </w:p>
        </w:tc>
        <w:tc>
          <w:tcPr>
            <w:tcW w:type="dxa" w:w="3600"/>
          </w:tcPr>
          <w:p>
            <w:r/>
            <w:r>
              <w:rPr>
                <w:b w:val="0"/>
                <w:sz w:val="19"/>
              </w:rPr>
              <w:t>Mala localidad de caché; más comparaciones e intercambios que QuickSort; no es estable; fue el más lento en los tres escenarios.</w:t>
            </w:r>
          </w:p>
        </w:tc>
      </w:tr>
      <w:tr>
        <w:tc>
          <w:tcPr>
            <w:tcW w:type="dxa" w:w="1728"/>
          </w:tcPr>
          <w:p>
            <w:r/>
            <w:r>
              <w:rPr>
                <w:b/>
                <w:sz w:val="19"/>
              </w:rPr>
              <w:t>Árbol AVL</w:t>
            </w:r>
          </w:p>
        </w:tc>
        <w:tc>
          <w:tcPr>
            <w:tcW w:type="dxa" w:w="3600"/>
          </w:tcPr>
          <w:p>
            <w:r/>
            <w:r>
              <w:rPr>
                <w:b w:val="0"/>
                <w:sz w:val="19"/>
              </w:rPr>
              <w:t>Mantiene los datos ordenados y consultables en todo momento (inserción, búsqueda y eliminación en O(log n)); útil mucho más allá de un ordenamiento puntual.</w:t>
            </w:r>
          </w:p>
        </w:tc>
        <w:tc>
          <w:tcPr>
            <w:tcW w:type="dxa" w:w="3600"/>
          </w:tcPr>
          <w:p>
            <w:r/>
            <w:r>
              <w:rPr>
                <w:b w:val="0"/>
                <w:sz w:val="19"/>
              </w:rPr>
              <w:t>El mayor consumo de memoria (58 % adicional); el recorrido por punteros perjudica la caché; el más complejo de implementar correctamente por las rotaciones; su costo normalizado es el que más se degrada al crecer n.</w:t>
            </w:r>
          </w:p>
        </w:tc>
      </w:tr>
    </w:tbl>
    <w:p/>
    <w:p>
      <w:pPr>
        <w:pStyle w:val="Heading1"/>
      </w:pPr>
      <w:r>
        <w:t>7. Conclusiones</w:t>
      </w:r>
    </w:p>
    <w:p>
      <w:r>
        <w:t>Para ordenar un conjunto de datos estático y ya recolectado, como el de esta práctica, las estrategias basadas en arreglo son la herramienta adecuada. QuickSort con mediana de tres es la opción más apropiada para este problema: fue la más rápida en los tres escenarios evaluados, es la que mejor escala según el análisis normalizado, y su consumo de memoria es el menor. La protección del pivote resuelve en la práctica su única debilidad teórica, y el Experimento A lo demuestra empíricamente en lugar de simplemente afirmarlo.</w:t>
      </w:r>
    </w:p>
    <w:p>
      <w:r>
        <w:t>HeapSort es la elección más segura cuando importa más una garantía de peor caso que la velocidad promedio: entradas adversariales o desconocidas, o restricciones de tiempo real. Fue además el más estable frente a la forma de la entrada, con apenas un 40 % de variación entre escenarios frente al 171 % de QuickSort, y el único que garantiza O(1) de espacio adicional. Su precio es ser consistentemente el más lento de los tres.</w:t>
      </w:r>
    </w:p>
    <w:p>
      <w:r>
        <w:t>El árbol AVL no es la estructura apropiada para una tarea de ordenamiento por lotes. Su 58 % adicional de memoria y su mayor tiempo de construcción son el costo de una propiedad que este problema no necesita: mantener el orden bajo inserciones y eliminaciones continuas. Un AVL justifica su sobrecarga cuando la carga de trabajo exige búsquedas, inserciones o eliminaciones intercaladas con los datos ordenados —por ejemplo, un diccionario o un índice que cambia con el tiempo— y no cuando los datos se ordenan una sola vez y luego se leen secuencialmente.</w:t>
      </w:r>
    </w:p>
    <w:p>
      <w:r>
        <w:t>En términos más generales, el trabajo experimental muestra que la complejidad Big O predice cómo escala un algoritmo, pero no determina por sí sola cuál será el más rápido a un tamaño de entrada fijo. Los factores constantes introducidos por la disposición de la memoria (arreglo contiguo frente a nodos dispersos asignados dinámicamente) y por los patrones de acceso (recorrido secuencial frente a seguimiento de punteros) son los que deciden el resultado en la práctica. La Figura 3 lo hace visible: tres implementaciones de la misma clase de complejidad, con factores constantes que difieren entre sí y que además evolucionan de manera distinta conforme crece el problema.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