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Ringkasan Eksekutif: Survei Kebiasaan Belanja Online Mahasiswa</w:t>
      </w:r>
    </w:p>
    <w:p/>
    <w:p>
      <w:r>
        <w:t>Survei ini memetakan kebiasaan belanja online mahasiswa usia 18-24 tahun di 5 kampus di Medan pada Maret-April 2026. Dari 500 mahasiswa yang diundang, 350 mengisi survei online 24 pertanyaan. Hasilnya dilengkapi 12 wawancara mendalam dan analisis riwayat transaksi. Angka dalam dokumen ini adalah data contoh.</w:t>
      </w:r>
    </w:p>
    <w:p>
      <w:pPr>
        <w:pStyle w:val="Heading1"/>
      </w:pPr>
      <w:r>
        <w:t>Temuan utama</w:t>
      </w:r>
    </w:p>
    <w:p>
      <w:pPr>
        <w:pStyle w:val="ListBullet"/>
      </w:pPr>
      <w:r>
        <w:t>72% mahasiswa belanja online minimal sebulan sekali, dengan rata-rata belanja Rp 310.000 per bulan.</w:t>
      </w:r>
    </w:p>
    <w:p>
      <w:pPr>
        <w:pStyle w:val="ListBullet"/>
      </w:pPr>
      <w:r>
        <w:t>64% membayar dengan e-wallet dan 23% memakai paylater; 41% pernah menyesal membeli karena diskon.</w:t>
      </w:r>
    </w:p>
    <w:p>
      <w:pPr>
        <w:pStyle w:val="ListBullet"/>
      </w:pPr>
      <w:r>
        <w:t>Belanja lewat live streaming naik dari 12% pada 2024 menjadi 29% pada 2026.</w:t>
      </w:r>
    </w:p>
    <w:p>
      <w:pPr>
        <w:pStyle w:val="Heading1"/>
      </w:pPr>
      <w:r>
        <w:t>Alasan utama belanja online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66092"/>
          </w:tcPr>
          <w:p>
            <w:r>
              <w:rPr>
                <w:b/>
                <w:color w:val="FFFFFF"/>
              </w:rPr>
              <w:t>Alasan</w:t>
            </w:r>
          </w:p>
        </w:tc>
        <w:tc>
          <w:tcPr>
            <w:tcW w:type="dxa" w:w="4320"/>
            <w:shd w:val="clear" w:color="auto" w:fill="366092"/>
          </w:tcPr>
          <w:p>
            <w:r>
              <w:rPr>
                <w:b/>
                <w:color w:val="FFFFFF"/>
              </w:rPr>
              <w:t>Persentase responden</w:t>
            </w:r>
          </w:p>
        </w:tc>
      </w:tr>
      <w:tr>
        <w:tc>
          <w:tcPr>
            <w:tcW w:type="dxa" w:w="4320"/>
          </w:tcPr>
          <w:p>
            <w:r>
              <w:t>Harga</w:t>
            </w:r>
          </w:p>
        </w:tc>
        <w:tc>
          <w:tcPr>
            <w:tcW w:type="dxa" w:w="4320"/>
          </w:tcPr>
          <w:p>
            <w:r>
              <w:t>54%</w:t>
            </w:r>
          </w:p>
        </w:tc>
      </w:tr>
      <w:tr>
        <w:tc>
          <w:tcPr>
            <w:tcW w:type="dxa" w:w="4320"/>
          </w:tcPr>
          <w:p>
            <w:r>
              <w:t>Kemudahan</w:t>
            </w:r>
          </w:p>
        </w:tc>
        <w:tc>
          <w:tcPr>
            <w:tcW w:type="dxa" w:w="4320"/>
          </w:tcPr>
          <w:p>
            <w:r>
              <w:t>31%</w:t>
            </w:r>
          </w:p>
        </w:tc>
      </w:tr>
      <w:tr>
        <w:tc>
          <w:tcPr>
            <w:tcW w:type="dxa" w:w="4320"/>
          </w:tcPr>
          <w:p>
            <w:r>
              <w:t>Pilihan produk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</w:tbl>
    <w:p/>
    <w:p>
      <w:pPr>
        <w:pStyle w:val="Heading1"/>
      </w:pPr>
      <w:r>
        <w:t>Rekomendasi</w:t>
      </w:r>
    </w:p>
    <w:p>
      <w:pPr>
        <w:pStyle w:val="ListBullet"/>
      </w:pPr>
      <w:r>
        <w:t>Mahasiswa membuat anggaran belanja bulanan.</w:t>
      </w:r>
    </w:p>
    <w:p>
      <w:pPr>
        <w:pStyle w:val="ListBullet"/>
      </w:pPr>
      <w:r>
        <w:t>Kampus mengadakan kelas literasi keuangan.</w:t>
      </w:r>
    </w:p>
    <w:p>
      <w:pPr>
        <w:pStyle w:val="ListBullet"/>
      </w:pPr>
      <w:r>
        <w:t>Platform menampilkan batas paylater dengan jelas.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