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Ringkasan Eksekutif Survei Kebiasaan Belanja Online Mahasiswa</w:t>
      </w:r>
    </w:p>
    <w:p/>
    <w:p>
      <w:r>
        <w:t>Survei ini meneliti kebiasaan belanja online mahasiswa di Medan, yang menunjukkan tingkat keterlibatan yang signifikan dalam e-commerce. Hasil penelitian mengungkapkan bahwa mayoritas mahasiswa (72%) berbelanja secara online setidaknya sekali sebulan, didorong terutama oleh faktor harga, kemudahan, dan pilihan produk yang beragam. Selain itu, tren baru muncul dengan peningkatan penggunaan belanja melalui live streaming dan popularitas layanan paylater di kalangan mahasiswa. Rekomendasi strategis ditawarkan untuk memaksimalkan peluang bisnis dan meningkatkan literasi keuangan di kalangan mahasiswa.</w:t>
      </w:r>
    </w:p>
    <w:p>
      <w:pPr>
        <w:pStyle w:val="Heading1"/>
      </w:pPr>
      <w:r>
        <w:t>Temuan Utama</w:t>
      </w:r>
    </w:p>
    <w:p>
      <w:pPr>
        <w:pStyle w:val="ListBullet"/>
      </w:pPr>
      <w:r>
        <w:t>Dominasi Harga dan Kemudahan: 54% responden memilih belanja online karena harga yang lebih kompetitif, sementara 31% mengutamakan kemudahan proses pembelian. Pilihan produk yang beragam menjadi faktor penting bagi 15% responden.</w:t>
      </w:r>
    </w:p>
    <w:p>
      <w:pPr>
        <w:pStyle w:val="ListBullet"/>
      </w:pPr>
      <w:r>
        <w:t>Peningkatan Belanja Live Streaming: Penggunaan platform live streaming untuk berbelanja meningkat secara signifikan dari 12% pada tahun 2024 menjadi 29% pada tahun 2026, mencerminkan preferensi generasi muda terhadap pengalaman belanja interaktif.</w:t>
      </w:r>
    </w:p>
    <w:p>
      <w:pPr>
        <w:pStyle w:val="ListBullet"/>
      </w:pPr>
      <w:r>
        <w:t>Adopsi Paylater dan Penyesalan Diskon: 23% mahasiswa menggunakan layanan paylater, sementara 41% pernah mengalami penyesalan setelah melakukan pembelian karena promosi atau diskon yang ditawarkan.</w:t>
      </w:r>
    </w:p>
    <w:p>
      <w:pPr>
        <w:pStyle w:val="Heading1"/>
      </w:pPr>
      <w:r>
        <w:t>Tabel Alasan Utama Belanja Online</w:t>
      </w:r>
    </w:p>
    <w:tbl>
      <w:tblPr>
        <w:tblStyle w:val="TableGrid"/>
        <w:tblW w:type="auto" w:w="0"/>
        <w:tblLook w:firstColumn="1" w:firstRow="1" w:lastColumn="0" w:lastRow="0" w:noHBand="0" w:noVBand="1" w:val="04A0"/>
      </w:tblPr>
      <w:tblGrid>
        <w:gridCol w:w="4320"/>
        <w:gridCol w:w="4320"/>
      </w:tblGrid>
      <w:tr>
        <w:tc>
          <w:tcPr>
            <w:tcW w:type="dxa" w:w="4320"/>
            <w:shd w:val="clear" w:color="auto" w:fill="366092"/>
          </w:tcPr>
          <w:p>
            <w:r>
              <w:rPr>
                <w:b/>
                <w:color w:val="FFFFFF"/>
              </w:rPr>
              <w:t>Alasan</w:t>
            </w:r>
          </w:p>
        </w:tc>
        <w:tc>
          <w:tcPr>
            <w:tcW w:type="dxa" w:w="4320"/>
            <w:shd w:val="clear" w:color="auto" w:fill="366092"/>
          </w:tcPr>
          <w:p>
            <w:r>
              <w:rPr>
                <w:b/>
                <w:color w:val="FFFFFF"/>
              </w:rPr>
              <w:t>Persentase (%)</w:t>
            </w:r>
          </w:p>
        </w:tc>
      </w:tr>
      <w:tr>
        <w:tc>
          <w:tcPr>
            <w:tcW w:type="dxa" w:w="4320"/>
          </w:tcPr>
          <w:p>
            <w:r>
              <w:t>Harga</w:t>
            </w:r>
          </w:p>
        </w:tc>
        <w:tc>
          <w:tcPr>
            <w:tcW w:type="dxa" w:w="4320"/>
          </w:tcPr>
          <w:p>
            <w:r>
              <w:t>54</w:t>
            </w:r>
          </w:p>
        </w:tc>
      </w:tr>
      <w:tr>
        <w:tc>
          <w:tcPr>
            <w:tcW w:type="dxa" w:w="4320"/>
          </w:tcPr>
          <w:p>
            <w:r>
              <w:t>Kemudahan</w:t>
            </w:r>
          </w:p>
        </w:tc>
        <w:tc>
          <w:tcPr>
            <w:tcW w:type="dxa" w:w="4320"/>
          </w:tcPr>
          <w:p>
            <w:r>
              <w:t>31</w:t>
            </w:r>
          </w:p>
        </w:tc>
      </w:tr>
      <w:tr>
        <w:tc>
          <w:tcPr>
            <w:tcW w:type="dxa" w:w="4320"/>
          </w:tcPr>
          <w:p>
            <w:r>
              <w:t>Pilihan Produk</w:t>
            </w:r>
          </w:p>
        </w:tc>
        <w:tc>
          <w:tcPr>
            <w:tcW w:type="dxa" w:w="4320"/>
          </w:tcPr>
          <w:p>
            <w:r>
              <w:t>15</w:t>
            </w:r>
          </w:p>
        </w:tc>
      </w:tr>
      <w:tr>
        <w:tc>
          <w:tcPr>
            <w:tcW w:type="dxa" w:w="4320"/>
          </w:tcPr>
          <w:p>
            <w:r>
              <w:t>Live Streaming</w:t>
            </w:r>
          </w:p>
        </w:tc>
        <w:tc>
          <w:tcPr>
            <w:tcW w:type="dxa" w:w="4320"/>
          </w:tcPr>
          <w:p>
            <w:r>
              <w:t>29</w:t>
            </w:r>
          </w:p>
        </w:tc>
      </w:tr>
      <w:tr>
        <w:tc>
          <w:tcPr>
            <w:tcW w:type="dxa" w:w="4320"/>
          </w:tcPr>
          <w:p>
            <w:r>
              <w:t>Paylater</w:t>
            </w:r>
          </w:p>
        </w:tc>
        <w:tc>
          <w:tcPr>
            <w:tcW w:type="dxa" w:w="4320"/>
          </w:tcPr>
          <w:p>
            <w:r>
              <w:t>23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