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Ringkasan Eksekutif Survei Kebiasaan Belanja Online Mahasiswa</w:t>
      </w:r>
    </w:p>
    <w:p>
      <w:pPr>
        <w:jc w:val="center"/>
      </w:pPr>
      <w:r>
        <w:rPr>
          <w:i/>
          <w:color w:val="606060"/>
        </w:rPr>
        <w:t>Tim Survei</w:t>
      </w:r>
    </w:p>
    <w:p/>
    <w:p>
      <w:r>
        <w:t>Survei ini bertujuan untuk memahami kebiasaan belanja online mahasiswa di Indonesia. Survei dilakukan pada 350 dari 500 mahasiswa yang diundang, dengan usia 18-24 tahun, dari 5 kampus di Medan, pada bulan Maret-April 2026. Metode yang digunakan meliputi survei online dengan 24 pertanyaan, 12 wawancara mendalam, dan analisis riwayat transaksi. Hasil survei menunjukkan beberapa temuan utama yang dapat menjadi acuan untuk pengambilan keputusan dan pengembangan strategi.</w:t>
      </w:r>
    </w:p>
    <w:p>
      <w:pPr>
        <w:pStyle w:val="ListBullet"/>
      </w:pPr>
      <w:r>
        <w:t>72% dari responden belanja online minimal sebulan sekali.</w:t>
      </w:r>
    </w:p>
    <w:p>
      <w:pPr>
        <w:pStyle w:val="ListBullet"/>
      </w:pPr>
      <w:r>
        <w:t>Rata-rata belanja online per bulan mencapai Rp 310.000.</w:t>
      </w:r>
    </w:p>
    <w:p>
      <w:pPr>
        <w:pStyle w:val="ListBullet"/>
      </w:pPr>
      <w:r>
        <w:t>64% dari responden menggunakan e-wallet sebagai metode pembayaran utama.</w:t>
      </w:r>
    </w:p>
    <w:tbl>
      <w:tblPr>
        <w:tblStyle w:val="TableGrid"/>
        <w:tblW w:type="auto" w:w="0"/>
        <w:tblLook w:firstColumn="1" w:firstRow="1" w:lastColumn="0" w:lastRow="0" w:noHBand="0" w:noVBand="1" w:val="04A0"/>
      </w:tblPr>
      <w:tblGrid>
        <w:gridCol w:w="4320"/>
        <w:gridCol w:w="4320"/>
      </w:tblGrid>
      <w:tr>
        <w:tc>
          <w:tcPr>
            <w:tcW w:type="dxa" w:w="4320"/>
            <w:shd w:val="clear" w:color="auto" w:fill="366092"/>
          </w:tcPr>
          <w:p>
            <w:r>
              <w:rPr>
                <w:b/>
                <w:color w:val="FFFFFF"/>
              </w:rPr>
              <w:t>Alasan Utama</w:t>
            </w:r>
          </w:p>
        </w:tc>
        <w:tc>
          <w:tcPr>
            <w:tcW w:type="dxa" w:w="4320"/>
            <w:shd w:val="clear" w:color="auto" w:fill="366092"/>
          </w:tcPr>
          <w:p>
            <w:r>
              <w:rPr>
                <w:b/>
                <w:color w:val="FFFFFF"/>
              </w:rPr>
              <w:t>Persentase</w:t>
            </w:r>
          </w:p>
        </w:tc>
      </w:tr>
      <w:tr>
        <w:tc>
          <w:tcPr>
            <w:tcW w:type="dxa" w:w="4320"/>
          </w:tcPr>
          <w:p>
            <w:r>
              <w:t>Harga</w:t>
            </w:r>
          </w:p>
        </w:tc>
        <w:tc>
          <w:tcPr>
            <w:tcW w:type="dxa" w:w="4320"/>
          </w:tcPr>
          <w:p>
            <w:r>
              <w:t>54%</w:t>
            </w:r>
          </w:p>
        </w:tc>
      </w:tr>
      <w:tr>
        <w:tc>
          <w:tcPr>
            <w:tcW w:type="dxa" w:w="4320"/>
          </w:tcPr>
          <w:p>
            <w:r>
              <w:t>Kemudahan</w:t>
            </w:r>
          </w:p>
        </w:tc>
        <w:tc>
          <w:tcPr>
            <w:tcW w:type="dxa" w:w="4320"/>
          </w:tcPr>
          <w:p>
            <w:r>
              <w:t>31%</w:t>
            </w:r>
          </w:p>
        </w:tc>
      </w:tr>
      <w:tr>
        <w:tc>
          <w:tcPr>
            <w:tcW w:type="dxa" w:w="4320"/>
          </w:tcPr>
          <w:p>
            <w:r>
              <w:t>Pilihan Produk</w:t>
            </w:r>
          </w:p>
        </w:tc>
        <w:tc>
          <w:tcPr>
            <w:tcW w:type="dxa" w:w="4320"/>
          </w:tcPr>
          <w:p>
            <w:r>
              <w:t>15%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