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DF91" w14:textId="64934147" w:rsidR="00823156" w:rsidRPr="00921CAD" w:rsidRDefault="00823156" w:rsidP="00A60591">
      <w:pPr>
        <w:spacing w:line="360" w:lineRule="auto"/>
        <w:rPr>
          <w:rFonts w:ascii="Palatino Linotype" w:hAnsi="Palatino Linotype"/>
          <w:b/>
          <w:color w:val="000000" w:themeColor="text1"/>
        </w:rPr>
      </w:pPr>
      <w:r w:rsidRPr="00921CAD">
        <w:rPr>
          <w:rFonts w:ascii="Palatino Linotype" w:hAnsi="Palatino Linotype"/>
          <w:b/>
          <w:color w:val="000000" w:themeColor="text1"/>
        </w:rPr>
        <w:t>Supplementary methods</w:t>
      </w:r>
    </w:p>
    <w:p w14:paraId="4DFA8475" w14:textId="77777777" w:rsidR="00D35B08" w:rsidRPr="00921CAD" w:rsidRDefault="00D35B08" w:rsidP="00A35F91">
      <w:pPr>
        <w:rPr>
          <w:rFonts w:ascii="Palatino Linotype" w:hAnsi="Palatino Linotype"/>
          <w:color w:val="000000" w:themeColor="text1"/>
        </w:rPr>
      </w:pPr>
      <w:r w:rsidRPr="00921CAD">
        <w:rPr>
          <w:rFonts w:ascii="Palatino Linotype" w:hAnsi="Palatino Linotype"/>
          <w:b/>
          <w:color w:val="000000" w:themeColor="text1"/>
        </w:rPr>
        <w:t>Title:</w:t>
      </w:r>
      <w:r w:rsidRPr="00921CAD">
        <w:rPr>
          <w:rFonts w:ascii="Palatino Linotype" w:hAnsi="Palatino Linotype"/>
          <w:color w:val="000000" w:themeColor="text1"/>
        </w:rPr>
        <w:t xml:space="preserve"> Consequences of microbial diversity in forest nitrogen cycling: Diverse ammonifiers and specialized ammonia oxidizers</w:t>
      </w:r>
    </w:p>
    <w:p w14:paraId="1EB868ED" w14:textId="77777777" w:rsidR="00D35B08" w:rsidRPr="00921CAD" w:rsidRDefault="00D35B08" w:rsidP="00F82499">
      <w:pPr>
        <w:rPr>
          <w:rFonts w:ascii="Palatino Linotype" w:hAnsi="Palatino Linotype"/>
          <w:b/>
          <w:color w:val="000000" w:themeColor="text1"/>
        </w:rPr>
      </w:pPr>
    </w:p>
    <w:p w14:paraId="6FB15D9A" w14:textId="77777777" w:rsidR="00D35B08" w:rsidRPr="00921CAD" w:rsidRDefault="00D35B08" w:rsidP="00E422DA">
      <w:pPr>
        <w:rPr>
          <w:rFonts w:ascii="Palatino Linotype" w:hAnsi="Palatino Linotype"/>
          <w:color w:val="000000" w:themeColor="text1"/>
        </w:rPr>
      </w:pPr>
      <w:r w:rsidRPr="00921CAD">
        <w:rPr>
          <w:rFonts w:ascii="Palatino Linotype" w:hAnsi="Palatino Linotype"/>
          <w:b/>
          <w:color w:val="000000" w:themeColor="text1"/>
        </w:rPr>
        <w:t>Authors:</w:t>
      </w:r>
    </w:p>
    <w:p w14:paraId="0260D80E" w14:textId="77777777" w:rsidR="00D35B08" w:rsidRPr="00921CAD" w:rsidRDefault="00D35B08" w:rsidP="00757CD2">
      <w:pPr>
        <w:rPr>
          <w:rFonts w:ascii="Palatino Linotype" w:hAnsi="Palatino Linotype"/>
          <w:color w:val="000000" w:themeColor="text1"/>
        </w:rPr>
      </w:pPr>
      <w:r w:rsidRPr="00921CAD">
        <w:rPr>
          <w:rFonts w:ascii="Palatino Linotype" w:hAnsi="Palatino Linotype"/>
          <w:color w:val="000000" w:themeColor="text1"/>
        </w:rPr>
        <w:t>Kazuo Isobe</w:t>
      </w:r>
      <w:r w:rsidRPr="00921CAD">
        <w:rPr>
          <w:rFonts w:ascii="Palatino Linotype" w:hAnsi="Palatino Linotype"/>
          <w:color w:val="000000" w:themeColor="text1"/>
          <w:vertAlign w:val="superscript"/>
        </w:rPr>
        <w:t>1*</w:t>
      </w:r>
      <w:r w:rsidRPr="00921CAD">
        <w:rPr>
          <w:rFonts w:ascii="Palatino Linotype" w:hAnsi="Palatino Linotype"/>
          <w:color w:val="000000" w:themeColor="text1"/>
        </w:rPr>
        <w:t>, Yuta Ise</w:t>
      </w:r>
      <w:r w:rsidRPr="00921CAD">
        <w:rPr>
          <w:rFonts w:ascii="Palatino Linotype" w:hAnsi="Palatino Linotype"/>
          <w:color w:val="000000" w:themeColor="text1"/>
          <w:vertAlign w:val="superscript"/>
        </w:rPr>
        <w:t>1</w:t>
      </w:r>
      <w:r w:rsidRPr="00921CAD">
        <w:rPr>
          <w:rFonts w:ascii="Palatino Linotype" w:hAnsi="Palatino Linotype"/>
          <w:color w:val="000000" w:themeColor="text1"/>
        </w:rPr>
        <w:t>, Hiroyu Kato</w:t>
      </w:r>
      <w:r w:rsidRPr="00921CAD">
        <w:rPr>
          <w:rFonts w:ascii="Palatino Linotype" w:hAnsi="Palatino Linotype"/>
          <w:color w:val="000000" w:themeColor="text1"/>
          <w:vertAlign w:val="superscript"/>
        </w:rPr>
        <w:t>1</w:t>
      </w:r>
      <w:r w:rsidRPr="00921CAD">
        <w:rPr>
          <w:rFonts w:ascii="Palatino Linotype" w:hAnsi="Palatino Linotype"/>
          <w:color w:val="000000" w:themeColor="text1"/>
        </w:rPr>
        <w:t>, Tomoki Oda</w:t>
      </w:r>
      <w:r w:rsidRPr="00921CAD">
        <w:rPr>
          <w:rFonts w:ascii="Palatino Linotype" w:hAnsi="Palatino Linotype"/>
          <w:color w:val="000000" w:themeColor="text1"/>
          <w:vertAlign w:val="superscript"/>
        </w:rPr>
        <w:t>1</w:t>
      </w:r>
      <w:r w:rsidRPr="00921CAD">
        <w:rPr>
          <w:rFonts w:ascii="Palatino Linotype" w:hAnsi="Palatino Linotype"/>
          <w:color w:val="000000" w:themeColor="text1"/>
        </w:rPr>
        <w:t>, Christian E. Vincenot</w:t>
      </w:r>
      <w:r w:rsidRPr="00921CAD">
        <w:rPr>
          <w:rFonts w:ascii="Palatino Linotype" w:hAnsi="Palatino Linotype"/>
          <w:color w:val="000000" w:themeColor="text1"/>
          <w:vertAlign w:val="superscript"/>
        </w:rPr>
        <w:t>2</w:t>
      </w:r>
      <w:r w:rsidRPr="00921CAD">
        <w:rPr>
          <w:rFonts w:ascii="Palatino Linotype" w:hAnsi="Palatino Linotype"/>
          <w:color w:val="000000" w:themeColor="text1"/>
        </w:rPr>
        <w:t>, Keisuke Koba</w:t>
      </w:r>
      <w:r w:rsidRPr="00921CAD">
        <w:rPr>
          <w:rFonts w:ascii="Palatino Linotype" w:hAnsi="Palatino Linotype"/>
          <w:color w:val="000000" w:themeColor="text1"/>
          <w:vertAlign w:val="superscript"/>
        </w:rPr>
        <w:t>3</w:t>
      </w:r>
      <w:r w:rsidRPr="00921CAD">
        <w:rPr>
          <w:rFonts w:ascii="Palatino Linotype" w:hAnsi="Palatino Linotype"/>
          <w:color w:val="000000" w:themeColor="text1"/>
        </w:rPr>
        <w:t>, Ryunosuke Tateno</w:t>
      </w:r>
      <w:r w:rsidRPr="00921CAD">
        <w:rPr>
          <w:rFonts w:ascii="Palatino Linotype" w:hAnsi="Palatino Linotype"/>
          <w:color w:val="000000" w:themeColor="text1"/>
          <w:vertAlign w:val="superscript"/>
        </w:rPr>
        <w:t>4</w:t>
      </w:r>
      <w:r w:rsidRPr="00921CAD">
        <w:rPr>
          <w:rFonts w:ascii="Palatino Linotype" w:hAnsi="Palatino Linotype"/>
          <w:color w:val="000000" w:themeColor="text1"/>
        </w:rPr>
        <w:t>, Keishi Senoo</w:t>
      </w:r>
      <w:r w:rsidRPr="00921CAD">
        <w:rPr>
          <w:rFonts w:ascii="Palatino Linotype" w:hAnsi="Palatino Linotype"/>
          <w:color w:val="000000" w:themeColor="text1"/>
          <w:vertAlign w:val="superscript"/>
        </w:rPr>
        <w:t>1</w:t>
      </w:r>
      <w:r w:rsidRPr="00921CAD">
        <w:rPr>
          <w:rFonts w:ascii="Palatino Linotype" w:hAnsi="Palatino Linotype"/>
          <w:color w:val="000000" w:themeColor="text1"/>
        </w:rPr>
        <w:t>, Nobuhito Ohte</w:t>
      </w:r>
      <w:r w:rsidRPr="00921CAD">
        <w:rPr>
          <w:rFonts w:ascii="Palatino Linotype" w:hAnsi="Palatino Linotype"/>
          <w:color w:val="000000" w:themeColor="text1"/>
          <w:vertAlign w:val="superscript"/>
        </w:rPr>
        <w:t>2</w:t>
      </w:r>
    </w:p>
    <w:p w14:paraId="584D5558" w14:textId="77777777" w:rsidR="00D35B08" w:rsidRPr="00921CAD" w:rsidRDefault="00D35B08">
      <w:pPr>
        <w:rPr>
          <w:rFonts w:ascii="Palatino Linotype" w:hAnsi="Palatino Linotype"/>
          <w:color w:val="000000" w:themeColor="text1"/>
        </w:rPr>
      </w:pPr>
    </w:p>
    <w:p w14:paraId="29CFFD05" w14:textId="77777777" w:rsidR="00D35B08" w:rsidRPr="00921CAD" w:rsidRDefault="00D35B08">
      <w:pPr>
        <w:rPr>
          <w:rFonts w:ascii="Palatino Linotype" w:hAnsi="Palatino Linotype"/>
          <w:b/>
          <w:color w:val="000000" w:themeColor="text1"/>
        </w:rPr>
      </w:pPr>
      <w:r w:rsidRPr="00921CAD">
        <w:rPr>
          <w:rFonts w:ascii="Palatino Linotype" w:hAnsi="Palatino Linotype"/>
          <w:b/>
          <w:color w:val="000000" w:themeColor="text1"/>
        </w:rPr>
        <w:t>Affiliations:</w:t>
      </w:r>
    </w:p>
    <w:p w14:paraId="2B2A7073" w14:textId="207C532A" w:rsidR="00D35B08" w:rsidRPr="00921CAD" w:rsidRDefault="00D35B08">
      <w:pPr>
        <w:rPr>
          <w:rFonts w:ascii="Palatino Linotype" w:hAnsi="Palatino Linotype"/>
          <w:color w:val="000000" w:themeColor="text1"/>
        </w:rPr>
      </w:pPr>
      <w:r w:rsidRPr="00921CAD">
        <w:rPr>
          <w:rFonts w:ascii="Palatino Linotype" w:hAnsi="Palatino Linotype"/>
          <w:color w:val="000000" w:themeColor="text1"/>
          <w:vertAlign w:val="superscript"/>
        </w:rPr>
        <w:t>1</w:t>
      </w:r>
      <w:r w:rsidRPr="00921CAD">
        <w:rPr>
          <w:rFonts w:ascii="Palatino Linotype" w:hAnsi="Palatino Linotype"/>
          <w:color w:val="000000" w:themeColor="text1"/>
        </w:rPr>
        <w:t>Graduate School of Agricultural and Life Sciences, The University of Tokyo, Tokyo, Japan</w:t>
      </w:r>
    </w:p>
    <w:p w14:paraId="1628B822" w14:textId="7E7E82BC" w:rsidR="00D35B08" w:rsidRPr="00921CAD" w:rsidRDefault="00D35B08">
      <w:pPr>
        <w:rPr>
          <w:rFonts w:ascii="Palatino Linotype" w:hAnsi="Palatino Linotype"/>
          <w:color w:val="000000" w:themeColor="text1"/>
        </w:rPr>
      </w:pPr>
      <w:r w:rsidRPr="00921CAD">
        <w:rPr>
          <w:rFonts w:ascii="Palatino Linotype" w:hAnsi="Palatino Linotype"/>
          <w:color w:val="000000" w:themeColor="text1"/>
          <w:vertAlign w:val="superscript"/>
        </w:rPr>
        <w:t>2</w:t>
      </w:r>
      <w:r w:rsidRPr="00921CAD">
        <w:rPr>
          <w:rFonts w:ascii="Palatino Linotype" w:hAnsi="Palatino Linotype"/>
          <w:color w:val="000000" w:themeColor="text1"/>
        </w:rPr>
        <w:t>Graduate School of Informatics, Kyoto University, Kyoto, Japan</w:t>
      </w:r>
    </w:p>
    <w:p w14:paraId="332CA75A" w14:textId="77777777" w:rsidR="00D35B08" w:rsidRPr="00921CAD" w:rsidRDefault="00D35B08">
      <w:pPr>
        <w:rPr>
          <w:rFonts w:ascii="Palatino Linotype" w:hAnsi="Palatino Linotype"/>
          <w:iCs/>
          <w:color w:val="000000" w:themeColor="text1"/>
        </w:rPr>
      </w:pPr>
      <w:r w:rsidRPr="00921CAD">
        <w:rPr>
          <w:rFonts w:ascii="Palatino Linotype" w:hAnsi="Palatino Linotype"/>
          <w:iCs/>
          <w:color w:val="000000" w:themeColor="text1"/>
          <w:vertAlign w:val="superscript"/>
        </w:rPr>
        <w:t>3</w:t>
      </w:r>
      <w:r w:rsidRPr="00921CAD">
        <w:rPr>
          <w:rFonts w:ascii="Palatino Linotype" w:hAnsi="Palatino Linotype"/>
          <w:iCs/>
          <w:color w:val="000000" w:themeColor="text1"/>
        </w:rPr>
        <w:t>Center for Ecological Research, Kyoto University</w:t>
      </w:r>
      <w:r w:rsidRPr="00921CAD">
        <w:rPr>
          <w:rFonts w:ascii="Palatino Linotype" w:hAnsi="Palatino Linotype"/>
          <w:color w:val="000000" w:themeColor="text1"/>
        </w:rPr>
        <w:t>, Kyoto, Japan</w:t>
      </w:r>
      <w:r w:rsidRPr="00921CAD">
        <w:rPr>
          <w:rFonts w:ascii="Palatino Linotype" w:hAnsi="Palatino Linotype"/>
          <w:iCs/>
          <w:color w:val="000000" w:themeColor="text1"/>
        </w:rPr>
        <w:t xml:space="preserve"> </w:t>
      </w:r>
    </w:p>
    <w:p w14:paraId="531CE79C" w14:textId="4C5AFDB1" w:rsidR="00D35B08" w:rsidRPr="00921CAD" w:rsidRDefault="00D35B08">
      <w:pPr>
        <w:rPr>
          <w:rFonts w:ascii="Palatino Linotype" w:hAnsi="Palatino Linotype"/>
          <w:iCs/>
          <w:color w:val="000000" w:themeColor="text1"/>
        </w:rPr>
      </w:pPr>
      <w:r w:rsidRPr="00921CAD">
        <w:rPr>
          <w:rFonts w:ascii="Palatino Linotype" w:hAnsi="Palatino Linotype"/>
          <w:color w:val="000000" w:themeColor="text1"/>
          <w:vertAlign w:val="superscript"/>
        </w:rPr>
        <w:t>4</w:t>
      </w:r>
      <w:r w:rsidRPr="00921CAD">
        <w:rPr>
          <w:rFonts w:ascii="Palatino Linotype" w:hAnsi="Palatino Linotype"/>
          <w:color w:val="000000" w:themeColor="text1"/>
        </w:rPr>
        <w:t>Field Science Education and Research Center, Kyoto University, Kyoto, Japan</w:t>
      </w:r>
    </w:p>
    <w:p w14:paraId="16EE2331" w14:textId="77777777" w:rsidR="00D35B08" w:rsidRPr="00921CAD" w:rsidRDefault="00D35B08">
      <w:pPr>
        <w:rPr>
          <w:rFonts w:ascii="Palatino Linotype" w:hAnsi="Palatino Linotype"/>
          <w:color w:val="000000" w:themeColor="text1"/>
        </w:rPr>
      </w:pPr>
    </w:p>
    <w:p w14:paraId="48C8C845" w14:textId="77777777" w:rsidR="00D35B08" w:rsidRPr="00921CAD" w:rsidRDefault="00D35B08">
      <w:pPr>
        <w:rPr>
          <w:rFonts w:ascii="Palatino Linotype" w:hAnsi="Palatino Linotype"/>
          <w:color w:val="000000" w:themeColor="text1"/>
        </w:rPr>
      </w:pPr>
      <w:r w:rsidRPr="00921CAD">
        <w:rPr>
          <w:rFonts w:ascii="Palatino Linotype" w:hAnsi="Palatino Linotype"/>
          <w:b/>
          <w:color w:val="000000" w:themeColor="text1"/>
        </w:rPr>
        <w:t>Corresponding author:</w:t>
      </w:r>
      <w:r w:rsidRPr="00921CAD">
        <w:rPr>
          <w:rFonts w:ascii="Palatino Linotype" w:hAnsi="Palatino Linotype"/>
          <w:color w:val="000000" w:themeColor="text1"/>
        </w:rPr>
        <w:t xml:space="preserve"> </w:t>
      </w:r>
    </w:p>
    <w:p w14:paraId="59B7E51E" w14:textId="77777777" w:rsidR="00D35B08" w:rsidRPr="00921CAD" w:rsidRDefault="00D35B08">
      <w:pPr>
        <w:rPr>
          <w:rFonts w:ascii="Palatino Linotype" w:hAnsi="Palatino Linotype"/>
          <w:color w:val="000000" w:themeColor="text1"/>
        </w:rPr>
      </w:pPr>
      <w:r w:rsidRPr="00921CAD">
        <w:rPr>
          <w:rFonts w:ascii="Palatino Linotype" w:hAnsi="Palatino Linotype"/>
          <w:color w:val="000000" w:themeColor="text1"/>
        </w:rPr>
        <w:t xml:space="preserve">*Kazuo Isobe </w:t>
      </w:r>
    </w:p>
    <w:p w14:paraId="7EDD98DF" w14:textId="77777777" w:rsidR="00D35B08" w:rsidRPr="00921CAD" w:rsidRDefault="00D35B08">
      <w:pPr>
        <w:rPr>
          <w:rFonts w:ascii="Palatino Linotype" w:hAnsi="Palatino Linotype"/>
          <w:color w:val="000000" w:themeColor="text1"/>
        </w:rPr>
      </w:pPr>
      <w:r w:rsidRPr="00921CAD">
        <w:rPr>
          <w:rFonts w:ascii="Palatino Linotype" w:hAnsi="Palatino Linotype"/>
          <w:color w:val="000000" w:themeColor="text1"/>
        </w:rPr>
        <w:t>akisobe@mail.ecc.u-tokyo.ac.jp</w:t>
      </w:r>
    </w:p>
    <w:p w14:paraId="163E8F36" w14:textId="59C35940" w:rsidR="00D35B08" w:rsidRPr="00921CAD" w:rsidRDefault="00D35B08">
      <w:pPr>
        <w:rPr>
          <w:rFonts w:ascii="Palatino Linotype" w:hAnsi="Palatino Linotype"/>
          <w:color w:val="000000" w:themeColor="text1"/>
        </w:rPr>
      </w:pPr>
      <w:r w:rsidRPr="00921CAD">
        <w:rPr>
          <w:rFonts w:ascii="Palatino Linotype" w:hAnsi="Palatino Linotype"/>
          <w:color w:val="000000" w:themeColor="text1"/>
        </w:rPr>
        <w:t>1-1-1 Yayoi</w:t>
      </w:r>
      <w:r w:rsidR="00B03ED6" w:rsidRPr="00921CAD">
        <w:rPr>
          <w:rFonts w:ascii="Palatino Linotype" w:hAnsi="Palatino Linotype"/>
          <w:color w:val="000000" w:themeColor="text1"/>
        </w:rPr>
        <w:t>,</w:t>
      </w:r>
      <w:r w:rsidRPr="00921CAD">
        <w:rPr>
          <w:rFonts w:ascii="Palatino Linotype" w:hAnsi="Palatino Linotype"/>
          <w:color w:val="000000" w:themeColor="text1"/>
        </w:rPr>
        <w:t xml:space="preserve"> Bunkyo-ku</w:t>
      </w:r>
      <w:r w:rsidR="00B03ED6" w:rsidRPr="00921CAD">
        <w:rPr>
          <w:rFonts w:ascii="Palatino Linotype" w:hAnsi="Palatino Linotype"/>
          <w:color w:val="000000" w:themeColor="text1"/>
        </w:rPr>
        <w:t>,</w:t>
      </w:r>
      <w:r w:rsidRPr="00921CAD">
        <w:rPr>
          <w:rFonts w:ascii="Palatino Linotype" w:hAnsi="Palatino Linotype"/>
          <w:color w:val="000000" w:themeColor="text1"/>
        </w:rPr>
        <w:t xml:space="preserve"> Tokyo 113-8657</w:t>
      </w:r>
      <w:r w:rsidR="00B03ED6" w:rsidRPr="00921CAD">
        <w:rPr>
          <w:rFonts w:ascii="Palatino Linotype" w:hAnsi="Palatino Linotype"/>
          <w:color w:val="000000" w:themeColor="text1"/>
        </w:rPr>
        <w:t>,</w:t>
      </w:r>
      <w:r w:rsidRPr="00921CAD">
        <w:rPr>
          <w:rFonts w:ascii="Palatino Linotype" w:hAnsi="Palatino Linotype"/>
          <w:color w:val="000000" w:themeColor="text1"/>
        </w:rPr>
        <w:t xml:space="preserve"> Japan</w:t>
      </w:r>
    </w:p>
    <w:p w14:paraId="7D0DF61E" w14:textId="003C360F" w:rsidR="00823156" w:rsidRPr="00921CAD" w:rsidRDefault="00823156" w:rsidP="00A60591">
      <w:pPr>
        <w:rPr>
          <w:rFonts w:ascii="Palatino Linotype" w:hAnsi="Palatino Linotype"/>
          <w:b/>
          <w:color w:val="000000" w:themeColor="text1"/>
        </w:rPr>
      </w:pPr>
    </w:p>
    <w:p w14:paraId="20F29B31" w14:textId="3643BFF2" w:rsidR="00D35B08" w:rsidRPr="00921CAD" w:rsidRDefault="007B188C" w:rsidP="007B188C">
      <w:pPr>
        <w:rPr>
          <w:rFonts w:ascii="Palatino Linotype" w:hAnsi="Palatino Linotype"/>
          <w:b/>
          <w:color w:val="000000" w:themeColor="text1"/>
        </w:rPr>
      </w:pPr>
      <w:r w:rsidRPr="00921CAD">
        <w:rPr>
          <w:rFonts w:ascii="Palatino Linotype" w:hAnsi="Palatino Linotype"/>
          <w:b/>
          <w:color w:val="000000" w:themeColor="text1"/>
        </w:rPr>
        <w:t>1. Study site</w:t>
      </w:r>
    </w:p>
    <w:p w14:paraId="75ED6A31" w14:textId="77777777" w:rsidR="007B188C" w:rsidRPr="00921CAD" w:rsidRDefault="007B188C" w:rsidP="007B188C">
      <w:pPr>
        <w:rPr>
          <w:rFonts w:ascii="Palatino Linotype" w:hAnsi="Palatino Linotype"/>
          <w:color w:val="000000" w:themeColor="text1"/>
        </w:rPr>
      </w:pPr>
      <w:r w:rsidRPr="00921CAD">
        <w:rPr>
          <w:rFonts w:ascii="Palatino Linotype" w:hAnsi="Palatino Linotype"/>
          <w:color w:val="000000" w:themeColor="text1"/>
        </w:rPr>
        <w:t>The study was conducted in a planted coniferous forest in the Fukuroyamasawa Experimental Watershed located in the University Forest in Chiba, the University of Tokyo, Japan (35</w:t>
      </w:r>
      <w:r w:rsidRPr="00921CAD">
        <w:rPr>
          <w:rFonts w:ascii="Palatino Linotype" w:hAnsi="Palatino Linotype"/>
          <w:color w:val="000000" w:themeColor="text1"/>
        </w:rPr>
        <w:sym w:font="Symbol" w:char="F0B0"/>
      </w:r>
      <w:r w:rsidRPr="00921CAD">
        <w:rPr>
          <w:rFonts w:ascii="Palatino Linotype" w:hAnsi="Palatino Linotype"/>
          <w:color w:val="000000" w:themeColor="text1"/>
        </w:rPr>
        <w:t xml:space="preserve"> 12′ N, 140</w:t>
      </w:r>
      <w:r w:rsidRPr="00921CAD">
        <w:rPr>
          <w:rFonts w:ascii="Palatino Linotype" w:hAnsi="Palatino Linotype"/>
          <w:color w:val="000000" w:themeColor="text1"/>
        </w:rPr>
        <w:sym w:font="Symbol" w:char="F0B0"/>
      </w:r>
      <w:r w:rsidRPr="00921CAD">
        <w:rPr>
          <w:rFonts w:ascii="Palatino Linotype" w:hAnsi="Palatino Linotype"/>
          <w:color w:val="000000" w:themeColor="text1"/>
        </w:rPr>
        <w:t xml:space="preserve"> 06′ E). The forest is located in a temperate climatic region and a mountainous area at an elevation of 124–227 MASL. The mean annual precipitation and air temperature (1994–2003) were 2,230 mm and 14°C, respectively </w:t>
      </w:r>
      <w:r w:rsidRPr="00921CAD">
        <w:rPr>
          <w:rFonts w:ascii="Palatino Linotype" w:hAnsi="Palatino Linotype"/>
          <w:color w:val="000000" w:themeColor="text1"/>
        </w:rPr>
        <w:fldChar w:fldCharType="begin" w:fldLock="1"/>
      </w:r>
      <w:r w:rsidRPr="00921CAD">
        <w:rPr>
          <w:rFonts w:ascii="Palatino Linotype" w:hAnsi="Palatino Linotype"/>
          <w:color w:val="000000" w:themeColor="text1"/>
        </w:rPr>
        <w:instrText>ADDIN CSL_CITATION {"citationItems":[{"id":"ITEM-1","itemData":{"DOI":"10.1016/j.foreco.2019.05.058","ISSN":"03781127","abstract":"Changes in atmospheric deposition have long-term effects on forest ecosystems and streamwater chemistry. Atmospheric deposition changes with forest disturbance. Although many studies have investigated the effects of air pollution, the effects of the long-term changes in atmospheric deposition induced by canopy alteration on streamwater chemistry have not been investigated sufficiently. This study evaluated the changes in atmospheric deposition, separated into dry deposition and canopy leaching components, in a regrowth forest and the resultant effects on streamwater chemistry. The chemical budgets of Cl−, NO3−, SO42−, Na+, NH4+, K+, Mg2+, and Ca2+ were investigated in regrowth and mature Japanese cedar forests from 1998 to 2015 in paired catchments in the Fukuroyamasawa Watershed, central Japan. After forest cutting in 1999, the total deposition of all ions to forest soil decreased; the Cl−, NO3−, SO42−, Na+, and Mg2+ were significantly lower in the regrowth forest than in the mature forest at 14– 15 years due to lower dry deposition, although the canopy had closed. In comparison, the total deposition of K+ and Ca2+ increased with canopy regrowth and was higher in the 15-year-old regrowth forest than the mature forest due to increased canopy leaching. Stream outputs of NO3−, SO42−, K+, Mg2+, and Ca2+ were not affected by the changes in atmospheric deposition, but the stream outputs of Cl− and Na+ decreased gradually for 5–10 years and remained lower (70–90%) at 15 years than those in the mature forest, which is consistent with the lower dry deposition input. The results of this study suggest that not only the canopy alteration but also the edge effects of taller trees of adjacent catchments influence the dry deposition input change, and the long-term streamwater chemistry change in Japanese cedar regrowth forest.","author":[{"dropping-particle":"","family":"Oda","given":"Tomoki","non-dropping-particle":"","parse-names":false,"suffix":""},{"dropping-particle":"","family":"Imamura","given":"Naohiro","non-dropping-particle":"","parse-names":false,"suffix":""},{"dropping-particle":"","family":"Egusa","given":"Tomohiro","non-dropping-particle":"","parse-names":false,"suffix":""},{"dropping-particle":"","family":"Ohte","given":"Nobuhito","non-dropping-particle":"","parse-names":false,"suffix":""}],"container-title":"Forest Ecology and Management","id":"ITEM-1","issue":"March","issued":{"date-parts":[["2019"]]},"page":"85-93","publisher":"Elsevier","title":"The effects of canopy alteration–induced atmospheric deposition changes on stream chemistry in Japanese cedar forest","type":"article-journal","volume":"448"},"uris":["http://www.mendeley.com/documents/?uuid=14d12cb1-a828-4703-9e94-2c0db0d74bed"]}],"mendeley":{"formattedCitation":"(Oda &lt;i&gt;et al.&lt;/i&gt; 2019)","plainTextFormattedCitation":"(Oda et al. 2019)","previouslyFormattedCitation":"(Oda &lt;i&gt;et al.&lt;/i&gt; 2019)"},"properties":{"noteIndex":0},"schema":"https://github.com/citation-style-language/schema/raw/master/csl-citation.json"}</w:instrText>
      </w:r>
      <w:r w:rsidRPr="00921CAD">
        <w:rPr>
          <w:rFonts w:ascii="Palatino Linotype" w:hAnsi="Palatino Linotype"/>
          <w:color w:val="000000" w:themeColor="text1"/>
        </w:rPr>
        <w:fldChar w:fldCharType="separate"/>
      </w:r>
      <w:r w:rsidRPr="00921CAD">
        <w:rPr>
          <w:rFonts w:ascii="Palatino Linotype" w:hAnsi="Palatino Linotype"/>
          <w:noProof/>
          <w:color w:val="000000" w:themeColor="text1"/>
        </w:rPr>
        <w:t xml:space="preserve">(Oda </w:t>
      </w:r>
      <w:r w:rsidRPr="00921CAD">
        <w:rPr>
          <w:rFonts w:ascii="Palatino Linotype" w:hAnsi="Palatino Linotype"/>
          <w:i/>
          <w:noProof/>
          <w:color w:val="000000" w:themeColor="text1"/>
        </w:rPr>
        <w:t>et al.</w:t>
      </w:r>
      <w:r w:rsidRPr="00921CAD">
        <w:rPr>
          <w:rFonts w:ascii="Palatino Linotype" w:hAnsi="Palatino Linotype"/>
          <w:noProof/>
          <w:color w:val="000000" w:themeColor="text1"/>
        </w:rPr>
        <w:t xml:space="preserve"> 2019)</w:t>
      </w:r>
      <w:r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t>
      </w:r>
    </w:p>
    <w:p w14:paraId="04C99124" w14:textId="0830CFE0" w:rsidR="00057DC0" w:rsidRPr="00921CAD" w:rsidRDefault="007B188C" w:rsidP="00B2028D">
      <w:pPr>
        <w:ind w:firstLine="720"/>
        <w:rPr>
          <w:rFonts w:ascii="Palatino Linotype" w:hAnsi="Palatino Linotype"/>
          <w:bCs/>
          <w:color w:val="000000" w:themeColor="text1"/>
        </w:rPr>
      </w:pPr>
      <w:r w:rsidRPr="00921CAD">
        <w:rPr>
          <w:rFonts w:ascii="Palatino Linotype" w:hAnsi="Palatino Linotype"/>
          <w:color w:val="000000" w:themeColor="text1"/>
        </w:rPr>
        <w:t>We established a 10 × 100-m</w:t>
      </w:r>
      <w:r w:rsidRPr="00921CAD">
        <w:rPr>
          <w:rFonts w:ascii="Palatino Linotype" w:hAnsi="Palatino Linotype"/>
          <w:color w:val="000000" w:themeColor="text1"/>
          <w:vertAlign w:val="superscript"/>
        </w:rPr>
        <w:t>2</w:t>
      </w:r>
      <w:r w:rsidRPr="00921CAD">
        <w:rPr>
          <w:rFonts w:ascii="Palatino Linotype" w:hAnsi="Palatino Linotype"/>
          <w:color w:val="000000" w:themeColor="text1"/>
        </w:rPr>
        <w:t xml:space="preserve"> study plot in September 2013 on a steep slope (ca. 30</w:t>
      </w:r>
      <w:r w:rsidRPr="00921CAD">
        <w:rPr>
          <w:rFonts w:ascii="Palatino Linotype" w:hAnsi="Palatino Linotype"/>
          <w:color w:val="000000" w:themeColor="text1"/>
        </w:rPr>
        <w:sym w:font="Symbol" w:char="F0B0"/>
      </w:r>
      <w:r w:rsidRPr="00921CAD">
        <w:rPr>
          <w:rFonts w:ascii="Palatino Linotype" w:hAnsi="Palatino Linotype"/>
          <w:color w:val="000000" w:themeColor="text1"/>
        </w:rPr>
        <w:t>) from the ridge to the valley in a small-scaled (1.09 ha) watershed (</w:t>
      </w:r>
      <w:r w:rsidRPr="00921CAD">
        <w:rPr>
          <w:rFonts w:ascii="Palatino Linotype" w:hAnsi="Palatino Linotype"/>
          <w:b/>
          <w:color w:val="000000" w:themeColor="text1"/>
        </w:rPr>
        <w:t>Fig. S1</w:t>
      </w:r>
      <w:r w:rsidRPr="00921CAD">
        <w:rPr>
          <w:rFonts w:ascii="Palatino Linotype" w:hAnsi="Palatino Linotype"/>
          <w:color w:val="000000" w:themeColor="text1"/>
        </w:rPr>
        <w:t xml:space="preserve">). </w:t>
      </w:r>
      <w:r w:rsidR="00E149E6" w:rsidRPr="00921CAD">
        <w:rPr>
          <w:rFonts w:ascii="Palatino Linotype" w:hAnsi="Palatino Linotype"/>
          <w:bCs/>
          <w:color w:val="000000" w:themeColor="text1"/>
        </w:rPr>
        <w:t xml:space="preserve">The uppermost part of the slope is A1 of Oda et al. (2019), while the lowest part of the slope is A2. </w:t>
      </w:r>
      <w:r w:rsidRPr="00921CAD">
        <w:rPr>
          <w:rFonts w:ascii="Palatino Linotype" w:hAnsi="Palatino Linotype"/>
          <w:color w:val="000000" w:themeColor="text1"/>
        </w:rPr>
        <w:t xml:space="preserve">The evergreen coniferous tree species </w:t>
      </w:r>
      <w:r w:rsidRPr="00921CAD">
        <w:rPr>
          <w:rFonts w:ascii="Palatino Linotype" w:hAnsi="Palatino Linotype"/>
          <w:i/>
          <w:color w:val="000000" w:themeColor="text1"/>
        </w:rPr>
        <w:t>Cryptomeria japonica</w:t>
      </w:r>
      <w:r w:rsidRPr="00921CAD">
        <w:rPr>
          <w:rFonts w:ascii="Palatino Linotype" w:hAnsi="Palatino Linotype"/>
          <w:color w:val="000000" w:themeColor="text1"/>
        </w:rPr>
        <w:t xml:space="preserve"> was planted from 1928 to 1930 and </w:t>
      </w:r>
      <w:r w:rsidRPr="00921CAD">
        <w:rPr>
          <w:rFonts w:ascii="Palatino Linotype" w:hAnsi="Palatino Linotype"/>
          <w:bCs/>
          <w:color w:val="000000" w:themeColor="text1"/>
        </w:rPr>
        <w:t>thus larger trees can be caused by a higher growth rate (Oda et al., 2019).</w:t>
      </w:r>
      <w:r w:rsidRPr="00921CAD">
        <w:rPr>
          <w:rFonts w:ascii="Palatino Linotype" w:hAnsi="Palatino Linotype"/>
          <w:color w:val="000000" w:themeColor="text1"/>
        </w:rPr>
        <w:t xml:space="preserve"> </w:t>
      </w:r>
      <w:r w:rsidRPr="00921CAD">
        <w:rPr>
          <w:rFonts w:ascii="Palatino Linotype" w:hAnsi="Palatino Linotype"/>
          <w:bCs/>
          <w:color w:val="000000" w:themeColor="text1"/>
        </w:rPr>
        <w:t xml:space="preserve">The tree heights were measured with an ultrasonic rangefinder </w:t>
      </w:r>
      <w:r w:rsidR="00E149E6" w:rsidRPr="00921CAD">
        <w:rPr>
          <w:rFonts w:ascii="Palatino Linotype" w:hAnsi="Palatino Linotype"/>
          <w:bCs/>
          <w:color w:val="000000" w:themeColor="text1"/>
        </w:rPr>
        <w:t xml:space="preserve">(Vertex IV; </w:t>
      </w:r>
      <w:r w:rsidR="00E149E6" w:rsidRPr="00921CAD">
        <w:rPr>
          <w:rStyle w:val="Emphasis"/>
          <w:i w:val="0"/>
          <w:iCs w:val="0"/>
          <w:color w:val="000000" w:themeColor="text1"/>
        </w:rPr>
        <w:t>Haglöf Sweden</w:t>
      </w:r>
      <w:r w:rsidR="00E149E6" w:rsidRPr="00921CAD">
        <w:rPr>
          <w:rFonts w:ascii="Palatino Linotype" w:hAnsi="Palatino Linotype"/>
          <w:bCs/>
          <w:color w:val="000000" w:themeColor="text1"/>
        </w:rPr>
        <w:t xml:space="preserve">) </w:t>
      </w:r>
      <w:r w:rsidRPr="00921CAD">
        <w:rPr>
          <w:rFonts w:ascii="Palatino Linotype" w:hAnsi="Palatino Linotype"/>
          <w:bCs/>
          <w:color w:val="000000" w:themeColor="text1"/>
        </w:rPr>
        <w:t xml:space="preserve">as described by </w:t>
      </w:r>
      <w:r w:rsidRPr="00921CAD">
        <w:rPr>
          <w:rFonts w:ascii="Palatino Linotype" w:hAnsi="Palatino Linotype"/>
          <w:bCs/>
          <w:color w:val="000000" w:themeColor="text1"/>
        </w:rPr>
        <w:fldChar w:fldCharType="begin" w:fldLock="1"/>
      </w:r>
      <w:r w:rsidR="00453D33" w:rsidRPr="00921CAD">
        <w:rPr>
          <w:rFonts w:ascii="Palatino Linotype" w:hAnsi="Palatino Linotype"/>
          <w:bCs/>
          <w:color w:val="000000" w:themeColor="text1"/>
        </w:rPr>
        <w:instrText>ADDIN CSL_CITATION {"citationItems":[{"id":"ITEM-1","itemData":{"DOI":"10.1111/2041-210X.12071","ISSN":"2041210X","abstract":"1. Tree height is a key variable for estimating tree biomass and\\ninvestigating tree life history, but it is difficult to measure in\\nforests with tall, dense canopies and wide crowns. The traditional\\nmethod, which we refer to as the `tangent method', involves measuring\\nhorizontal distance to the tree and angles from horizontal to the top\\nand base of the tree, while standing at a distance of perhaps one tree\\nheight or greater. Laser rangefinders enable an alternative method,\\nwhich we refer to as the `sine method'; it involves measuring the\\ndistances to the top and base of the tree, and the angles from\\nhorizontal to these, and can be carried out from under the tree or from\\nsome distance away.\\n2. We quantified systematic and random errors of these two methods as\\napplied by five technicians to a size-stratified sample of 74 trees\\nbetween 5.7 and 39.2m tall in a Neotropical moist forest in Panama. We\\nmeasured actual heights using towers adjacent to these trees.\\n3. The tangent method produced unbiased height estimates, but random\\nerror was high, and in 6 of the 370measurements, heights were\\noverestimated by more than 100%.\\n4. The sine method was faster to learn, displayed less variation in\\nheights among technicians, and had lower random error, but resulted in\\nsystematic underestimation by 20% on average.\\n5. We recommend the sine method for most applications in tropical\\nforests. However, its underestimation, which is likely to vary with\\nforest and instrument type, must be corrected if actual heights are\\nneeded.","author":[{"dropping-particle":"","family":"Larjavaara","given":"Markku","non-dropping-particle":"","parse-names":false,"suffix":""},{"dropping-particle":"","family":"Muller-Landau","given":"Helene C.","non-dropping-particle":"","parse-names":false,"suffix":""}],"container-title":"Methods in Ecology and Evolution","id":"ITEM-1","issue":"9","issued":{"date-parts":[["2013"]]},"page":"793-801","title":"Measuring tree height: A quantitative comparison of two common field methods in a moist tropical forest","type":"article-journal","volume":"4"},"uris":["http://www.mendeley.com/documents/?uuid=f956f6f5-74ee-4b8d-a29b-8ec76d4c59c9"]}],"mendeley":{"formattedCitation":"(Larjavaara &amp; Muller-Landau 2013)","manualFormatting":"Larjavaara &amp; Muller-Landau (2013)","plainTextFormattedCitation":"(Larjavaara &amp; Muller-Landau 2013)","previouslyFormattedCitation":"(Larjavaara &amp; Muller-Landau 2013)"},"properties":{"noteIndex":0},"schema":"https://github.com/citation-style-language/schema/raw/master/csl-citation.json"}</w:instrText>
      </w:r>
      <w:r w:rsidRPr="00921CAD">
        <w:rPr>
          <w:rFonts w:ascii="Palatino Linotype" w:hAnsi="Palatino Linotype"/>
          <w:bCs/>
          <w:color w:val="000000" w:themeColor="text1"/>
        </w:rPr>
        <w:fldChar w:fldCharType="separate"/>
      </w:r>
      <w:r w:rsidRPr="00921CAD">
        <w:rPr>
          <w:rFonts w:ascii="Palatino Linotype" w:hAnsi="Palatino Linotype"/>
          <w:bCs/>
          <w:noProof/>
          <w:color w:val="000000" w:themeColor="text1"/>
        </w:rPr>
        <w:t xml:space="preserve">Larjavaara &amp; Muller-Landau </w:t>
      </w:r>
      <w:r w:rsidR="00E149E6" w:rsidRPr="00921CAD">
        <w:rPr>
          <w:rFonts w:ascii="Palatino Linotype" w:hAnsi="Palatino Linotype"/>
          <w:bCs/>
          <w:noProof/>
          <w:color w:val="000000" w:themeColor="text1"/>
        </w:rPr>
        <w:t>(</w:t>
      </w:r>
      <w:r w:rsidRPr="00921CAD">
        <w:rPr>
          <w:rFonts w:ascii="Palatino Linotype" w:hAnsi="Palatino Linotype"/>
          <w:bCs/>
          <w:noProof/>
          <w:color w:val="000000" w:themeColor="text1"/>
        </w:rPr>
        <w:t>2013)</w:t>
      </w:r>
      <w:r w:rsidRPr="00921CAD">
        <w:rPr>
          <w:rFonts w:ascii="Palatino Linotype" w:hAnsi="Palatino Linotype"/>
          <w:bCs/>
          <w:color w:val="000000" w:themeColor="text1"/>
        </w:rPr>
        <w:fldChar w:fldCharType="end"/>
      </w:r>
      <w:r w:rsidRPr="00921CAD">
        <w:rPr>
          <w:rFonts w:ascii="Palatino Linotype" w:hAnsi="Palatino Linotype"/>
          <w:bCs/>
          <w:color w:val="000000" w:themeColor="text1"/>
        </w:rPr>
        <w:t xml:space="preserve">. </w:t>
      </w:r>
      <w:r w:rsidRPr="00921CAD">
        <w:rPr>
          <w:rFonts w:ascii="Palatino Linotype" w:hAnsi="Palatino Linotype"/>
          <w:color w:val="000000" w:themeColor="text1"/>
        </w:rPr>
        <w:t xml:space="preserve">The height was 19.2 </w:t>
      </w:r>
      <w:r w:rsidRPr="00921CAD">
        <w:rPr>
          <w:rFonts w:ascii="Palatino Linotype" w:hAnsi="Palatino Linotype"/>
          <w:color w:val="000000" w:themeColor="text1"/>
        </w:rPr>
        <w:sym w:font="Symbol" w:char="F0B1"/>
      </w:r>
      <w:r w:rsidRPr="00921CAD">
        <w:rPr>
          <w:rFonts w:ascii="Palatino Linotype" w:hAnsi="Palatino Linotype"/>
          <w:color w:val="000000" w:themeColor="text1"/>
        </w:rPr>
        <w:t xml:space="preserve"> 4.2 m (n = 44) around the upper end of the slope and 26.9 </w:t>
      </w:r>
      <w:r w:rsidRPr="00921CAD">
        <w:rPr>
          <w:rFonts w:ascii="Palatino Linotype" w:hAnsi="Palatino Linotype"/>
          <w:color w:val="000000" w:themeColor="text1"/>
        </w:rPr>
        <w:sym w:font="Symbol" w:char="F0B1"/>
      </w:r>
      <w:r w:rsidRPr="00921CAD">
        <w:rPr>
          <w:rFonts w:ascii="Palatino Linotype" w:hAnsi="Palatino Linotype"/>
          <w:color w:val="000000" w:themeColor="text1"/>
        </w:rPr>
        <w:t xml:space="preserve"> 5.0 m (n = 129) around the lower end of the slope (100 m from the ridge). The diameter at breast height was 30.8 </w:t>
      </w:r>
      <w:r w:rsidRPr="00921CAD">
        <w:rPr>
          <w:rFonts w:ascii="Palatino Linotype" w:hAnsi="Palatino Linotype"/>
          <w:color w:val="000000" w:themeColor="text1"/>
        </w:rPr>
        <w:sym w:font="Symbol" w:char="F0B1"/>
      </w:r>
      <w:r w:rsidRPr="00921CAD">
        <w:rPr>
          <w:rFonts w:ascii="Palatino Linotype" w:hAnsi="Palatino Linotype"/>
          <w:color w:val="000000" w:themeColor="text1"/>
        </w:rPr>
        <w:t xml:space="preserve"> 10.5 cm around the upper end and 37.7 </w:t>
      </w:r>
      <w:r w:rsidRPr="00921CAD">
        <w:rPr>
          <w:rFonts w:ascii="Palatino Linotype" w:hAnsi="Palatino Linotype"/>
          <w:color w:val="000000" w:themeColor="text1"/>
        </w:rPr>
        <w:sym w:font="Symbol" w:char="F0B1"/>
      </w:r>
      <w:r w:rsidRPr="00921CAD">
        <w:rPr>
          <w:rFonts w:ascii="Palatino Linotype" w:hAnsi="Palatino Linotype"/>
          <w:color w:val="000000" w:themeColor="text1"/>
        </w:rPr>
        <w:t xml:space="preserve"> 13.0 cm around the lower end </w:t>
      </w:r>
      <w:r w:rsidRPr="00921CAD">
        <w:rPr>
          <w:rFonts w:ascii="Palatino Linotype" w:hAnsi="Palatino Linotype"/>
          <w:color w:val="000000" w:themeColor="text1"/>
        </w:rPr>
        <w:fldChar w:fldCharType="begin" w:fldLock="1"/>
      </w:r>
      <w:r w:rsidRPr="00921CAD">
        <w:rPr>
          <w:rFonts w:ascii="Palatino Linotype" w:hAnsi="Palatino Linotype"/>
          <w:color w:val="000000" w:themeColor="text1"/>
        </w:rPr>
        <w:instrText>ADDIN CSL_CITATION {"citationItems":[{"id":"ITEM-1","itemData":{"DOI":"10.1016/j.foreco.2019.05.058","ISSN":"03781127","abstract":"Changes in atmospheric deposition have long-term effects on forest ecosystems and streamwater chemistry. Atmospheric deposition changes with forest disturbance. Although many studies have investigated the effects of air pollution, the effects of the long-term changes in atmospheric deposition induced by canopy alteration on streamwater chemistry have not been investigated sufficiently. This study evaluated the changes in atmospheric deposition, separated into dry deposition and canopy leaching components, in a regrowth forest and the resultant effects on streamwater chemistry. The chemical budgets of Cl−, NO3−, SO42−, Na+, NH4+, K+, Mg2+, and Ca2+ were investigated in regrowth and mature Japanese cedar forests from 1998 to 2015 in paired catchments in the Fukuroyamasawa Watershed, central Japan. After forest cutting in 1999, the total deposition of all ions to forest soil decreased; the Cl−, NO3−, SO42−, Na+, and Mg2+ were significantly lower in the regrowth forest than in the mature forest at 14– 15 years due to lower dry deposition, although the canopy had closed. In comparison, the total deposition of K+ and Ca2+ increased with canopy regrowth and was higher in the 15-year-old regrowth forest than the mature forest due to increased canopy leaching. Stream outputs of NO3−, SO42−, K+, Mg2+, and Ca2+ were not affected by the changes in atmospheric deposition, but the stream outputs of Cl− and Na+ decreased gradually for 5–10 years and remained lower (70–90%) at 15 years than those in the mature forest, which is consistent with the lower dry deposition input. The results of this study suggest that not only the canopy alteration but also the edge effects of taller trees of adjacent catchments influence the dry deposition input change, and the long-term streamwater chemistry change in Japanese cedar regrowth forest.","author":[{"dropping-particle":"","family":"Oda","given":"Tomoki","non-dropping-particle":"","parse-names":false,"suffix":""},{"dropping-particle":"","family":"Imamura","given":"Naohiro","non-dropping-particle":"","parse-names":false,"suffix":""},{"dropping-particle":"","family":"Egusa","given":"Tomohiro","non-dropping-particle":"","parse-names":false,"suffix":""},{"dropping-particle":"","family":"Ohte","given":"Nobuhito","non-dropping-particle":"","parse-names":false,"suffix":""}],"container-title":"Forest Ecology and Management","id":"ITEM-1","issue":"March","issued":{"date-parts":[["2019"]]},"page":"85-93","publisher":"Elsevier","title":"The effects of canopy alteration–induced atmospheric deposition changes on stream chemistry in Japanese cedar forest","type":"article-journal","volume":"448"},"uris":["http://www.mendeley.com/documents/?uuid=14d12cb1-a828-4703-9e94-2c0db0d74bed"]}],"mendeley":{"formattedCitation":"(Oda &lt;i&gt;et al.&lt;/i&gt; 2019)","plainTextFormattedCitation":"(Oda et al. 2019)","previouslyFormattedCitation":"(Oda &lt;i&gt;et al.&lt;/i&gt; 2019)"},"properties":{"noteIndex":0},"schema":"https://github.com/citation-style-language/schema/raw/master/csl-citation.json"}</w:instrText>
      </w:r>
      <w:r w:rsidRPr="00921CAD">
        <w:rPr>
          <w:rFonts w:ascii="Palatino Linotype" w:hAnsi="Palatino Linotype"/>
          <w:color w:val="000000" w:themeColor="text1"/>
        </w:rPr>
        <w:fldChar w:fldCharType="separate"/>
      </w:r>
      <w:r w:rsidRPr="00921CAD">
        <w:rPr>
          <w:rFonts w:ascii="Palatino Linotype" w:hAnsi="Palatino Linotype"/>
          <w:noProof/>
          <w:color w:val="000000" w:themeColor="text1"/>
        </w:rPr>
        <w:t xml:space="preserve">(Oda </w:t>
      </w:r>
      <w:r w:rsidRPr="00921CAD">
        <w:rPr>
          <w:rFonts w:ascii="Palatino Linotype" w:hAnsi="Palatino Linotype"/>
          <w:i/>
          <w:noProof/>
          <w:color w:val="000000" w:themeColor="text1"/>
        </w:rPr>
        <w:t>et al.</w:t>
      </w:r>
      <w:r w:rsidRPr="00921CAD">
        <w:rPr>
          <w:rFonts w:ascii="Palatino Linotype" w:hAnsi="Palatino Linotype"/>
          <w:noProof/>
          <w:color w:val="000000" w:themeColor="text1"/>
        </w:rPr>
        <w:t xml:space="preserve"> 2019)</w:t>
      </w:r>
      <w:r w:rsidRPr="00921CAD">
        <w:rPr>
          <w:rFonts w:ascii="Palatino Linotype" w:hAnsi="Palatino Linotype"/>
          <w:color w:val="000000" w:themeColor="text1"/>
        </w:rPr>
        <w:fldChar w:fldCharType="end"/>
      </w:r>
      <w:r w:rsidRPr="00921CAD">
        <w:rPr>
          <w:rFonts w:ascii="Palatino Linotype" w:hAnsi="Palatino Linotype"/>
          <w:color w:val="000000" w:themeColor="text1"/>
        </w:rPr>
        <w:t>. The volumetric soil water content</w:t>
      </w:r>
      <w:r w:rsidRPr="00921CAD" w:rsidDel="00913A76">
        <w:rPr>
          <w:rFonts w:ascii="Palatino Linotype" w:hAnsi="Palatino Linotype"/>
          <w:color w:val="000000" w:themeColor="text1"/>
        </w:rPr>
        <w:t xml:space="preserve"> </w:t>
      </w:r>
      <w:r w:rsidRPr="00921CAD">
        <w:rPr>
          <w:rFonts w:ascii="Palatino Linotype" w:hAnsi="Palatino Linotype"/>
          <w:color w:val="000000" w:themeColor="text1"/>
        </w:rPr>
        <w:t xml:space="preserve">at a 10-cm depth at the ridge and valley was monitored over time during the actively growing season of trees </w:t>
      </w:r>
      <w:r w:rsidRPr="00921CAD">
        <w:rPr>
          <w:rFonts w:ascii="Palatino Linotype" w:hAnsi="Palatino Linotype"/>
          <w:color w:val="000000" w:themeColor="text1"/>
        </w:rPr>
        <w:fldChar w:fldCharType="begin" w:fldLock="1"/>
      </w:r>
      <w:r w:rsidRPr="00921CAD">
        <w:rPr>
          <w:rFonts w:ascii="Palatino Linotype" w:hAnsi="Palatino Linotype"/>
          <w:color w:val="000000" w:themeColor="text1"/>
        </w:rPr>
        <w:instrText>ADDIN CSL_CITATION {"citationItems":[{"id":"ITEM-1","itemData":{"DOI":"10.1093/forestry/cpx055","ISSN":"14643626","abstract":"We investigated the latitudinal variation in radial growth phenology (onset, cessation, and duration of radial growth) of Cryptomeria japonica D. Don trees in Japan. The radial growth was observed using dendrometers in 16 stands at multiple latitudes throughout Japan. The onset of radial growth showed a clear latitudinal gradient: at high-latitude sites, C. japonica growth started later than at low-latitude sites. However, cessation of radial growth was independent of latitude. Consequently, the duration of radial growth (defined based on the onset and cessation dates) showed a weak but significant latitudinal gradient: at high-latitude sites, C. japonica trees grew for a shorter period than trees at low-latitude sites. The onset and duration of growth were respectively strongly and weakly affected by temperature, although growth cessation was not explained by temperature or precipitation. The latitudinal gradient for duration of radial growth weakly but significantly supports the hypothesis that regional variation in growth phenology is a key factor responsible for the regional variation in long-term growth. Furthermore, we found that growth duration was more variable at low latitudes than at high latitudes. © Institute of Chartered Foresters, 2017. All rights reserved.","author":[{"dropping-particle":"","family":"Nishizono","given":"Tomohiro","non-dropping-particle":"","parse-names":false,"suffix":""},{"dropping-particle":"","family":"Zushi","given":"Kotaro","non-dropping-particle":"","parse-names":false,"suffix":""},{"dropping-particle":"","family":"Hiroshima","given":"Takuya","non-dropping-particle":"","parse-names":false,"suffix":""},{"dropping-particle":"","family":"Toyama","given":"Keisuke","non-dropping-particle":"","parse-names":false,"suffix":""},{"dropping-particle":"","family":"Kitahara","given":"Fumiaki","non-dropping-particle":"","parse-names":false,"suffix":""},{"dropping-particle":"","family":"Terada","given":"Fumiko","non-dropping-particle":"","parse-names":false,"suffix":""},{"dropping-particle":"","family":"Takagi","given":"Masahiro","non-dropping-particle":"","parse-names":false,"suffix":""},{"dropping-particle":"","family":"Saito","given":"Satoshi","non-dropping-particle":"","parse-names":false,"suffix":""}],"container-title":"Forestry","id":"ITEM-1","issue":"2","issued":{"date-parts":[["2018"]]},"page":"206-216","title":"Latitudinal variation in radial growth phenology of Cryptomeria japonica D. Don trees in Japan","type":"article-journal","volume":"91"},"uris":["http://www.mendeley.com/documents/?uuid=f5e8f648-67f0-48c3-9823-fb61a83b5f9b"]}],"mendeley":{"formattedCitation":"(Nishizono &lt;i&gt;et al.&lt;/i&gt; 2018)","plainTextFormattedCitation":"(Nishizono et al. 2018)","previouslyFormattedCitation":"(Nishizono &lt;i&gt;et al.&lt;/i&gt; 2018)"},"properties":{"noteIndex":0},"schema":"https://github.com/citation-style-language/schema/raw/master/csl-citation.json"}</w:instrText>
      </w:r>
      <w:r w:rsidRPr="00921CAD">
        <w:rPr>
          <w:rFonts w:ascii="Palatino Linotype" w:hAnsi="Palatino Linotype"/>
          <w:color w:val="000000" w:themeColor="text1"/>
        </w:rPr>
        <w:fldChar w:fldCharType="separate"/>
      </w:r>
      <w:r w:rsidRPr="00921CAD">
        <w:rPr>
          <w:rFonts w:ascii="Palatino Linotype" w:hAnsi="Palatino Linotype"/>
          <w:noProof/>
          <w:color w:val="000000" w:themeColor="text1"/>
        </w:rPr>
        <w:t xml:space="preserve">(Nishizono </w:t>
      </w:r>
      <w:r w:rsidRPr="00921CAD">
        <w:rPr>
          <w:rFonts w:ascii="Palatino Linotype" w:hAnsi="Palatino Linotype"/>
          <w:i/>
          <w:noProof/>
          <w:color w:val="000000" w:themeColor="text1"/>
        </w:rPr>
        <w:t>et al.</w:t>
      </w:r>
      <w:r w:rsidRPr="00921CAD">
        <w:rPr>
          <w:rFonts w:ascii="Palatino Linotype" w:hAnsi="Palatino Linotype"/>
          <w:noProof/>
          <w:color w:val="000000" w:themeColor="text1"/>
        </w:rPr>
        <w:t xml:space="preserve"> 2018)</w:t>
      </w:r>
      <w:r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t>
      </w:r>
      <w:r w:rsidRPr="00921CAD">
        <w:rPr>
          <w:rFonts w:ascii="Palatino Linotype" w:hAnsi="Palatino Linotype"/>
          <w:color w:val="000000" w:themeColor="text1"/>
        </w:rPr>
        <w:lastRenderedPageBreak/>
        <w:t>from May 11, 2014, to August 4, 2014 using time domain reflectometry</w:t>
      </w:r>
      <w:r w:rsidR="00E149E6" w:rsidRPr="00921CAD">
        <w:rPr>
          <w:rFonts w:ascii="Palatino Linotype" w:hAnsi="Palatino Linotype"/>
          <w:color w:val="000000" w:themeColor="text1"/>
        </w:rPr>
        <w:t xml:space="preserve"> </w:t>
      </w:r>
      <w:r w:rsidR="006B25D1" w:rsidRPr="00921CAD">
        <w:rPr>
          <w:rFonts w:ascii="Palatino Linotype" w:hAnsi="Palatino Linotype"/>
          <w:color w:val="000000" w:themeColor="text1"/>
        </w:rPr>
        <w:t xml:space="preserve">(TDR) </w:t>
      </w:r>
      <w:r w:rsidR="00453D33" w:rsidRPr="00921CAD">
        <w:rPr>
          <w:rFonts w:ascii="Palatino Linotype" w:hAnsi="Palatino Linotype"/>
          <w:bCs/>
          <w:color w:val="000000" w:themeColor="text1"/>
        </w:rPr>
        <w:t xml:space="preserve">as described by </w:t>
      </w:r>
      <w:r w:rsidR="00453D33" w:rsidRPr="00921CAD">
        <w:rPr>
          <w:rFonts w:ascii="Palatino Linotype" w:hAnsi="Palatino Linotype"/>
          <w:bCs/>
          <w:color w:val="000000" w:themeColor="text1"/>
        </w:rPr>
        <w:fldChar w:fldCharType="begin" w:fldLock="1"/>
      </w:r>
      <w:r w:rsidR="00B2028D" w:rsidRPr="00921CAD">
        <w:rPr>
          <w:rFonts w:ascii="Palatino Linotype" w:hAnsi="Palatino Linotype"/>
          <w:bCs/>
          <w:color w:val="000000" w:themeColor="text1"/>
        </w:rPr>
        <w:instrText>ADDIN CSL_CITATION {"citationItems":[{"id":"ITEM-1","itemData":{"DOI":"10.1016/S0168-1699(00)00184-8","ISSN":"01681699","abstract":"Non-destructive measurement of soil water content and electrical conductivity has been desired for many years. Recent development of time domain reflectometry (TDR) enables us to simultaneously obtain soil water content and electrical conductivity using a single probe with a minimal disturbance of soil. Research on water and solute transport in porous media using TDR has flourished in the last few years. In this review article, an overview of theoretical background for measuring water content and electrical conductivity is presented as well as characteristics of different types of probes. Limitations of applying TDR techniques to measuring soil water content and salinity are also addressed. The review is designed to equip other scientists and engineers with background information so that the development of TDR for studies on water and chemical movement can continue. © 2001 Elsevier Science B.V.","author":[{"dropping-particle":"","family":"Noborio","given":"K.","non-dropping-particle":"","parse-names":false,"suffix":""}],"container-title":"Computers and Electronics in Agriculture","id":"ITEM-1","issue":"3","issued":{"date-parts":[["2001"]]},"page":"213-237","title":"Measurement of soil water content and electrical conductivity by time domain reflectometry: A review","type":"article-journal","volume":"31"},"uris":["http://www.mendeley.com/documents/?uuid=cf0c1049-df6d-4b71-97a8-f0195e09d888"]}],"mendeley":{"formattedCitation":"(Noborio 2001)","manualFormatting":"Noborio (2001)","plainTextFormattedCitation":"(Noborio 2001)","previouslyFormattedCitation":"(Noborio 2001)"},"properties":{"noteIndex":0},"schema":"https://github.com/citation-style-language/schema/raw/master/csl-citation.json"}</w:instrText>
      </w:r>
      <w:r w:rsidR="00453D33" w:rsidRPr="00921CAD">
        <w:rPr>
          <w:rFonts w:ascii="Palatino Linotype" w:hAnsi="Palatino Linotype"/>
          <w:bCs/>
          <w:color w:val="000000" w:themeColor="text1"/>
        </w:rPr>
        <w:fldChar w:fldCharType="separate"/>
      </w:r>
      <w:r w:rsidR="00453D33" w:rsidRPr="00921CAD">
        <w:rPr>
          <w:rFonts w:ascii="Palatino Linotype" w:hAnsi="Palatino Linotype"/>
          <w:bCs/>
          <w:noProof/>
          <w:color w:val="000000" w:themeColor="text1"/>
        </w:rPr>
        <w:t>Noborio (2001)</w:t>
      </w:r>
      <w:r w:rsidR="00453D33" w:rsidRPr="00921CAD">
        <w:rPr>
          <w:rFonts w:ascii="Palatino Linotype" w:hAnsi="Palatino Linotype"/>
          <w:bCs/>
          <w:color w:val="000000" w:themeColor="text1"/>
        </w:rPr>
        <w:fldChar w:fldCharType="end"/>
      </w:r>
      <w:r w:rsidR="00453D33" w:rsidRPr="00921CAD">
        <w:rPr>
          <w:rFonts w:ascii="Palatino Linotype" w:hAnsi="Palatino Linotype"/>
          <w:bCs/>
          <w:color w:val="000000" w:themeColor="text1"/>
        </w:rPr>
        <w:t xml:space="preserve"> </w:t>
      </w:r>
      <w:r w:rsidR="00E149E6" w:rsidRPr="00921CAD">
        <w:rPr>
          <w:rFonts w:ascii="Palatino Linotype" w:hAnsi="Palatino Linotype"/>
          <w:color w:val="000000" w:themeColor="text1"/>
        </w:rPr>
        <w:t>with the probe (Campbell Sci.* CS 615; Campbell Scientific Ltd., Shepshed, U.K.) connected to a datalogger (CR10X; Campbell Scientific Ltd.).</w:t>
      </w:r>
      <w:r w:rsidR="00057DC0" w:rsidRPr="00921CAD">
        <w:rPr>
          <w:rFonts w:ascii="Palatino Linotype" w:hAnsi="Palatino Linotype"/>
          <w:color w:val="000000" w:themeColor="text1"/>
        </w:rPr>
        <w:t xml:space="preserve"> The probes were inserted directly into the soil for </w:t>
      </w:r>
      <w:r w:rsidR="006B25D1" w:rsidRPr="00921CAD">
        <w:rPr>
          <w:rFonts w:ascii="Palatino Linotype" w:hAnsi="Palatino Linotype"/>
          <w:color w:val="000000" w:themeColor="text1"/>
        </w:rPr>
        <w:t xml:space="preserve">the </w:t>
      </w:r>
      <w:proofErr w:type="gramStart"/>
      <w:r w:rsidR="00057DC0" w:rsidRPr="00921CAD">
        <w:rPr>
          <w:rFonts w:ascii="Palatino Linotype" w:hAnsi="Palatino Linotype"/>
          <w:i/>
          <w:iCs/>
          <w:color w:val="000000" w:themeColor="text1"/>
        </w:rPr>
        <w:t>in situ</w:t>
      </w:r>
      <w:proofErr w:type="gramEnd"/>
      <w:r w:rsidR="00057DC0" w:rsidRPr="00921CAD">
        <w:rPr>
          <w:rFonts w:ascii="Palatino Linotype" w:hAnsi="Palatino Linotype"/>
          <w:color w:val="000000" w:themeColor="text1"/>
        </w:rPr>
        <w:t xml:space="preserve"> measurement.</w:t>
      </w:r>
      <w:r w:rsidR="006B25D1" w:rsidRPr="00921CAD">
        <w:rPr>
          <w:rFonts w:ascii="Palatino Linotype" w:hAnsi="Palatino Linotype"/>
          <w:b/>
          <w:color w:val="000000" w:themeColor="text1"/>
        </w:rPr>
        <w:t xml:space="preserve"> </w:t>
      </w:r>
      <w:r w:rsidR="006B25D1" w:rsidRPr="00921CAD">
        <w:rPr>
          <w:rFonts w:ascii="Palatino Linotype" w:hAnsi="Palatino Linotype"/>
          <w:bCs/>
          <w:color w:val="000000" w:themeColor="text1"/>
        </w:rPr>
        <w:t>TDR</w:t>
      </w:r>
      <w:r w:rsidR="00057DC0" w:rsidRPr="00921CAD">
        <w:rPr>
          <w:rFonts w:ascii="Palatino Linotype" w:hAnsi="Palatino Linotype"/>
          <w:bCs/>
          <w:color w:val="000000" w:themeColor="text1"/>
        </w:rPr>
        <w:t xml:space="preserve"> is an indirect measure of soil water content</w:t>
      </w:r>
      <w:r w:rsidR="006B25D1" w:rsidRPr="00921CAD">
        <w:rPr>
          <w:rFonts w:ascii="Palatino Linotype" w:hAnsi="Palatino Linotype"/>
          <w:bCs/>
          <w:color w:val="000000" w:themeColor="text1"/>
        </w:rPr>
        <w:t xml:space="preserve">. It measures </w:t>
      </w:r>
      <w:r w:rsidR="00057DC0" w:rsidRPr="00921CAD">
        <w:rPr>
          <w:rFonts w:ascii="Palatino Linotype" w:hAnsi="Palatino Linotype"/>
          <w:bCs/>
          <w:color w:val="000000" w:themeColor="text1"/>
        </w:rPr>
        <w:t xml:space="preserve">the </w:t>
      </w:r>
      <w:r w:rsidR="006B25D1" w:rsidRPr="00921CAD">
        <w:rPr>
          <w:rFonts w:ascii="Palatino Linotype" w:hAnsi="Palatino Linotype"/>
          <w:bCs/>
          <w:color w:val="000000" w:themeColor="text1"/>
        </w:rPr>
        <w:t>transit time</w:t>
      </w:r>
      <w:r w:rsidR="00057DC0" w:rsidRPr="00921CAD">
        <w:rPr>
          <w:rFonts w:ascii="Palatino Linotype" w:hAnsi="Palatino Linotype"/>
          <w:bCs/>
          <w:color w:val="000000" w:themeColor="text1"/>
        </w:rPr>
        <w:t xml:space="preserve"> of a high frequency electromagnetic pulse through the soil</w:t>
      </w:r>
      <w:r w:rsidR="006B25D1" w:rsidRPr="00921CAD">
        <w:rPr>
          <w:rFonts w:ascii="Palatino Linotype" w:hAnsi="Palatino Linotype"/>
          <w:bCs/>
          <w:color w:val="000000" w:themeColor="text1"/>
        </w:rPr>
        <w:t xml:space="preserve"> that </w:t>
      </w:r>
      <w:r w:rsidR="00057DC0" w:rsidRPr="00921CAD">
        <w:rPr>
          <w:rFonts w:ascii="Palatino Linotype" w:hAnsi="Palatino Linotype"/>
          <w:bCs/>
          <w:color w:val="000000" w:themeColor="text1"/>
        </w:rPr>
        <w:t>is used to calculate the permittivity of the soil</w:t>
      </w:r>
      <w:r w:rsidR="006B25D1" w:rsidRPr="00921CAD">
        <w:rPr>
          <w:rFonts w:ascii="Palatino Linotype" w:hAnsi="Palatino Linotype"/>
          <w:bCs/>
          <w:color w:val="000000" w:themeColor="text1"/>
        </w:rPr>
        <w:t>.</w:t>
      </w:r>
      <w:r w:rsidR="00057DC0" w:rsidRPr="00921CAD">
        <w:rPr>
          <w:rFonts w:ascii="Palatino Linotype" w:hAnsi="Palatino Linotype"/>
          <w:bCs/>
          <w:color w:val="000000" w:themeColor="text1"/>
        </w:rPr>
        <w:t xml:space="preserve"> </w:t>
      </w:r>
      <w:r w:rsidR="006B25D1" w:rsidRPr="00921CAD">
        <w:rPr>
          <w:rFonts w:ascii="Palatino Linotype" w:hAnsi="Palatino Linotype"/>
          <w:bCs/>
          <w:color w:val="000000" w:themeColor="text1"/>
        </w:rPr>
        <w:t xml:space="preserve">Then we can calculate the </w:t>
      </w:r>
      <w:r w:rsidR="00057DC0" w:rsidRPr="00921CAD">
        <w:rPr>
          <w:rFonts w:ascii="Palatino Linotype" w:hAnsi="Palatino Linotype"/>
          <w:bCs/>
          <w:color w:val="000000" w:themeColor="text1"/>
        </w:rPr>
        <w:t>soil water content</w:t>
      </w:r>
      <w:r w:rsidR="006B25D1" w:rsidRPr="00921CAD">
        <w:rPr>
          <w:rFonts w:ascii="Palatino Linotype" w:hAnsi="Palatino Linotype"/>
          <w:bCs/>
          <w:color w:val="000000" w:themeColor="text1"/>
        </w:rPr>
        <w:t xml:space="preserve"> because the permittivity correlate</w:t>
      </w:r>
      <w:r w:rsidR="00B2028D" w:rsidRPr="00921CAD">
        <w:rPr>
          <w:rFonts w:ascii="Palatino Linotype" w:hAnsi="Palatino Linotype"/>
          <w:bCs/>
          <w:color w:val="000000" w:themeColor="text1"/>
        </w:rPr>
        <w:t>s</w:t>
      </w:r>
      <w:r w:rsidR="006B25D1" w:rsidRPr="00921CAD">
        <w:rPr>
          <w:rFonts w:ascii="Palatino Linotype" w:hAnsi="Palatino Linotype"/>
          <w:bCs/>
          <w:color w:val="000000" w:themeColor="text1"/>
        </w:rPr>
        <w:t xml:space="preserve"> with the water content (</w:t>
      </w:r>
      <w:r w:rsidR="006B25D1" w:rsidRPr="00921CAD">
        <w:rPr>
          <w:rFonts w:ascii="Palatino Linotype" w:hAnsi="Palatino Linotype"/>
          <w:bCs/>
          <w:color w:val="000000" w:themeColor="text1"/>
        </w:rPr>
        <w:fldChar w:fldCharType="begin" w:fldLock="1"/>
      </w:r>
      <w:r w:rsidR="00B2028D" w:rsidRPr="00921CAD">
        <w:rPr>
          <w:rFonts w:ascii="Palatino Linotype" w:hAnsi="Palatino Linotype"/>
          <w:bCs/>
          <w:color w:val="000000" w:themeColor="text1"/>
        </w:rPr>
        <w:instrText>ADDIN CSL_CITATION {"citationItems":[{"id":"ITEM-1","itemData":{"DOI":"10.1016/S0168-1699(00)00184-8","ISSN":"01681699","abstract":"Non-destructive measurement of soil water content and electrical conductivity has been desired for many years. Recent development of time domain reflectometry (TDR) enables us to simultaneously obtain soil water content and electrical conductivity using a single probe with a minimal disturbance of soil. Research on water and solute transport in porous media using TDR has flourished in the last few years. In this review article, an overview of theoretical background for measuring water content and electrical conductivity is presented as well as characteristics of different types of probes. Limitations of applying TDR techniques to measuring soil water content and salinity are also addressed. The review is designed to equip other scientists and engineers with background information so that the development of TDR for studies on water and chemical movement can continue. © 2001 Elsevier Science B.V.","author":[{"dropping-particle":"","family":"Noborio","given":"K.","non-dropping-particle":"","parse-names":false,"suffix":""}],"container-title":"Computers and Electronics in Agriculture","id":"ITEM-1","issue":"3","issued":{"date-parts":[["2001"]]},"page":"213-237","title":"Measurement of soil water content and electrical conductivity by time domain reflectometry: A review","type":"article-journal","volume":"31"},"uris":["http://www.mendeley.com/documents/?uuid=cf0c1049-df6d-4b71-97a8-f0195e09d888"]}],"mendeley":{"formattedCitation":"(Noborio 2001)","manualFormatting":"Noborio 2001)","plainTextFormattedCitation":"(Noborio 2001)","previouslyFormattedCitation":"(Noborio 2001)"},"properties":{"noteIndex":0},"schema":"https://github.com/citation-style-language/schema/raw/master/csl-citation.json"}</w:instrText>
      </w:r>
      <w:r w:rsidR="006B25D1" w:rsidRPr="00921CAD">
        <w:rPr>
          <w:rFonts w:ascii="Palatino Linotype" w:hAnsi="Palatino Linotype"/>
          <w:bCs/>
          <w:color w:val="000000" w:themeColor="text1"/>
        </w:rPr>
        <w:fldChar w:fldCharType="separate"/>
      </w:r>
      <w:r w:rsidR="006B25D1" w:rsidRPr="00921CAD">
        <w:rPr>
          <w:rFonts w:ascii="Palatino Linotype" w:hAnsi="Palatino Linotype"/>
          <w:bCs/>
          <w:noProof/>
          <w:color w:val="000000" w:themeColor="text1"/>
        </w:rPr>
        <w:t>Noborio 2001)</w:t>
      </w:r>
      <w:r w:rsidR="006B25D1" w:rsidRPr="00921CAD">
        <w:rPr>
          <w:rFonts w:ascii="Palatino Linotype" w:hAnsi="Palatino Linotype"/>
          <w:bCs/>
          <w:color w:val="000000" w:themeColor="text1"/>
        </w:rPr>
        <w:fldChar w:fldCharType="end"/>
      </w:r>
      <w:r w:rsidR="00057DC0" w:rsidRPr="00921CAD">
        <w:rPr>
          <w:rFonts w:ascii="Palatino Linotype" w:hAnsi="Palatino Linotype"/>
          <w:bCs/>
          <w:color w:val="000000" w:themeColor="text1"/>
        </w:rPr>
        <w:t>.</w:t>
      </w:r>
    </w:p>
    <w:p w14:paraId="06A7E04D" w14:textId="77777777" w:rsidR="00057DC0" w:rsidRPr="00921CAD" w:rsidRDefault="00057DC0" w:rsidP="00D50507">
      <w:pPr>
        <w:rPr>
          <w:rFonts w:ascii="Palatino Linotype" w:hAnsi="Palatino Linotype"/>
          <w:bCs/>
          <w:color w:val="000000" w:themeColor="text1"/>
        </w:rPr>
      </w:pPr>
    </w:p>
    <w:p w14:paraId="72BD0228" w14:textId="77777777" w:rsidR="00057DC0" w:rsidRPr="00921CAD" w:rsidRDefault="00057DC0" w:rsidP="00D50507">
      <w:pPr>
        <w:rPr>
          <w:color w:val="000000" w:themeColor="text1"/>
        </w:rPr>
      </w:pPr>
    </w:p>
    <w:p w14:paraId="3C4BAE4F" w14:textId="2F0B7363" w:rsidR="00481700" w:rsidRPr="00921CAD" w:rsidRDefault="00453D33" w:rsidP="00A35F91">
      <w:pPr>
        <w:rPr>
          <w:rFonts w:ascii="Palatino Linotype" w:hAnsi="Palatino Linotype"/>
          <w:b/>
          <w:color w:val="000000" w:themeColor="text1"/>
        </w:rPr>
      </w:pPr>
      <w:r w:rsidRPr="00921CAD">
        <w:rPr>
          <w:rFonts w:ascii="Palatino Linotype" w:hAnsi="Palatino Linotype"/>
          <w:b/>
          <w:color w:val="000000" w:themeColor="text1"/>
        </w:rPr>
        <w:t>2</w:t>
      </w:r>
      <w:r w:rsidR="00481700" w:rsidRPr="00921CAD">
        <w:rPr>
          <w:rFonts w:ascii="Palatino Linotype" w:hAnsi="Palatino Linotype"/>
          <w:b/>
          <w:color w:val="000000" w:themeColor="text1"/>
        </w:rPr>
        <w:t>. Soil chemical analysis</w:t>
      </w:r>
    </w:p>
    <w:p w14:paraId="1B043482" w14:textId="671B2299" w:rsidR="002C5E03" w:rsidRPr="00921CAD" w:rsidRDefault="00481700" w:rsidP="00D50507">
      <w:pPr>
        <w:rPr>
          <w:rFonts w:ascii="Palatino Linotype" w:hAnsi="Palatino Linotype"/>
          <w:color w:val="000000" w:themeColor="text1"/>
        </w:rPr>
      </w:pPr>
      <w:r w:rsidRPr="00921CAD">
        <w:rPr>
          <w:rFonts w:ascii="Palatino Linotype" w:hAnsi="Palatino Linotype"/>
          <w:color w:val="000000" w:themeColor="text1"/>
        </w:rPr>
        <w:t xml:space="preserve">The soil water content was measured by drying 20 g of soil at 105°C for 24 h in a ventilated oven. The soil pH was measured using a pH meter </w:t>
      </w:r>
      <w:r w:rsidR="00B63FC3" w:rsidRPr="00921CAD">
        <w:rPr>
          <w:rFonts w:ascii="Palatino Linotype" w:hAnsi="Palatino Linotype"/>
          <w:color w:val="000000" w:themeColor="text1"/>
        </w:rPr>
        <w:t xml:space="preserve">(D-54; Horiba, Tokyo, Japan) </w:t>
      </w:r>
      <w:r w:rsidRPr="00921CAD">
        <w:rPr>
          <w:rFonts w:ascii="Palatino Linotype" w:hAnsi="Palatino Linotype"/>
          <w:color w:val="000000" w:themeColor="text1"/>
        </w:rPr>
        <w:t xml:space="preserve">after extracting 5 g of soil in 25 mL of water. </w:t>
      </w:r>
      <w:r w:rsidR="002C5E03" w:rsidRPr="00921CAD">
        <w:rPr>
          <w:rFonts w:ascii="Palatino Linotype" w:hAnsi="Palatino Linotype"/>
          <w:color w:val="000000" w:themeColor="text1"/>
        </w:rPr>
        <w:t>S</w:t>
      </w:r>
      <w:r w:rsidR="00B74001" w:rsidRPr="00921CAD">
        <w:rPr>
          <w:rFonts w:ascii="Palatino Linotype" w:hAnsi="Palatino Linotype"/>
          <w:color w:val="000000" w:themeColor="text1"/>
        </w:rPr>
        <w:t>oil inorganic N (</w:t>
      </w:r>
      <w:r w:rsidR="00D66917" w:rsidRPr="00921CAD">
        <w:rPr>
          <w:rFonts w:ascii="Palatino Linotype" w:hAnsi="Palatino Linotype"/>
          <w:color w:val="000000" w:themeColor="text1"/>
        </w:rPr>
        <w:t>NH</w:t>
      </w:r>
      <w:r w:rsidR="00D66917" w:rsidRPr="00921CAD">
        <w:rPr>
          <w:rFonts w:ascii="Palatino Linotype" w:hAnsi="Palatino Linotype"/>
          <w:color w:val="000000" w:themeColor="text1"/>
          <w:vertAlign w:val="subscript"/>
        </w:rPr>
        <w:t>4</w:t>
      </w:r>
      <w:r w:rsidR="00D66917" w:rsidRPr="00921CAD">
        <w:rPr>
          <w:rFonts w:ascii="Palatino Linotype" w:hAnsi="Palatino Linotype"/>
          <w:color w:val="000000" w:themeColor="text1"/>
          <w:vertAlign w:val="superscript"/>
        </w:rPr>
        <w:t xml:space="preserve">+ </w:t>
      </w:r>
      <w:r w:rsidR="00B74001" w:rsidRPr="00921CAD">
        <w:rPr>
          <w:rFonts w:ascii="Palatino Linotype" w:hAnsi="Palatino Linotype"/>
          <w:color w:val="000000" w:themeColor="text1"/>
        </w:rPr>
        <w:t>and NO</w:t>
      </w:r>
      <w:r w:rsidR="00B74001" w:rsidRPr="00921CAD">
        <w:rPr>
          <w:rFonts w:ascii="Palatino Linotype" w:hAnsi="Palatino Linotype"/>
          <w:color w:val="000000" w:themeColor="text1"/>
          <w:vertAlign w:val="subscript"/>
        </w:rPr>
        <w:t>3</w:t>
      </w:r>
      <w:r w:rsidR="00B74001" w:rsidRPr="00921CAD">
        <w:rPr>
          <w:rFonts w:ascii="Palatino Linotype" w:hAnsi="Palatino Linotype"/>
          <w:color w:val="000000" w:themeColor="text1"/>
          <w:vertAlign w:val="superscript"/>
        </w:rPr>
        <w:t>‒</w:t>
      </w:r>
      <w:r w:rsidR="00B74001" w:rsidRPr="00921CAD">
        <w:rPr>
          <w:rFonts w:ascii="Palatino Linotype" w:hAnsi="Palatino Linotype"/>
          <w:color w:val="000000" w:themeColor="text1"/>
        </w:rPr>
        <w:t>)</w:t>
      </w:r>
      <w:r w:rsidR="002C5E03" w:rsidRPr="00921CAD">
        <w:rPr>
          <w:rFonts w:ascii="Palatino Linotype" w:hAnsi="Palatino Linotype"/>
          <w:color w:val="000000" w:themeColor="text1"/>
        </w:rPr>
        <w:t>, organic N, and organic C</w:t>
      </w:r>
      <w:r w:rsidR="00B74001" w:rsidRPr="00921CAD">
        <w:rPr>
          <w:rFonts w:ascii="Palatino Linotype" w:hAnsi="Palatino Linotype"/>
          <w:color w:val="000000" w:themeColor="text1"/>
        </w:rPr>
        <w:t xml:space="preserve"> w</w:t>
      </w:r>
      <w:r w:rsidR="002C5E03" w:rsidRPr="00921CAD">
        <w:rPr>
          <w:rFonts w:ascii="Palatino Linotype" w:hAnsi="Palatino Linotype"/>
          <w:color w:val="000000" w:themeColor="text1"/>
        </w:rPr>
        <w:t>ere</w:t>
      </w:r>
      <w:r w:rsidR="00B74001" w:rsidRPr="00921CAD">
        <w:rPr>
          <w:rFonts w:ascii="Palatino Linotype" w:hAnsi="Palatino Linotype"/>
          <w:color w:val="000000" w:themeColor="text1"/>
        </w:rPr>
        <w:t xml:space="preserve"> extracted with 2 M KCl solution (</w:t>
      </w:r>
      <w:r w:rsidR="002C5E03" w:rsidRPr="00921CAD">
        <w:rPr>
          <w:rFonts w:ascii="Palatino Linotype" w:hAnsi="Palatino Linotype"/>
          <w:color w:val="000000" w:themeColor="text1"/>
        </w:rPr>
        <w:t>7 g of soil with 35 mL of 2 M KCl</w:t>
      </w:r>
      <w:r w:rsidR="00B74001" w:rsidRPr="00921CAD">
        <w:rPr>
          <w:rFonts w:ascii="Palatino Linotype" w:hAnsi="Palatino Linotype"/>
          <w:color w:val="000000" w:themeColor="text1"/>
        </w:rPr>
        <w:t xml:space="preserve">, shaking for 1 h). The extracts were </w:t>
      </w:r>
      <w:r w:rsidR="002C5E03" w:rsidRPr="00921CAD">
        <w:rPr>
          <w:rFonts w:ascii="Palatino Linotype" w:hAnsi="Palatino Linotype"/>
          <w:color w:val="000000" w:themeColor="text1"/>
        </w:rPr>
        <w:t>then centrifuged at 3500</w:t>
      </w:r>
      <w:r w:rsidR="00B03ED6" w:rsidRPr="00921CAD">
        <w:rPr>
          <w:rFonts w:ascii="Palatino Linotype" w:hAnsi="Palatino Linotype"/>
          <w:color w:val="000000" w:themeColor="text1"/>
        </w:rPr>
        <w:t xml:space="preserve"> </w:t>
      </w:r>
      <w:r w:rsidR="002C5E03" w:rsidRPr="00921CAD">
        <w:rPr>
          <w:rFonts w:ascii="Palatino Linotype" w:hAnsi="Palatino Linotype"/>
          <w:color w:val="000000" w:themeColor="text1"/>
        </w:rPr>
        <w:t>rpm for 10 min</w:t>
      </w:r>
      <w:r w:rsidR="00B03ED6" w:rsidRPr="00921CAD">
        <w:rPr>
          <w:rFonts w:ascii="Palatino Linotype" w:hAnsi="Palatino Linotype"/>
          <w:color w:val="000000" w:themeColor="text1"/>
        </w:rPr>
        <w:t xml:space="preserve"> and</w:t>
      </w:r>
      <w:r w:rsidR="002C5E03" w:rsidRPr="00921CAD">
        <w:rPr>
          <w:rFonts w:ascii="Palatino Linotype" w:hAnsi="Palatino Linotype"/>
          <w:color w:val="000000" w:themeColor="text1"/>
        </w:rPr>
        <w:t xml:space="preserve"> filtered by glass fiber filters (GF/F; Whatman Int. Ltd., Maidstone, UK).</w:t>
      </w:r>
      <w:r w:rsidR="00B74001" w:rsidRPr="00921CAD">
        <w:rPr>
          <w:rFonts w:ascii="Palatino Linotype" w:hAnsi="Palatino Linotype"/>
          <w:color w:val="000000" w:themeColor="text1"/>
        </w:rPr>
        <w:t xml:space="preserve"> The </w:t>
      </w:r>
      <w:r w:rsidR="002C5E03" w:rsidRPr="00921CAD">
        <w:rPr>
          <w:rFonts w:ascii="Palatino Linotype" w:hAnsi="Palatino Linotype"/>
          <w:color w:val="000000" w:themeColor="text1"/>
        </w:rPr>
        <w:t>NH</w:t>
      </w:r>
      <w:r w:rsidR="002C5E03" w:rsidRPr="00921CAD">
        <w:rPr>
          <w:rFonts w:ascii="Palatino Linotype" w:hAnsi="Palatino Linotype"/>
          <w:color w:val="000000" w:themeColor="text1"/>
          <w:vertAlign w:val="subscript"/>
        </w:rPr>
        <w:t>4</w:t>
      </w:r>
      <w:r w:rsidR="002C5E03" w:rsidRPr="00921CAD">
        <w:rPr>
          <w:rFonts w:ascii="Palatino Linotype" w:hAnsi="Palatino Linotype"/>
          <w:color w:val="000000" w:themeColor="text1"/>
          <w:vertAlign w:val="superscript"/>
        </w:rPr>
        <w:t xml:space="preserve">+ </w:t>
      </w:r>
      <w:r w:rsidR="00B74001" w:rsidRPr="00921CAD">
        <w:rPr>
          <w:rFonts w:ascii="Palatino Linotype" w:hAnsi="Palatino Linotype"/>
          <w:color w:val="000000" w:themeColor="text1"/>
        </w:rPr>
        <w:t xml:space="preserve">concentration </w:t>
      </w:r>
      <w:r w:rsidR="00C81316" w:rsidRPr="00921CAD">
        <w:rPr>
          <w:rFonts w:ascii="Palatino Linotype" w:hAnsi="Palatino Linotype"/>
          <w:color w:val="000000" w:themeColor="text1"/>
        </w:rPr>
        <w:t>of</w:t>
      </w:r>
      <w:r w:rsidR="00B74001" w:rsidRPr="00921CAD">
        <w:rPr>
          <w:rFonts w:ascii="Palatino Linotype" w:hAnsi="Palatino Linotype"/>
          <w:color w:val="000000" w:themeColor="text1"/>
        </w:rPr>
        <w:t xml:space="preserve"> the extracts was measured by the indophenol method and the NO</w:t>
      </w:r>
      <w:r w:rsidR="00B74001" w:rsidRPr="00921CAD">
        <w:rPr>
          <w:rFonts w:ascii="Palatino Linotype" w:hAnsi="Palatino Linotype"/>
          <w:color w:val="000000" w:themeColor="text1"/>
          <w:vertAlign w:val="subscript"/>
        </w:rPr>
        <w:t>3</w:t>
      </w:r>
      <w:r w:rsidR="00B74001" w:rsidRPr="00921CAD">
        <w:rPr>
          <w:rFonts w:ascii="Palatino Linotype" w:hAnsi="Palatino Linotype"/>
          <w:color w:val="000000" w:themeColor="text1"/>
          <w:vertAlign w:val="superscript"/>
        </w:rPr>
        <w:t>‒</w:t>
      </w:r>
      <w:r w:rsidR="00B74001" w:rsidRPr="00921CAD">
        <w:rPr>
          <w:rFonts w:ascii="Palatino Linotype" w:hAnsi="Palatino Linotype"/>
          <w:color w:val="000000" w:themeColor="text1"/>
        </w:rPr>
        <w:t xml:space="preserve"> concentration in the extracts was measured by the sulfanilamide-naphthylethylenediamine method after reduction by a Cd-Cu column. Both colorimetric methods used a flow injection system (FIU-300; Jasco Corp., Tokyo, Japan).</w:t>
      </w:r>
      <w:r w:rsidR="002C5E03"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The </w:t>
      </w:r>
      <w:r w:rsidR="002C5E03" w:rsidRPr="00921CAD">
        <w:rPr>
          <w:rFonts w:ascii="Palatino Linotype" w:hAnsi="Palatino Linotype"/>
          <w:color w:val="000000" w:themeColor="text1"/>
        </w:rPr>
        <w:t xml:space="preserve">total dissolved N </w:t>
      </w:r>
      <w:r w:rsidR="00D66917" w:rsidRPr="00921CAD">
        <w:rPr>
          <w:rFonts w:ascii="Palatino Linotype" w:hAnsi="Palatino Linotype"/>
          <w:color w:val="000000" w:themeColor="text1"/>
        </w:rPr>
        <w:t xml:space="preserve">(TDN) </w:t>
      </w:r>
      <w:r w:rsidR="002C5E03" w:rsidRPr="00921CAD">
        <w:rPr>
          <w:rFonts w:ascii="Palatino Linotype" w:hAnsi="Palatino Linotype"/>
          <w:color w:val="000000" w:themeColor="text1"/>
        </w:rPr>
        <w:t xml:space="preserve">and </w:t>
      </w:r>
      <w:r w:rsidRPr="00921CAD">
        <w:rPr>
          <w:rFonts w:ascii="Palatino Linotype" w:hAnsi="Palatino Linotype"/>
          <w:color w:val="000000" w:themeColor="text1"/>
        </w:rPr>
        <w:t>dissolved organic carbon (DOC) concentrations in the extract</w:t>
      </w:r>
      <w:r w:rsidR="002C5E03" w:rsidRPr="00921CAD">
        <w:rPr>
          <w:rFonts w:ascii="Palatino Linotype" w:hAnsi="Palatino Linotype"/>
          <w:color w:val="000000" w:themeColor="text1"/>
        </w:rPr>
        <w:t xml:space="preserve">s </w:t>
      </w:r>
      <w:r w:rsidRPr="00921CAD">
        <w:rPr>
          <w:rFonts w:ascii="Palatino Linotype" w:hAnsi="Palatino Linotype"/>
          <w:color w:val="000000" w:themeColor="text1"/>
        </w:rPr>
        <w:t xml:space="preserve">were </w:t>
      </w:r>
      <w:r w:rsidR="002C5E03" w:rsidRPr="00921CAD">
        <w:rPr>
          <w:rFonts w:ascii="Palatino Linotype" w:hAnsi="Palatino Linotype"/>
          <w:color w:val="000000" w:themeColor="text1"/>
        </w:rPr>
        <w:t>measured</w:t>
      </w:r>
      <w:r w:rsidRPr="00921CAD">
        <w:rPr>
          <w:rFonts w:ascii="Palatino Linotype" w:hAnsi="Palatino Linotype"/>
          <w:color w:val="000000" w:themeColor="text1"/>
        </w:rPr>
        <w:t xml:space="preserve"> using a TOC/TN analyzer (TOC-V; Shimadzu, Kyoto, Japan).</w:t>
      </w:r>
      <w:r w:rsidR="00D66917" w:rsidRPr="00921CAD">
        <w:rPr>
          <w:rFonts w:ascii="Palatino Linotype" w:hAnsi="Palatino Linotype"/>
          <w:b/>
          <w:color w:val="000000" w:themeColor="text1"/>
        </w:rPr>
        <w:t xml:space="preserve"> </w:t>
      </w:r>
      <w:r w:rsidR="002C5E03" w:rsidRPr="00921CAD">
        <w:rPr>
          <w:rFonts w:ascii="Palatino Linotype" w:hAnsi="Palatino Linotype"/>
          <w:color w:val="000000" w:themeColor="text1"/>
        </w:rPr>
        <w:t>The dissolved organic nitrogen (DON) concentra</w:t>
      </w:r>
      <w:r w:rsidR="00D66917" w:rsidRPr="00921CAD">
        <w:rPr>
          <w:rFonts w:ascii="Palatino Linotype" w:hAnsi="Palatino Linotype"/>
          <w:color w:val="000000" w:themeColor="text1"/>
        </w:rPr>
        <w:t>tion</w:t>
      </w:r>
      <w:r w:rsidR="002C5E03" w:rsidRPr="00921CAD">
        <w:rPr>
          <w:rFonts w:ascii="Palatino Linotype" w:hAnsi="Palatino Linotype"/>
          <w:color w:val="000000" w:themeColor="text1"/>
        </w:rPr>
        <w:t xml:space="preserve"> was calculated by subtracting the inorganic N from the </w:t>
      </w:r>
      <w:r w:rsidR="00D66917" w:rsidRPr="00921CAD">
        <w:rPr>
          <w:rFonts w:ascii="Palatino Linotype" w:hAnsi="Palatino Linotype"/>
          <w:color w:val="000000" w:themeColor="text1"/>
        </w:rPr>
        <w:t>TD</w:t>
      </w:r>
      <w:r w:rsidR="002C5E03" w:rsidRPr="00921CAD">
        <w:rPr>
          <w:rFonts w:ascii="Palatino Linotype" w:hAnsi="Palatino Linotype"/>
          <w:color w:val="000000" w:themeColor="text1"/>
        </w:rPr>
        <w:t>N in the extracts.</w:t>
      </w:r>
    </w:p>
    <w:p w14:paraId="5D56E748" w14:textId="77777777" w:rsidR="002C5E03" w:rsidRPr="00921CAD" w:rsidRDefault="002C5E03" w:rsidP="00A60591">
      <w:pPr>
        <w:rPr>
          <w:rFonts w:ascii="Palatino Linotype" w:hAnsi="Palatino Linotype"/>
          <w:b/>
          <w:color w:val="000000" w:themeColor="text1"/>
        </w:rPr>
      </w:pPr>
    </w:p>
    <w:p w14:paraId="1BA7D5D6" w14:textId="170B2578" w:rsidR="00823156" w:rsidRPr="00921CAD" w:rsidRDefault="00453D33" w:rsidP="00A60591">
      <w:pPr>
        <w:rPr>
          <w:rFonts w:ascii="Palatino Linotype" w:hAnsi="Palatino Linotype"/>
          <w:b/>
          <w:color w:val="000000" w:themeColor="text1"/>
        </w:rPr>
      </w:pPr>
      <w:r w:rsidRPr="00921CAD">
        <w:rPr>
          <w:rFonts w:ascii="Palatino Linotype" w:hAnsi="Palatino Linotype"/>
          <w:b/>
          <w:color w:val="000000" w:themeColor="text1"/>
        </w:rPr>
        <w:t>3</w:t>
      </w:r>
      <w:r w:rsidR="00823156" w:rsidRPr="00921CAD">
        <w:rPr>
          <w:rFonts w:ascii="Palatino Linotype" w:hAnsi="Palatino Linotype"/>
          <w:b/>
          <w:color w:val="000000" w:themeColor="text1"/>
        </w:rPr>
        <w:t xml:space="preserve">. Measurement of the gross and net ammonification and nitrification </w:t>
      </w:r>
      <w:r w:rsidR="00DF7A65" w:rsidRPr="00921CAD">
        <w:rPr>
          <w:rFonts w:ascii="Palatino Linotype" w:hAnsi="Palatino Linotype"/>
          <w:b/>
          <w:color w:val="000000" w:themeColor="text1"/>
        </w:rPr>
        <w:t>rates</w:t>
      </w:r>
    </w:p>
    <w:p w14:paraId="2A9538E5" w14:textId="68764831" w:rsidR="00823156" w:rsidRPr="00921CAD" w:rsidRDefault="00823156" w:rsidP="00A60591">
      <w:pPr>
        <w:rPr>
          <w:rFonts w:ascii="Palatino Linotype" w:hAnsi="Palatino Linotype"/>
          <w:color w:val="000000" w:themeColor="text1"/>
        </w:rPr>
      </w:pPr>
      <w:r w:rsidRPr="00921CAD">
        <w:rPr>
          <w:rFonts w:ascii="Palatino Linotype" w:hAnsi="Palatino Linotype"/>
          <w:color w:val="000000" w:themeColor="text1"/>
        </w:rPr>
        <w:t xml:space="preserve">The gross ammonification and nitrification </w:t>
      </w:r>
      <w:r w:rsidR="00A674F7" w:rsidRPr="00921CAD">
        <w:rPr>
          <w:rFonts w:ascii="Palatino Linotype" w:hAnsi="Palatino Linotype"/>
          <w:color w:val="000000" w:themeColor="text1"/>
        </w:rPr>
        <w:t xml:space="preserve">rates </w:t>
      </w:r>
      <w:r w:rsidRPr="00921CAD">
        <w:rPr>
          <w:rFonts w:ascii="Palatino Linotype" w:hAnsi="Palatino Linotype"/>
          <w:color w:val="000000" w:themeColor="text1"/>
        </w:rPr>
        <w:t xml:space="preserve">in soils were determined </w:t>
      </w:r>
      <w:r w:rsidR="00CF19ED" w:rsidRPr="00921CAD">
        <w:rPr>
          <w:rFonts w:ascii="Palatino Linotype" w:hAnsi="Palatino Linotype"/>
          <w:color w:val="000000" w:themeColor="text1"/>
        </w:rPr>
        <w:t xml:space="preserve">in the laboratory </w:t>
      </w:r>
      <w:r w:rsidRPr="00921CAD">
        <w:rPr>
          <w:rFonts w:ascii="Palatino Linotype" w:hAnsi="Palatino Linotype"/>
          <w:color w:val="000000" w:themeColor="text1"/>
        </w:rPr>
        <w:t xml:space="preserve">using the isotope dilution method </w:t>
      </w:r>
      <w:r w:rsidR="009359B2" w:rsidRPr="00921CAD">
        <w:rPr>
          <w:rFonts w:ascii="Palatino Linotype" w:hAnsi="Palatino Linotype"/>
          <w:color w:val="000000" w:themeColor="text1"/>
        </w:rPr>
        <w:fldChar w:fldCharType="begin" w:fldLock="1"/>
      </w:r>
      <w:r w:rsidR="009359B2" w:rsidRPr="00921CAD">
        <w:rPr>
          <w:rFonts w:ascii="Palatino Linotype" w:hAnsi="Palatino Linotype"/>
          <w:color w:val="000000" w:themeColor="text1"/>
        </w:rPr>
        <w:instrText>ADDIN CSL_CITATION {"citationItems":[{"id":"ITEM-1","itemData":{"author":[{"dropping-particle":"","family":"Hart","given":"Stephen C","non-dropping-particle":"","parse-names":false,"suffix":""},{"dropping-particle":"","family":"Stark","given":"John M","non-dropping-particle":"","parse-names":false,"suffix":""},{"dropping-particle":"","family":"Davidson","given":"Eric A","non-dropping-particle":"","parse-names":false,"suffix":""},{"dropping-particle":"","family":"Firestone","given":"Mary K","non-dropping-particle":"","parse-names":false,"suffix":""}],"container-title":"Methods of Soil Analysis: Part 2—Microbiological and Biochemical Properties","id":"ITEM-1","issued":{"date-parts":[["1994"]]},"page":"985-1018","publisher":"Soil Science Society of America","title":"Nitrogen mineralization, immobilization, and nitrification","type":"chapter"},"uris":["http://www.mendeley.com/documents/?uuid=3adfcf0e-1033-416f-b560-a2fac37c7262"]}],"mendeley":{"formattedCitation":"(Hart &lt;i&gt;et al.&lt;/i&gt; 1994)","plainTextFormattedCitation":"(Hart et al. 1994)","previouslyFormattedCitation":"(Hart &lt;i&gt;et al.&lt;/i&gt; 1994)"},"properties":{"noteIndex":0},"schema":"https://github.com/citation-style-language/schema/raw/master/csl-citation.json"}</w:instrText>
      </w:r>
      <w:r w:rsidR="009359B2" w:rsidRPr="00921CAD">
        <w:rPr>
          <w:rFonts w:ascii="Palatino Linotype" w:hAnsi="Palatino Linotype"/>
          <w:color w:val="000000" w:themeColor="text1"/>
        </w:rPr>
        <w:fldChar w:fldCharType="separate"/>
      </w:r>
      <w:r w:rsidR="009359B2" w:rsidRPr="00921CAD">
        <w:rPr>
          <w:rFonts w:ascii="Palatino Linotype" w:hAnsi="Palatino Linotype"/>
          <w:noProof/>
          <w:color w:val="000000" w:themeColor="text1"/>
        </w:rPr>
        <w:t xml:space="preserve">(Hart </w:t>
      </w:r>
      <w:r w:rsidR="009359B2" w:rsidRPr="00921CAD">
        <w:rPr>
          <w:rFonts w:ascii="Palatino Linotype" w:hAnsi="Palatino Linotype"/>
          <w:i/>
          <w:noProof/>
          <w:color w:val="000000" w:themeColor="text1"/>
        </w:rPr>
        <w:t>et al.</w:t>
      </w:r>
      <w:r w:rsidR="009359B2" w:rsidRPr="00921CAD">
        <w:rPr>
          <w:rFonts w:ascii="Palatino Linotype" w:hAnsi="Palatino Linotype"/>
          <w:noProof/>
          <w:color w:val="000000" w:themeColor="text1"/>
        </w:rPr>
        <w:t xml:space="preserve"> 1994)</w:t>
      </w:r>
      <w:r w:rsidR="009359B2"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Two subsamples (7 g each, equivalent to </w:t>
      </w:r>
      <w:r w:rsidR="00D96992" w:rsidRPr="00921CAD">
        <w:rPr>
          <w:rFonts w:ascii="Palatino Linotype" w:hAnsi="Palatino Linotype"/>
          <w:color w:val="000000" w:themeColor="text1"/>
        </w:rPr>
        <w:t xml:space="preserve">approximately </w:t>
      </w:r>
      <w:r w:rsidRPr="00921CAD">
        <w:rPr>
          <w:rFonts w:ascii="Palatino Linotype" w:hAnsi="Palatino Linotype"/>
          <w:color w:val="000000" w:themeColor="text1"/>
        </w:rPr>
        <w:t xml:space="preserve">3.5 g of dry soil) from each soil sample were used for the analysis of ammonification or nitrification during </w:t>
      </w:r>
      <w:r w:rsidR="00D96992" w:rsidRPr="00921CAD">
        <w:rPr>
          <w:rFonts w:ascii="Palatino Linotype" w:hAnsi="Palatino Linotype"/>
          <w:color w:val="000000" w:themeColor="text1"/>
        </w:rPr>
        <w:t>24 h of</w:t>
      </w:r>
      <w:r w:rsidRPr="00921CAD">
        <w:rPr>
          <w:rFonts w:ascii="Palatino Linotype" w:hAnsi="Palatino Linotype"/>
          <w:color w:val="000000" w:themeColor="text1"/>
        </w:rPr>
        <w:t xml:space="preserve"> incubation. Briefly, </w:t>
      </w:r>
      <w:r w:rsidR="00D96992" w:rsidRPr="00921CAD">
        <w:rPr>
          <w:rFonts w:ascii="Palatino Linotype" w:hAnsi="Palatino Linotype"/>
          <w:color w:val="000000" w:themeColor="text1"/>
        </w:rPr>
        <w:t xml:space="preserve">7 g of soils supplemented with 1 mL of 1 mM </w:t>
      </w:r>
      <w:r w:rsidR="00D96992" w:rsidRPr="00921CAD">
        <w:rPr>
          <w:rFonts w:ascii="Palatino Linotype" w:hAnsi="Palatino Linotype"/>
          <w:color w:val="000000" w:themeColor="text1"/>
          <w:vertAlign w:val="superscript"/>
        </w:rPr>
        <w:t>15</w:t>
      </w:r>
      <w:r w:rsidR="00D96992" w:rsidRPr="00921CAD">
        <w:rPr>
          <w:rFonts w:ascii="Palatino Linotype" w:hAnsi="Palatino Linotype"/>
          <w:color w:val="000000" w:themeColor="text1"/>
        </w:rPr>
        <w:t>NH</w:t>
      </w:r>
      <w:r w:rsidR="00D96992" w:rsidRPr="00921CAD">
        <w:rPr>
          <w:rFonts w:ascii="Palatino Linotype" w:hAnsi="Palatino Linotype"/>
          <w:color w:val="000000" w:themeColor="text1"/>
          <w:vertAlign w:val="subscript"/>
        </w:rPr>
        <w:t>4</w:t>
      </w:r>
      <w:r w:rsidR="00D96992" w:rsidRPr="00921CAD">
        <w:rPr>
          <w:rFonts w:ascii="Palatino Linotype" w:hAnsi="Palatino Linotype"/>
          <w:color w:val="000000" w:themeColor="text1"/>
        </w:rPr>
        <w:t xml:space="preserve">Cl (99.7 </w:t>
      </w:r>
      <w:r w:rsidR="00D96992" w:rsidRPr="00921CAD">
        <w:rPr>
          <w:rFonts w:ascii="Palatino Linotype" w:hAnsi="Palatino Linotype"/>
          <w:color w:val="000000" w:themeColor="text1"/>
          <w:vertAlign w:val="superscript"/>
        </w:rPr>
        <w:t>15</w:t>
      </w:r>
      <w:r w:rsidR="00D96992" w:rsidRPr="00921CAD">
        <w:rPr>
          <w:rFonts w:ascii="Palatino Linotype" w:hAnsi="Palatino Linotype"/>
          <w:color w:val="000000" w:themeColor="text1"/>
        </w:rPr>
        <w:t>N atom %) or Na</w:t>
      </w:r>
      <w:r w:rsidR="00D96992" w:rsidRPr="00921CAD">
        <w:rPr>
          <w:rFonts w:ascii="Palatino Linotype" w:hAnsi="Palatino Linotype"/>
          <w:color w:val="000000" w:themeColor="text1"/>
          <w:vertAlign w:val="superscript"/>
        </w:rPr>
        <w:t>15</w:t>
      </w:r>
      <w:r w:rsidR="00D96992" w:rsidRPr="00921CAD">
        <w:rPr>
          <w:rFonts w:ascii="Palatino Linotype" w:hAnsi="Palatino Linotype"/>
          <w:color w:val="000000" w:themeColor="text1"/>
        </w:rPr>
        <w:t>NO</w:t>
      </w:r>
      <w:r w:rsidR="00D96992" w:rsidRPr="00921CAD">
        <w:rPr>
          <w:rFonts w:ascii="Palatino Linotype" w:hAnsi="Palatino Linotype"/>
          <w:color w:val="000000" w:themeColor="text1"/>
          <w:vertAlign w:val="subscript"/>
        </w:rPr>
        <w:t>3</w:t>
      </w:r>
      <w:r w:rsidR="00D96992" w:rsidRPr="00921CAD">
        <w:rPr>
          <w:rFonts w:ascii="Palatino Linotype" w:hAnsi="Palatino Linotype"/>
          <w:color w:val="000000" w:themeColor="text1"/>
        </w:rPr>
        <w:t xml:space="preserve"> (99.8 </w:t>
      </w:r>
      <w:r w:rsidR="00D96992" w:rsidRPr="00921CAD">
        <w:rPr>
          <w:rFonts w:ascii="Palatino Linotype" w:hAnsi="Palatino Linotype"/>
          <w:color w:val="000000" w:themeColor="text1"/>
          <w:vertAlign w:val="superscript"/>
        </w:rPr>
        <w:t>15</w:t>
      </w:r>
      <w:r w:rsidR="00D96992" w:rsidRPr="00921CAD">
        <w:rPr>
          <w:rFonts w:ascii="Palatino Linotype" w:hAnsi="Palatino Linotype"/>
          <w:color w:val="000000" w:themeColor="text1"/>
        </w:rPr>
        <w:t xml:space="preserve">N atom %) </w:t>
      </w:r>
      <w:r w:rsidR="00A674F7" w:rsidRPr="00921CAD">
        <w:rPr>
          <w:rFonts w:ascii="Palatino Linotype" w:hAnsi="Palatino Linotype"/>
          <w:color w:val="000000" w:themeColor="text1"/>
        </w:rPr>
        <w:t>was</w:t>
      </w:r>
      <w:r w:rsidR="00D96992"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incubated at </w:t>
      </w:r>
      <w:r w:rsidR="00D96992" w:rsidRPr="00921CAD">
        <w:rPr>
          <w:rFonts w:ascii="Palatino Linotype" w:hAnsi="Palatino Linotype"/>
          <w:color w:val="000000" w:themeColor="text1"/>
        </w:rPr>
        <w:t>20°C</w:t>
      </w:r>
      <w:r w:rsidRPr="00921CAD">
        <w:rPr>
          <w:rFonts w:ascii="Palatino Linotype" w:hAnsi="Palatino Linotype"/>
          <w:color w:val="000000" w:themeColor="text1"/>
        </w:rPr>
        <w:t xml:space="preserve">. We extracted </w:t>
      </w:r>
      <w:r w:rsidR="004521EA" w:rsidRPr="00921CAD">
        <w:rPr>
          <w:rFonts w:ascii="Palatino Linotype" w:hAnsi="Palatino Linotype"/>
          <w:color w:val="000000" w:themeColor="text1"/>
        </w:rPr>
        <w:t xml:space="preserve">both </w:t>
      </w:r>
      <w:r w:rsidRPr="00921CAD">
        <w:rPr>
          <w:rFonts w:ascii="Palatino Linotype" w:hAnsi="Palatino Linotype"/>
          <w:color w:val="000000" w:themeColor="text1"/>
        </w:rPr>
        <w:t>NH</w:t>
      </w:r>
      <w:r w:rsidRPr="00921CAD">
        <w:rPr>
          <w:rFonts w:ascii="Palatino Linotype" w:hAnsi="Palatino Linotype"/>
          <w:color w:val="000000" w:themeColor="text1"/>
          <w:vertAlign w:val="subscript"/>
        </w:rPr>
        <w:t>4</w:t>
      </w:r>
      <w:r w:rsidRPr="00921CAD">
        <w:rPr>
          <w:rFonts w:ascii="Palatino Linotype" w:hAnsi="Palatino Linotype"/>
          <w:color w:val="000000" w:themeColor="text1"/>
          <w:vertAlign w:val="superscript"/>
        </w:rPr>
        <w:t>+</w:t>
      </w:r>
      <w:r w:rsidRPr="00921CAD">
        <w:rPr>
          <w:rFonts w:ascii="Palatino Linotype" w:hAnsi="Palatino Linotype"/>
          <w:color w:val="000000" w:themeColor="text1"/>
        </w:rPr>
        <w:t xml:space="preserve"> and </w:t>
      </w:r>
      <w:r w:rsidR="00D96992" w:rsidRPr="00921CAD">
        <w:rPr>
          <w:rFonts w:ascii="Palatino Linotype" w:hAnsi="Palatino Linotype"/>
          <w:color w:val="000000" w:themeColor="text1"/>
        </w:rPr>
        <w:t>NO</w:t>
      </w:r>
      <w:r w:rsidR="00D96992" w:rsidRPr="00921CAD">
        <w:rPr>
          <w:rFonts w:ascii="Palatino Linotype" w:hAnsi="Palatino Linotype"/>
          <w:color w:val="000000" w:themeColor="text1"/>
          <w:vertAlign w:val="subscript"/>
        </w:rPr>
        <w:t>3</w:t>
      </w:r>
      <w:r w:rsidR="00D96992" w:rsidRPr="00921CAD">
        <w:rPr>
          <w:rFonts w:ascii="Palatino Linotype" w:hAnsi="Palatino Linotype"/>
          <w:color w:val="000000" w:themeColor="text1"/>
          <w:vertAlign w:val="superscript"/>
        </w:rPr>
        <w:t>−</w:t>
      </w:r>
      <w:r w:rsidR="00D96992" w:rsidRPr="00921CAD">
        <w:rPr>
          <w:rFonts w:ascii="Palatino Linotype" w:hAnsi="Palatino Linotype"/>
          <w:color w:val="000000" w:themeColor="text1"/>
        </w:rPr>
        <w:t xml:space="preserve"> </w:t>
      </w:r>
      <w:r w:rsidRPr="00921CAD">
        <w:rPr>
          <w:rFonts w:ascii="Palatino Linotype" w:hAnsi="Palatino Linotype"/>
          <w:color w:val="000000" w:themeColor="text1"/>
        </w:rPr>
        <w:t>from the soils with 35 mL of 2 M</w:t>
      </w:r>
      <w:r w:rsidR="00D25C52"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KCl solution </w:t>
      </w:r>
      <w:r w:rsidR="00D66917" w:rsidRPr="00921CAD">
        <w:rPr>
          <w:rFonts w:ascii="Palatino Linotype" w:hAnsi="Palatino Linotype"/>
          <w:color w:val="000000" w:themeColor="text1"/>
        </w:rPr>
        <w:t xml:space="preserve">as described above </w:t>
      </w:r>
      <w:r w:rsidRPr="00921CAD">
        <w:rPr>
          <w:rFonts w:ascii="Palatino Linotype" w:hAnsi="Palatino Linotype"/>
          <w:color w:val="000000" w:themeColor="text1"/>
        </w:rPr>
        <w:t xml:space="preserve">after </w:t>
      </w:r>
      <w:r w:rsidR="00D96992" w:rsidRPr="00921CAD">
        <w:rPr>
          <w:rFonts w:ascii="Palatino Linotype" w:hAnsi="Palatino Linotype"/>
          <w:color w:val="000000" w:themeColor="text1"/>
        </w:rPr>
        <w:t xml:space="preserve">incubation for </w:t>
      </w:r>
      <w:r w:rsidRPr="00921CAD">
        <w:rPr>
          <w:rFonts w:ascii="Palatino Linotype" w:hAnsi="Palatino Linotype"/>
          <w:color w:val="000000" w:themeColor="text1"/>
        </w:rPr>
        <w:t xml:space="preserve">2 and 26 h. </w:t>
      </w:r>
      <w:r w:rsidR="00D96992" w:rsidRPr="00921CAD">
        <w:rPr>
          <w:rFonts w:ascii="Palatino Linotype" w:hAnsi="Palatino Linotype"/>
          <w:color w:val="000000" w:themeColor="text1"/>
        </w:rPr>
        <w:t xml:space="preserve">The </w:t>
      </w:r>
      <w:r w:rsidRPr="00921CAD">
        <w:rPr>
          <w:rFonts w:ascii="Palatino Linotype" w:hAnsi="Palatino Linotype"/>
          <w:color w:val="000000" w:themeColor="text1"/>
        </w:rPr>
        <w:t>NH</w:t>
      </w:r>
      <w:r w:rsidRPr="00921CAD">
        <w:rPr>
          <w:rFonts w:ascii="Palatino Linotype" w:hAnsi="Palatino Linotype"/>
          <w:color w:val="000000" w:themeColor="text1"/>
          <w:vertAlign w:val="subscript"/>
        </w:rPr>
        <w:t>4</w:t>
      </w:r>
      <w:r w:rsidRPr="00921CAD">
        <w:rPr>
          <w:rFonts w:ascii="Palatino Linotype" w:hAnsi="Palatino Linotype"/>
          <w:color w:val="000000" w:themeColor="text1"/>
          <w:vertAlign w:val="superscript"/>
        </w:rPr>
        <w:t>+</w:t>
      </w:r>
      <w:r w:rsidRPr="00921CAD">
        <w:rPr>
          <w:rFonts w:ascii="Palatino Linotype" w:hAnsi="Palatino Linotype"/>
          <w:color w:val="000000" w:themeColor="text1"/>
        </w:rPr>
        <w:t xml:space="preserve"> concentration</w:t>
      </w:r>
      <w:r w:rsidR="00D66917" w:rsidRPr="00921CAD">
        <w:rPr>
          <w:rFonts w:ascii="Palatino Linotype" w:hAnsi="Palatino Linotype"/>
          <w:color w:val="000000" w:themeColor="text1"/>
        </w:rPr>
        <w:t xml:space="preserve"> in </w:t>
      </w:r>
      <w:r w:rsidRPr="00921CAD">
        <w:rPr>
          <w:rFonts w:ascii="Palatino Linotype" w:hAnsi="Palatino Linotype"/>
          <w:color w:val="000000" w:themeColor="text1"/>
        </w:rPr>
        <w:t xml:space="preserve">the extracts </w:t>
      </w:r>
      <w:r w:rsidR="00D66917" w:rsidRPr="00921CAD">
        <w:rPr>
          <w:rFonts w:ascii="Palatino Linotype" w:hAnsi="Palatino Linotype"/>
          <w:color w:val="000000" w:themeColor="text1"/>
        </w:rPr>
        <w:t xml:space="preserve">was </w:t>
      </w:r>
      <w:r w:rsidRPr="00921CAD">
        <w:rPr>
          <w:rFonts w:ascii="Palatino Linotype" w:hAnsi="Palatino Linotype"/>
          <w:color w:val="000000" w:themeColor="text1"/>
        </w:rPr>
        <w:t xml:space="preserve">measured </w:t>
      </w:r>
      <w:r w:rsidRPr="00921CAD">
        <w:rPr>
          <w:rFonts w:ascii="Palatino Linotype" w:hAnsi="Palatino Linotype"/>
          <w:color w:val="000000" w:themeColor="text1"/>
          <w:shd w:val="clear" w:color="auto" w:fill="FFFFFF"/>
        </w:rPr>
        <w:t>colorimetrically</w:t>
      </w:r>
      <w:r w:rsidR="00D66917" w:rsidRPr="00921CAD">
        <w:rPr>
          <w:rFonts w:ascii="Palatino Linotype" w:hAnsi="Palatino Linotype"/>
          <w:color w:val="000000" w:themeColor="text1"/>
          <w:shd w:val="clear" w:color="auto" w:fill="FFFFFF"/>
        </w:rPr>
        <w:t xml:space="preserve"> as described above</w:t>
      </w:r>
      <w:r w:rsidRPr="00921CAD">
        <w:rPr>
          <w:rFonts w:ascii="Palatino Linotype" w:hAnsi="Palatino Linotype"/>
          <w:color w:val="000000" w:themeColor="text1"/>
        </w:rPr>
        <w:t xml:space="preserve">. The denitrifier method was used </w:t>
      </w:r>
      <w:r w:rsidR="009F66B5" w:rsidRPr="00921CAD">
        <w:rPr>
          <w:rFonts w:ascii="Palatino Linotype" w:hAnsi="Palatino Linotype"/>
          <w:color w:val="000000" w:themeColor="text1"/>
        </w:rPr>
        <w:t xml:space="preserve">to measure </w:t>
      </w:r>
      <w:r w:rsidRPr="00921CAD">
        <w:rPr>
          <w:rFonts w:ascii="Palatino Linotype" w:hAnsi="Palatino Linotype"/>
          <w:color w:val="000000" w:themeColor="text1"/>
        </w:rPr>
        <w:t xml:space="preserve">the </w:t>
      </w:r>
      <w:r w:rsidRPr="00921CAD">
        <w:rPr>
          <w:rFonts w:ascii="Palatino Linotype" w:hAnsi="Palatino Linotype"/>
          <w:color w:val="000000" w:themeColor="text1"/>
          <w:vertAlign w:val="superscript"/>
        </w:rPr>
        <w:t>15</w:t>
      </w:r>
      <w:r w:rsidRPr="00921CAD">
        <w:rPr>
          <w:rFonts w:ascii="Palatino Linotype" w:hAnsi="Palatino Linotype"/>
          <w:color w:val="000000" w:themeColor="text1"/>
        </w:rPr>
        <w:t>N atom% of NH</w:t>
      </w:r>
      <w:r w:rsidRPr="00921CAD">
        <w:rPr>
          <w:rFonts w:ascii="Palatino Linotype" w:hAnsi="Palatino Linotype"/>
          <w:color w:val="000000" w:themeColor="text1"/>
          <w:vertAlign w:val="subscript"/>
        </w:rPr>
        <w:t>4</w:t>
      </w:r>
      <w:r w:rsidRPr="00921CAD">
        <w:rPr>
          <w:rFonts w:ascii="Palatino Linotype" w:hAnsi="Palatino Linotype"/>
          <w:color w:val="000000" w:themeColor="text1"/>
          <w:vertAlign w:val="superscript"/>
        </w:rPr>
        <w:t>+</w:t>
      </w:r>
      <w:r w:rsidRPr="00921CAD">
        <w:rPr>
          <w:rFonts w:ascii="Palatino Linotype" w:hAnsi="Palatino Linotype"/>
          <w:color w:val="000000" w:themeColor="text1"/>
        </w:rPr>
        <w:t xml:space="preserve"> and</w:t>
      </w:r>
      <w:r w:rsidR="00D96992" w:rsidRPr="00921CAD">
        <w:rPr>
          <w:rFonts w:ascii="Palatino Linotype" w:hAnsi="Palatino Linotype"/>
          <w:color w:val="000000" w:themeColor="text1"/>
        </w:rPr>
        <w:t xml:space="preserve"> NO</w:t>
      </w:r>
      <w:r w:rsidR="00D96992" w:rsidRPr="00921CAD">
        <w:rPr>
          <w:rFonts w:ascii="Palatino Linotype" w:hAnsi="Palatino Linotype"/>
          <w:color w:val="000000" w:themeColor="text1"/>
          <w:vertAlign w:val="subscript"/>
        </w:rPr>
        <w:t>3</w:t>
      </w:r>
      <w:r w:rsidR="00D96992" w:rsidRPr="00921CAD">
        <w:rPr>
          <w:rFonts w:ascii="Palatino Linotype" w:hAnsi="Palatino Linotype"/>
          <w:color w:val="000000" w:themeColor="text1"/>
          <w:vertAlign w:val="superscript"/>
        </w:rPr>
        <w:t>−</w:t>
      </w:r>
      <w:r w:rsidR="00D66917" w:rsidRPr="00921CAD">
        <w:rPr>
          <w:rFonts w:ascii="Palatino Linotype" w:hAnsi="Palatino Linotype"/>
          <w:color w:val="000000" w:themeColor="text1"/>
        </w:rPr>
        <w:t>,</w:t>
      </w:r>
      <w:r w:rsidRPr="00921CAD">
        <w:rPr>
          <w:rFonts w:ascii="Palatino Linotype" w:hAnsi="Palatino Linotype"/>
          <w:color w:val="000000" w:themeColor="text1"/>
        </w:rPr>
        <w:t xml:space="preserve"> </w:t>
      </w:r>
      <w:r w:rsidR="00D66917" w:rsidRPr="00921CAD">
        <w:rPr>
          <w:rFonts w:ascii="Palatino Linotype" w:hAnsi="Palatino Linotype"/>
          <w:color w:val="000000" w:themeColor="text1"/>
        </w:rPr>
        <w:t>and concentration of NO</w:t>
      </w:r>
      <w:r w:rsidR="00D66917" w:rsidRPr="00921CAD">
        <w:rPr>
          <w:rFonts w:ascii="Palatino Linotype" w:hAnsi="Palatino Linotype"/>
          <w:color w:val="000000" w:themeColor="text1"/>
          <w:vertAlign w:val="subscript"/>
        </w:rPr>
        <w:t>3</w:t>
      </w:r>
      <w:r w:rsidR="00D66917" w:rsidRPr="00921CAD">
        <w:rPr>
          <w:rFonts w:ascii="Palatino Linotype" w:hAnsi="Palatino Linotype"/>
          <w:color w:val="000000" w:themeColor="text1"/>
          <w:vertAlign w:val="superscript"/>
        </w:rPr>
        <w:t>−</w:t>
      </w:r>
      <w:r w:rsidR="00D66917" w:rsidRPr="00921CAD">
        <w:rPr>
          <w:rFonts w:ascii="Palatino Linotype" w:hAnsi="Palatino Linotype"/>
          <w:color w:val="000000" w:themeColor="text1"/>
        </w:rPr>
        <w:t xml:space="preserve"> in the extracts</w:t>
      </w:r>
      <w:r w:rsidR="00C81316" w:rsidRPr="00921CAD">
        <w:rPr>
          <w:rFonts w:ascii="Palatino Linotype" w:hAnsi="Palatino Linotype"/>
          <w:color w:val="000000" w:themeColor="text1"/>
        </w:rPr>
        <w:t xml:space="preserve"> was measured</w:t>
      </w:r>
      <w:r w:rsidR="00D66917" w:rsidRPr="00921CAD">
        <w:rPr>
          <w:rFonts w:ascii="Palatino Linotype" w:hAnsi="Palatino Linotype"/>
          <w:color w:val="000000" w:themeColor="text1"/>
        </w:rPr>
        <w:t xml:space="preserve"> </w:t>
      </w:r>
      <w:r w:rsidRPr="00921CAD">
        <w:rPr>
          <w:rFonts w:ascii="Palatino Linotype" w:hAnsi="Palatino Linotype"/>
          <w:color w:val="000000" w:themeColor="text1"/>
        </w:rPr>
        <w:t>using gas chromatography with a mass spectrometer (</w:t>
      </w:r>
      <w:r w:rsidR="00EA687C" w:rsidRPr="00921CAD">
        <w:rPr>
          <w:rFonts w:ascii="Palatino Linotype" w:hAnsi="Palatino Linotype"/>
          <w:color w:val="000000" w:themeColor="text1"/>
        </w:rPr>
        <w:t>GCMS</w:t>
      </w:r>
      <w:r w:rsidR="00C81316" w:rsidRPr="00921CAD">
        <w:rPr>
          <w:rFonts w:ascii="Palatino Linotype" w:hAnsi="Palatino Linotype"/>
          <w:color w:val="000000" w:themeColor="text1"/>
        </w:rPr>
        <w:t>,</w:t>
      </w:r>
      <w:r w:rsidR="00EA687C" w:rsidRPr="00921CAD">
        <w:rPr>
          <w:rFonts w:ascii="Palatino Linotype" w:hAnsi="Palatino Linotype"/>
          <w:color w:val="000000" w:themeColor="text1"/>
        </w:rPr>
        <w:t xml:space="preserve"> </w:t>
      </w:r>
      <w:r w:rsidRPr="00921CAD">
        <w:rPr>
          <w:rFonts w:ascii="Palatino Linotype" w:hAnsi="Palatino Linotype"/>
          <w:color w:val="000000" w:themeColor="text1"/>
        </w:rPr>
        <w:t>GCMS-QP2010 Plus</w:t>
      </w:r>
      <w:r w:rsidR="00FF758A" w:rsidRPr="00921CAD">
        <w:rPr>
          <w:rFonts w:ascii="Palatino Linotype" w:hAnsi="Palatino Linotype"/>
          <w:color w:val="000000" w:themeColor="text1"/>
        </w:rPr>
        <w:t>;</w:t>
      </w:r>
      <w:r w:rsidRPr="00921CAD">
        <w:rPr>
          <w:rFonts w:ascii="Palatino Linotype" w:hAnsi="Palatino Linotype"/>
          <w:color w:val="000000" w:themeColor="text1"/>
        </w:rPr>
        <w:t xml:space="preserve"> Shimadzu Corp., Kyoto, Japan)</w:t>
      </w:r>
      <w:r w:rsidR="00D66917" w:rsidRPr="00921CAD">
        <w:rPr>
          <w:rFonts w:ascii="Palatino Linotype" w:hAnsi="Palatino Linotype"/>
          <w:color w:val="000000" w:themeColor="text1"/>
        </w:rPr>
        <w:t>.</w:t>
      </w:r>
      <w:r w:rsidRPr="00921CAD">
        <w:rPr>
          <w:rFonts w:ascii="Palatino Linotype" w:hAnsi="Palatino Linotype"/>
          <w:color w:val="000000" w:themeColor="text1"/>
        </w:rPr>
        <w:t xml:space="preserve"> </w:t>
      </w:r>
      <w:r w:rsidR="00EA687C" w:rsidRPr="00921CAD">
        <w:rPr>
          <w:rFonts w:ascii="Palatino Linotype" w:hAnsi="Palatino Linotype"/>
          <w:color w:val="000000" w:themeColor="text1"/>
        </w:rPr>
        <w:t xml:space="preserve">The detailed method is described </w:t>
      </w:r>
      <w:r w:rsidR="00B03ED6" w:rsidRPr="00921CAD">
        <w:rPr>
          <w:rFonts w:ascii="Palatino Linotype" w:hAnsi="Palatino Linotype"/>
          <w:color w:val="000000" w:themeColor="text1"/>
        </w:rPr>
        <w:t>elsewhere</w:t>
      </w:r>
      <w:r w:rsidR="00EA687C" w:rsidRPr="00921CAD">
        <w:rPr>
          <w:rFonts w:ascii="Palatino Linotype" w:hAnsi="Palatino Linotype"/>
          <w:color w:val="000000" w:themeColor="text1"/>
        </w:rPr>
        <w:t xml:space="preserve"> </w:t>
      </w:r>
      <w:r w:rsidR="00EA687C" w:rsidRPr="00921CAD">
        <w:rPr>
          <w:rFonts w:ascii="Palatino Linotype" w:hAnsi="Palatino Linotype"/>
          <w:color w:val="000000" w:themeColor="text1"/>
        </w:rPr>
        <w:fldChar w:fldCharType="begin" w:fldLock="1"/>
      </w:r>
      <w:r w:rsidR="00EA687C" w:rsidRPr="00921CAD">
        <w:rPr>
          <w:rFonts w:ascii="Palatino Linotype" w:hAnsi="Palatino Linotype"/>
          <w:color w:val="000000" w:themeColor="text1"/>
        </w:rPr>
        <w:instrText>ADDIN CSL_CITATION {"citationItems":[{"id":"ITEM-1","itemData":{"DOI":"10.1264/jsme2.ME10159","ISSN":"1342-6311","author":[{"dropping-particle":"","family":"Isobe","given":"Kazuo","non-dropping-particle":"","parse-names":false,"suffix":""},{"dropping-particle":"","family":"Suwa","given":"Yuichi","non-dropping-particle":"","parse-names":false,"suffix":""},{"dropping-particle":"","family":"Ikutani","given":"Junko","non-dropping-particle":"","parse-names":false,"suffix":""},{"dropping-particle":"","family":"Kuroiwa","given":"Megumi","non-dropping-particle":"","parse-names":false,"suffix":""},{"dropping-particle":"","family":"Makita","given":"Tomoko","non-dropping-particle":"","parse-names":false,"suffix":""},{"dropping-particle":"","family":"Takebayashi","given":"Yu","non-dropping-particle":"","parse-names":false,"suffix":""},{"dropping-particle":"","family":"Yoh","given":"Muneoki","non-dropping-particle":"","parse-names":false,"suffix":""},{"dropping-particle":"","family":"Otsuka","given":"Shigeto","non-dropping-particle":"","parse-names":false,"suffix":""},{"dropping-particle":"","family":"Senoo","given":"Keishi","non-dropping-particle":"","parse-names":false,"suffix":""},{"dropping-particle":"","family":"Ohmori","given":"Masayuki","non-dropping-particle":"","parse-names":false,"suffix":""},{"dropping-particle":"","family":"Koba","given":"Keisuke","non-dropping-particle":"","parse-names":false,"suffix":""}],"container-title":"Microbes and Environments","id":"ITEM-1","issue":"1","issued":{"date-parts":[["2011"]]},"page":"46-53","title":"Analytical Techniques for Quantifying 15N/14N of Nitrate, Nitrite, Total Dissolved Nitrogen and Ammonium in Environmental Samples Using a Gas Chromatograph Equipped with a Quadrupole Mass Spectrometer","type":"article-journal","volume":"26"},"uris":["http://www.mendeley.com/documents/?uuid=8ff356d0-b07b-4682-934e-edb34aa136ec"]}],"mendeley":{"formattedCitation":"(Isobe &lt;i&gt;et al.&lt;/i&gt; 2011)","manualFormatting":"(Isobe et al., 2011)","plainTextFormattedCitation":"(Isobe et al. 2011)","previouslyFormattedCitation":"(Isobe &lt;i&gt;et al.&lt;/i&gt; 2011)"},"properties":{"noteIndex":0},"schema":"https://github.com/citation-style-language/schema/raw/master/csl-citation.json"}</w:instrText>
      </w:r>
      <w:r w:rsidR="00EA687C" w:rsidRPr="00921CAD">
        <w:rPr>
          <w:rFonts w:ascii="Palatino Linotype" w:hAnsi="Palatino Linotype"/>
          <w:color w:val="000000" w:themeColor="text1"/>
        </w:rPr>
        <w:fldChar w:fldCharType="separate"/>
      </w:r>
      <w:r w:rsidR="00EA687C" w:rsidRPr="00921CAD">
        <w:rPr>
          <w:rFonts w:ascii="Palatino Linotype" w:hAnsi="Palatino Linotype"/>
          <w:noProof/>
          <w:color w:val="000000" w:themeColor="text1"/>
        </w:rPr>
        <w:t>(Isobe et al., 2011)</w:t>
      </w:r>
      <w:r w:rsidR="00EA687C" w:rsidRPr="00921CAD">
        <w:rPr>
          <w:rFonts w:ascii="Palatino Linotype" w:hAnsi="Palatino Linotype"/>
          <w:color w:val="000000" w:themeColor="text1"/>
        </w:rPr>
        <w:fldChar w:fldCharType="end"/>
      </w:r>
      <w:r w:rsidR="00EA687C" w:rsidRPr="00921CAD">
        <w:rPr>
          <w:rFonts w:ascii="Palatino Linotype" w:hAnsi="Palatino Linotype"/>
          <w:color w:val="000000" w:themeColor="text1"/>
        </w:rPr>
        <w:t>. Briefly, we converted NO</w:t>
      </w:r>
      <w:r w:rsidR="00EA687C" w:rsidRPr="00921CAD">
        <w:rPr>
          <w:rFonts w:ascii="Palatino Linotype" w:hAnsi="Palatino Linotype"/>
          <w:color w:val="000000" w:themeColor="text1"/>
          <w:vertAlign w:val="subscript"/>
        </w:rPr>
        <w:t>3</w:t>
      </w:r>
      <w:r w:rsidR="00EA687C" w:rsidRPr="00921CAD">
        <w:rPr>
          <w:rFonts w:ascii="Palatino Linotype" w:hAnsi="Palatino Linotype"/>
          <w:color w:val="000000" w:themeColor="text1"/>
          <w:vertAlign w:val="superscript"/>
        </w:rPr>
        <w:t>−</w:t>
      </w:r>
      <w:r w:rsidR="00EA687C" w:rsidRPr="00921CAD">
        <w:rPr>
          <w:rFonts w:ascii="Palatino Linotype" w:hAnsi="Palatino Linotype"/>
          <w:color w:val="000000" w:themeColor="text1"/>
        </w:rPr>
        <w:t xml:space="preserve"> in the extract to N</w:t>
      </w:r>
      <w:r w:rsidR="00EA687C" w:rsidRPr="00921CAD">
        <w:rPr>
          <w:rFonts w:ascii="Palatino Linotype" w:hAnsi="Palatino Linotype"/>
          <w:color w:val="000000" w:themeColor="text1"/>
          <w:vertAlign w:val="subscript"/>
        </w:rPr>
        <w:t>2</w:t>
      </w:r>
      <w:r w:rsidR="00EA687C" w:rsidRPr="00921CAD">
        <w:rPr>
          <w:rFonts w:ascii="Palatino Linotype" w:hAnsi="Palatino Linotype"/>
          <w:color w:val="000000" w:themeColor="text1"/>
        </w:rPr>
        <w:t>O by using denitrifying bacteri</w:t>
      </w:r>
      <w:r w:rsidR="00C81316" w:rsidRPr="00921CAD">
        <w:rPr>
          <w:rFonts w:ascii="Palatino Linotype" w:hAnsi="Palatino Linotype"/>
          <w:color w:val="000000" w:themeColor="text1"/>
        </w:rPr>
        <w:t>a</w:t>
      </w:r>
      <w:r w:rsidR="00EA687C" w:rsidRPr="00921CAD">
        <w:rPr>
          <w:rFonts w:ascii="Palatino Linotype" w:hAnsi="Palatino Linotype"/>
          <w:color w:val="000000" w:themeColor="text1"/>
        </w:rPr>
        <w:t xml:space="preserve"> lacking N</w:t>
      </w:r>
      <w:r w:rsidR="00EA687C" w:rsidRPr="00921CAD">
        <w:rPr>
          <w:rFonts w:ascii="Palatino Linotype" w:hAnsi="Palatino Linotype"/>
          <w:color w:val="000000" w:themeColor="text1"/>
          <w:vertAlign w:val="subscript"/>
        </w:rPr>
        <w:t>2</w:t>
      </w:r>
      <w:r w:rsidR="00EA687C" w:rsidRPr="00921CAD">
        <w:rPr>
          <w:rFonts w:ascii="Palatino Linotype" w:hAnsi="Palatino Linotype"/>
          <w:color w:val="000000" w:themeColor="text1"/>
        </w:rPr>
        <w:t xml:space="preserve">O reducing ability. We </w:t>
      </w:r>
      <w:r w:rsidR="00EA687C" w:rsidRPr="00921CAD">
        <w:rPr>
          <w:rFonts w:ascii="Palatino Linotype" w:hAnsi="Palatino Linotype"/>
          <w:color w:val="000000" w:themeColor="text1"/>
        </w:rPr>
        <w:lastRenderedPageBreak/>
        <w:t>also capture</w:t>
      </w:r>
      <w:r w:rsidR="00597D51" w:rsidRPr="00921CAD">
        <w:rPr>
          <w:rFonts w:ascii="Palatino Linotype" w:hAnsi="Palatino Linotype"/>
          <w:color w:val="000000" w:themeColor="text1"/>
        </w:rPr>
        <w:t>d</w:t>
      </w:r>
      <w:r w:rsidR="00EA687C" w:rsidRPr="00921CAD">
        <w:rPr>
          <w:rFonts w:ascii="Palatino Linotype" w:hAnsi="Palatino Linotype"/>
          <w:color w:val="000000" w:themeColor="text1"/>
        </w:rPr>
        <w:t xml:space="preserve"> the NH</w:t>
      </w:r>
      <w:r w:rsidR="00EA687C" w:rsidRPr="00921CAD">
        <w:rPr>
          <w:rFonts w:ascii="Palatino Linotype" w:hAnsi="Palatino Linotype"/>
          <w:color w:val="000000" w:themeColor="text1"/>
          <w:vertAlign w:val="subscript"/>
        </w:rPr>
        <w:t>4</w:t>
      </w:r>
      <w:r w:rsidR="00EA687C" w:rsidRPr="00921CAD">
        <w:rPr>
          <w:rFonts w:ascii="Palatino Linotype" w:hAnsi="Palatino Linotype"/>
          <w:color w:val="000000" w:themeColor="text1"/>
          <w:vertAlign w:val="superscript"/>
        </w:rPr>
        <w:t>+</w:t>
      </w:r>
      <w:r w:rsidR="00EA687C" w:rsidRPr="00921CAD">
        <w:rPr>
          <w:rFonts w:ascii="Palatino Linotype" w:hAnsi="Palatino Linotype"/>
          <w:color w:val="000000" w:themeColor="text1"/>
        </w:rPr>
        <w:t xml:space="preserve"> in the extract as NH</w:t>
      </w:r>
      <w:r w:rsidR="00EA687C" w:rsidRPr="00921CAD">
        <w:rPr>
          <w:rFonts w:ascii="Palatino Linotype" w:hAnsi="Palatino Linotype"/>
          <w:color w:val="000000" w:themeColor="text1"/>
          <w:vertAlign w:val="subscript"/>
        </w:rPr>
        <w:t>3</w:t>
      </w:r>
      <w:r w:rsidR="00EA687C" w:rsidRPr="00921CAD">
        <w:rPr>
          <w:rFonts w:ascii="Palatino Linotype" w:hAnsi="Palatino Linotype"/>
          <w:color w:val="000000" w:themeColor="text1"/>
        </w:rPr>
        <w:t xml:space="preserve"> by using the diffusion method, convert</w:t>
      </w:r>
      <w:r w:rsidR="00597D51" w:rsidRPr="00921CAD">
        <w:rPr>
          <w:rFonts w:ascii="Palatino Linotype" w:hAnsi="Palatino Linotype"/>
          <w:color w:val="000000" w:themeColor="text1"/>
        </w:rPr>
        <w:t>ed</w:t>
      </w:r>
      <w:r w:rsidR="00EA687C" w:rsidRPr="00921CAD">
        <w:rPr>
          <w:rFonts w:ascii="Palatino Linotype" w:hAnsi="Palatino Linotype"/>
          <w:color w:val="000000" w:themeColor="text1"/>
        </w:rPr>
        <w:t xml:space="preserve"> NH</w:t>
      </w:r>
      <w:r w:rsidR="00EA687C" w:rsidRPr="00921CAD">
        <w:rPr>
          <w:rFonts w:ascii="Palatino Linotype" w:hAnsi="Palatino Linotype"/>
          <w:color w:val="000000" w:themeColor="text1"/>
          <w:vertAlign w:val="subscript"/>
        </w:rPr>
        <w:t>4</w:t>
      </w:r>
      <w:r w:rsidR="00EA687C" w:rsidRPr="00921CAD">
        <w:rPr>
          <w:rFonts w:ascii="Palatino Linotype" w:hAnsi="Palatino Linotype"/>
          <w:color w:val="000000" w:themeColor="text1"/>
          <w:vertAlign w:val="superscript"/>
        </w:rPr>
        <w:t>+</w:t>
      </w:r>
      <w:r w:rsidR="00EA687C" w:rsidRPr="00921CAD">
        <w:rPr>
          <w:rFonts w:ascii="Palatino Linotype" w:hAnsi="Palatino Linotype"/>
          <w:color w:val="000000" w:themeColor="text1"/>
        </w:rPr>
        <w:t xml:space="preserve"> to NO</w:t>
      </w:r>
      <w:r w:rsidR="00EA687C" w:rsidRPr="00921CAD">
        <w:rPr>
          <w:rFonts w:ascii="Palatino Linotype" w:hAnsi="Palatino Linotype"/>
          <w:color w:val="000000" w:themeColor="text1"/>
          <w:vertAlign w:val="subscript"/>
        </w:rPr>
        <w:t>3</w:t>
      </w:r>
      <w:r w:rsidR="00EA687C" w:rsidRPr="00921CAD">
        <w:rPr>
          <w:rFonts w:ascii="Palatino Linotype" w:hAnsi="Palatino Linotype"/>
          <w:color w:val="000000" w:themeColor="text1"/>
          <w:vertAlign w:val="superscript"/>
        </w:rPr>
        <w:t>−</w:t>
      </w:r>
      <w:r w:rsidR="00EA687C" w:rsidRPr="00921CAD">
        <w:rPr>
          <w:rFonts w:ascii="Palatino Linotype" w:hAnsi="Palatino Linotype"/>
          <w:color w:val="000000" w:themeColor="text1"/>
        </w:rPr>
        <w:t xml:space="preserve"> by persulfate oxidation</w:t>
      </w:r>
      <w:r w:rsidR="00597D51" w:rsidRPr="00921CAD">
        <w:rPr>
          <w:rFonts w:ascii="Palatino Linotype" w:hAnsi="Palatino Linotype"/>
          <w:color w:val="000000" w:themeColor="text1"/>
        </w:rPr>
        <w:t>,</w:t>
      </w:r>
      <w:r w:rsidR="00EA687C" w:rsidRPr="00921CAD">
        <w:rPr>
          <w:rFonts w:ascii="Palatino Linotype" w:hAnsi="Palatino Linotype"/>
          <w:color w:val="000000" w:themeColor="text1"/>
        </w:rPr>
        <w:t xml:space="preserve"> and convert</w:t>
      </w:r>
      <w:r w:rsidR="00597D51" w:rsidRPr="00921CAD">
        <w:rPr>
          <w:rFonts w:ascii="Palatino Linotype" w:hAnsi="Palatino Linotype"/>
          <w:color w:val="000000" w:themeColor="text1"/>
        </w:rPr>
        <w:t>ed</w:t>
      </w:r>
      <w:r w:rsidR="00EA687C" w:rsidRPr="00921CAD">
        <w:rPr>
          <w:rFonts w:ascii="Palatino Linotype" w:hAnsi="Palatino Linotype"/>
          <w:color w:val="000000" w:themeColor="text1"/>
        </w:rPr>
        <w:t xml:space="preserve"> NO</w:t>
      </w:r>
      <w:r w:rsidR="00EA687C" w:rsidRPr="00921CAD">
        <w:rPr>
          <w:rFonts w:ascii="Palatino Linotype" w:hAnsi="Palatino Linotype"/>
          <w:color w:val="000000" w:themeColor="text1"/>
          <w:vertAlign w:val="subscript"/>
        </w:rPr>
        <w:t>3</w:t>
      </w:r>
      <w:r w:rsidR="00EA687C" w:rsidRPr="00921CAD">
        <w:rPr>
          <w:rFonts w:ascii="Palatino Linotype" w:hAnsi="Palatino Linotype"/>
          <w:color w:val="000000" w:themeColor="text1"/>
          <w:vertAlign w:val="superscript"/>
        </w:rPr>
        <w:t>−</w:t>
      </w:r>
      <w:r w:rsidR="00EA687C" w:rsidRPr="00921CAD">
        <w:rPr>
          <w:rFonts w:ascii="Palatino Linotype" w:hAnsi="Palatino Linotype"/>
          <w:color w:val="000000" w:themeColor="text1"/>
        </w:rPr>
        <w:t xml:space="preserve"> to N</w:t>
      </w:r>
      <w:r w:rsidR="00EA687C" w:rsidRPr="00921CAD">
        <w:rPr>
          <w:rFonts w:ascii="Palatino Linotype" w:hAnsi="Palatino Linotype"/>
          <w:color w:val="000000" w:themeColor="text1"/>
          <w:vertAlign w:val="subscript"/>
        </w:rPr>
        <w:t>2</w:t>
      </w:r>
      <w:r w:rsidR="00EA687C" w:rsidRPr="00921CAD">
        <w:rPr>
          <w:rFonts w:ascii="Palatino Linotype" w:hAnsi="Palatino Linotype"/>
          <w:color w:val="000000" w:themeColor="text1"/>
        </w:rPr>
        <w:t>O by using the denitrifier method. Then</w:t>
      </w:r>
      <w:r w:rsidR="00B03ED6" w:rsidRPr="00921CAD">
        <w:rPr>
          <w:rFonts w:ascii="Palatino Linotype" w:hAnsi="Palatino Linotype"/>
          <w:color w:val="000000" w:themeColor="text1"/>
        </w:rPr>
        <w:t>, we measured</w:t>
      </w:r>
      <w:r w:rsidR="00EA687C" w:rsidRPr="00921CAD">
        <w:rPr>
          <w:rFonts w:ascii="Palatino Linotype" w:hAnsi="Palatino Linotype"/>
          <w:color w:val="000000" w:themeColor="text1"/>
        </w:rPr>
        <w:t xml:space="preserve"> </w:t>
      </w:r>
      <w:r w:rsidR="00EA687C" w:rsidRPr="00921CAD">
        <w:rPr>
          <w:rFonts w:ascii="Palatino Linotype" w:hAnsi="Palatino Linotype"/>
          <w:color w:val="000000" w:themeColor="text1"/>
          <w:vertAlign w:val="superscript"/>
        </w:rPr>
        <w:t>15</w:t>
      </w:r>
      <w:r w:rsidR="00EA687C" w:rsidRPr="00921CAD">
        <w:rPr>
          <w:rFonts w:ascii="Palatino Linotype" w:hAnsi="Palatino Linotype"/>
          <w:color w:val="000000" w:themeColor="text1"/>
        </w:rPr>
        <w:t xml:space="preserve">N atom% and </w:t>
      </w:r>
      <w:r w:rsidR="00C81316" w:rsidRPr="00921CAD">
        <w:rPr>
          <w:rFonts w:ascii="Palatino Linotype" w:hAnsi="Palatino Linotype"/>
          <w:color w:val="000000" w:themeColor="text1"/>
        </w:rPr>
        <w:t xml:space="preserve">the </w:t>
      </w:r>
      <w:r w:rsidR="00EA687C" w:rsidRPr="00921CAD">
        <w:rPr>
          <w:rFonts w:ascii="Palatino Linotype" w:hAnsi="Palatino Linotype"/>
          <w:color w:val="000000" w:themeColor="text1"/>
        </w:rPr>
        <w:t>concentration of N</w:t>
      </w:r>
      <w:r w:rsidR="00EA687C" w:rsidRPr="00921CAD">
        <w:rPr>
          <w:rFonts w:ascii="Palatino Linotype" w:hAnsi="Palatino Linotype"/>
          <w:color w:val="000000" w:themeColor="text1"/>
          <w:vertAlign w:val="subscript"/>
        </w:rPr>
        <w:t>2</w:t>
      </w:r>
      <w:r w:rsidR="00EA687C" w:rsidRPr="00921CAD">
        <w:rPr>
          <w:rFonts w:ascii="Palatino Linotype" w:hAnsi="Palatino Linotype"/>
          <w:color w:val="000000" w:themeColor="text1"/>
        </w:rPr>
        <w:t xml:space="preserve">O with GCMS. </w:t>
      </w:r>
      <w:r w:rsidRPr="00921CAD">
        <w:rPr>
          <w:rFonts w:ascii="Palatino Linotype" w:hAnsi="Palatino Linotype"/>
          <w:color w:val="000000" w:themeColor="text1"/>
        </w:rPr>
        <w:t xml:space="preserve">The gross soil ammonification </w:t>
      </w:r>
      <w:r w:rsidR="00EA687C" w:rsidRPr="00921CAD">
        <w:rPr>
          <w:rFonts w:ascii="Palatino Linotype" w:hAnsi="Palatino Linotype"/>
          <w:color w:val="000000" w:themeColor="text1"/>
        </w:rPr>
        <w:t>(NH</w:t>
      </w:r>
      <w:r w:rsidR="00EA687C" w:rsidRPr="00921CAD">
        <w:rPr>
          <w:rFonts w:ascii="Palatino Linotype" w:hAnsi="Palatino Linotype"/>
          <w:color w:val="000000" w:themeColor="text1"/>
          <w:vertAlign w:val="subscript"/>
        </w:rPr>
        <w:t>4</w:t>
      </w:r>
      <w:r w:rsidR="00EA687C" w:rsidRPr="00921CAD">
        <w:rPr>
          <w:rFonts w:ascii="Palatino Linotype" w:hAnsi="Palatino Linotype"/>
          <w:color w:val="000000" w:themeColor="text1"/>
          <w:vertAlign w:val="superscript"/>
        </w:rPr>
        <w:t xml:space="preserve">+ </w:t>
      </w:r>
      <w:r w:rsidR="00EA687C" w:rsidRPr="00921CAD">
        <w:rPr>
          <w:rFonts w:ascii="Palatino Linotype" w:hAnsi="Palatino Linotype"/>
          <w:color w:val="000000" w:themeColor="text1"/>
        </w:rPr>
        <w:t xml:space="preserve">production) </w:t>
      </w:r>
      <w:r w:rsidRPr="00921CAD">
        <w:rPr>
          <w:rFonts w:ascii="Palatino Linotype" w:hAnsi="Palatino Linotype"/>
          <w:color w:val="000000" w:themeColor="text1"/>
        </w:rPr>
        <w:t xml:space="preserve">and nitrification </w:t>
      </w:r>
      <w:r w:rsidR="00EA687C" w:rsidRPr="00921CAD">
        <w:rPr>
          <w:rFonts w:ascii="Palatino Linotype" w:hAnsi="Palatino Linotype"/>
          <w:color w:val="000000" w:themeColor="text1"/>
        </w:rPr>
        <w:t>(</w:t>
      </w:r>
      <w:r w:rsidR="003E704F" w:rsidRPr="00921CAD">
        <w:rPr>
          <w:rFonts w:ascii="Palatino Linotype" w:hAnsi="Palatino Linotype"/>
          <w:color w:val="000000" w:themeColor="text1"/>
        </w:rPr>
        <w:t>NO</w:t>
      </w:r>
      <w:r w:rsidR="003E704F" w:rsidRPr="00921CAD">
        <w:rPr>
          <w:rFonts w:ascii="Palatino Linotype" w:hAnsi="Palatino Linotype"/>
          <w:color w:val="000000" w:themeColor="text1"/>
          <w:vertAlign w:val="subscript"/>
        </w:rPr>
        <w:t>3</w:t>
      </w:r>
      <w:r w:rsidR="003E704F" w:rsidRPr="00921CAD">
        <w:rPr>
          <w:rFonts w:ascii="Palatino Linotype" w:hAnsi="Palatino Linotype"/>
          <w:color w:val="000000" w:themeColor="text1"/>
          <w:vertAlign w:val="superscript"/>
        </w:rPr>
        <w:t>−</w:t>
      </w:r>
      <w:r w:rsidR="003E704F" w:rsidRPr="00921CAD">
        <w:rPr>
          <w:rFonts w:ascii="Palatino Linotype" w:hAnsi="Palatino Linotype"/>
          <w:color w:val="000000" w:themeColor="text1"/>
          <w:vertAlign w:val="superscript"/>
        </w:rPr>
        <w:softHyphen/>
      </w:r>
      <w:r w:rsidR="00EA687C" w:rsidRPr="00921CAD">
        <w:rPr>
          <w:rFonts w:ascii="Palatino Linotype" w:hAnsi="Palatino Linotype"/>
          <w:color w:val="000000" w:themeColor="text1"/>
          <w:vertAlign w:val="superscript"/>
        </w:rPr>
        <w:t xml:space="preserve"> </w:t>
      </w:r>
      <w:r w:rsidR="00EA687C" w:rsidRPr="00921CAD">
        <w:rPr>
          <w:rFonts w:ascii="Palatino Linotype" w:hAnsi="Palatino Linotype"/>
          <w:color w:val="000000" w:themeColor="text1"/>
        </w:rPr>
        <w:t xml:space="preserve">production) </w:t>
      </w:r>
      <w:r w:rsidRPr="00921CAD">
        <w:rPr>
          <w:rFonts w:ascii="Palatino Linotype" w:hAnsi="Palatino Linotype"/>
          <w:color w:val="000000" w:themeColor="text1"/>
        </w:rPr>
        <w:t xml:space="preserve">rates were calculated according to the equations of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{"citationItems":[{"id":"ITEM-1","itemData":{"author":[{"dropping-particle":"","family":"Hart","given":"Stephen C","non-dropping-particle":"","parse-names":false,"suffix":""},{"dropping-particle":"","family":"Stark","given":"John M","non-dropping-particle":"","parse-names":false,"suffix":""},{"dropping-particle":"","family":"Davidson","given":"Eric A","non-dropping-particle":"","parse-names":false,"suffix":""},{"dropping-particle":"","family":"Firestone","given":"Mary K","non-dropping-particle":"","parse-names":false,"suffix":""}],"container-title":"Methods of Soil Analysis: Part 2—Microbiological and Biochemical Properties","id":"ITEM-1","issued":{"date-parts":[["1994"]]},"page":"985-1018","publisher":"Soil Science Society of America","title":"Nitrogen mineralization, immobilization, and nitrification","type":"chapter"},"uris":["http://www.mendeley.com/documents/?uuid=3adfcf0e-1033-416f-b560-a2fac37c7262"]}],"mendeley":{"formattedCitation":"(Hart &lt;i&gt;et al.&lt;/i&gt; 1994)","manualFormatting":"Hart et al. (1994)","plainTextFormattedCitation":"(Hart et al. 1994)","previouslyFormattedCitation":"(Hart &lt;i&gt;et al.&lt;/i&gt; 1994)"},"properties":{"noteIndex":0},"schema":"https://github.com/citation-style-language/schema/raw/master/csl-citation.json"}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Hart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(1994)</w:t>
      </w:r>
      <w:r w:rsidR="001824B8"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t>
      </w:r>
    </w:p>
    <w:p w14:paraId="2F2EBB39" w14:textId="1CBC61CF" w:rsidR="00C2727C" w:rsidRPr="00921CAD" w:rsidRDefault="00123B93" w:rsidP="00D50507">
      <w:pPr>
        <w:ind w:firstLine="720"/>
        <w:rPr>
          <w:rFonts w:ascii="Palatino Linotype" w:hAnsi="Palatino Linotype"/>
          <w:color w:val="000000" w:themeColor="text1"/>
        </w:rPr>
      </w:pPr>
      <w:r w:rsidRPr="00921CAD">
        <w:rPr>
          <w:rFonts w:ascii="Palatino Linotype" w:hAnsi="Palatino Linotype"/>
          <w:color w:val="000000" w:themeColor="text1"/>
        </w:rPr>
        <w:t xml:space="preserve">The net ammonification and nitrification rates in soils were </w:t>
      </w:r>
      <w:r w:rsidR="00CF19ED" w:rsidRPr="00921CAD">
        <w:rPr>
          <w:rFonts w:ascii="Palatino Linotype" w:hAnsi="Palatino Linotype"/>
          <w:color w:val="000000" w:themeColor="text1"/>
        </w:rPr>
        <w:t xml:space="preserve">also </w:t>
      </w:r>
      <w:r w:rsidRPr="00921CAD">
        <w:rPr>
          <w:rFonts w:ascii="Palatino Linotype" w:hAnsi="Palatino Linotype"/>
          <w:color w:val="000000" w:themeColor="text1"/>
        </w:rPr>
        <w:t xml:space="preserve">determined </w:t>
      </w:r>
      <w:r w:rsidR="00CF19ED" w:rsidRPr="00921CAD">
        <w:rPr>
          <w:rFonts w:ascii="Palatino Linotype" w:hAnsi="Palatino Linotype"/>
          <w:color w:val="000000" w:themeColor="text1"/>
        </w:rPr>
        <w:t xml:space="preserve">in the laboratory. Two subsamples (50 g each, equivalent to approximately 25 g of dry soil) from each soil sample were used for the analysis of ammonification or nitrification during </w:t>
      </w:r>
      <w:r w:rsidR="00C2727C" w:rsidRPr="00921CAD">
        <w:rPr>
          <w:rFonts w:ascii="Palatino Linotype" w:hAnsi="Palatino Linotype"/>
          <w:color w:val="000000" w:themeColor="text1"/>
        </w:rPr>
        <w:t>28 days</w:t>
      </w:r>
      <w:r w:rsidR="00CF19ED" w:rsidRPr="00921CAD">
        <w:rPr>
          <w:rFonts w:ascii="Palatino Linotype" w:hAnsi="Palatino Linotype"/>
          <w:color w:val="000000" w:themeColor="text1"/>
        </w:rPr>
        <w:t xml:space="preserve"> of incubation. Briefly, 50 g </w:t>
      </w:r>
      <w:r w:rsidR="00C2727C" w:rsidRPr="00921CAD">
        <w:rPr>
          <w:rFonts w:ascii="Palatino Linotype" w:hAnsi="Palatino Linotype"/>
          <w:color w:val="000000" w:themeColor="text1"/>
        </w:rPr>
        <w:t>of soil was dispensed into glass vessels covered with aluminum foil to minimize water evaporation and incubated for 28 days</w:t>
      </w:r>
      <w:r w:rsidR="00CF19ED" w:rsidRPr="00921CAD">
        <w:rPr>
          <w:rFonts w:ascii="Palatino Linotype" w:hAnsi="Palatino Linotype"/>
          <w:color w:val="000000" w:themeColor="text1"/>
        </w:rPr>
        <w:t xml:space="preserve"> at 20°C. </w:t>
      </w:r>
      <w:r w:rsidRPr="00921CAD">
        <w:rPr>
          <w:rFonts w:ascii="Palatino Linotype" w:hAnsi="Palatino Linotype"/>
          <w:color w:val="000000" w:themeColor="text1"/>
        </w:rPr>
        <w:t xml:space="preserve">No moisture adjustment was </w:t>
      </w:r>
      <w:r w:rsidR="00B03ED6" w:rsidRPr="00921CAD">
        <w:rPr>
          <w:rFonts w:ascii="Palatino Linotype" w:hAnsi="Palatino Linotype"/>
          <w:color w:val="000000" w:themeColor="text1"/>
        </w:rPr>
        <w:t>performed</w:t>
      </w:r>
      <w:r w:rsidRPr="00921CAD">
        <w:rPr>
          <w:rFonts w:ascii="Palatino Linotype" w:hAnsi="Palatino Linotype"/>
          <w:color w:val="000000" w:themeColor="text1"/>
        </w:rPr>
        <w:t xml:space="preserve"> during the incubation; soil was incubated under the initial moisture content at field sampling. The moisture loss during the incubation was lower than 2% in</w:t>
      </w:r>
      <w:r w:rsidR="00B03ED6" w:rsidRPr="00921CAD">
        <w:rPr>
          <w:rFonts w:ascii="Palatino Linotype" w:hAnsi="Palatino Linotype"/>
          <w:color w:val="000000" w:themeColor="text1"/>
        </w:rPr>
        <w:t xml:space="preserve"> terms of</w:t>
      </w:r>
      <w:r w:rsidRPr="00921CAD">
        <w:rPr>
          <w:rFonts w:ascii="Palatino Linotype" w:hAnsi="Palatino Linotype"/>
          <w:color w:val="000000" w:themeColor="text1"/>
        </w:rPr>
        <w:t xml:space="preserve"> the gravimetric water content. </w:t>
      </w:r>
      <w:r w:rsidR="00B03ED6" w:rsidRPr="00921CAD">
        <w:rPr>
          <w:rFonts w:ascii="Palatino Linotype" w:hAnsi="Palatino Linotype"/>
          <w:color w:val="000000" w:themeColor="text1"/>
        </w:rPr>
        <w:t>I</w:t>
      </w:r>
      <w:r w:rsidRPr="00921CAD">
        <w:rPr>
          <w:rFonts w:ascii="Palatino Linotype" w:hAnsi="Palatino Linotype"/>
          <w:color w:val="000000" w:themeColor="text1"/>
        </w:rPr>
        <w:t xml:space="preserve">nitial and incubated soil extraction was conducted. </w:t>
      </w:r>
      <w:r w:rsidR="00B03ED6" w:rsidRPr="00921CAD">
        <w:rPr>
          <w:rFonts w:ascii="Palatino Linotype" w:hAnsi="Palatino Linotype"/>
          <w:color w:val="000000" w:themeColor="text1"/>
        </w:rPr>
        <w:t>The m</w:t>
      </w:r>
      <w:r w:rsidRPr="00921CAD">
        <w:rPr>
          <w:rFonts w:ascii="Palatino Linotype" w:hAnsi="Palatino Linotype"/>
          <w:color w:val="000000" w:themeColor="text1"/>
        </w:rPr>
        <w:t>ethods for extraction, filtration</w:t>
      </w:r>
      <w:r w:rsidR="00B03ED6" w:rsidRPr="00921CAD">
        <w:rPr>
          <w:rFonts w:ascii="Palatino Linotype" w:hAnsi="Palatino Linotype"/>
          <w:color w:val="000000" w:themeColor="text1"/>
        </w:rPr>
        <w:t>,</w:t>
      </w:r>
      <w:r w:rsidRPr="00921CAD">
        <w:rPr>
          <w:rFonts w:ascii="Palatino Linotype" w:hAnsi="Palatino Linotype"/>
          <w:color w:val="000000" w:themeColor="text1"/>
        </w:rPr>
        <w:t xml:space="preserve"> and concentration analysis </w:t>
      </w:r>
      <w:r w:rsidR="00B03ED6" w:rsidRPr="00921CAD">
        <w:rPr>
          <w:rFonts w:ascii="Palatino Linotype" w:hAnsi="Palatino Linotype"/>
          <w:color w:val="000000" w:themeColor="text1"/>
        </w:rPr>
        <w:t>we</w:t>
      </w:r>
      <w:r w:rsidRPr="00921CAD">
        <w:rPr>
          <w:rFonts w:ascii="Palatino Linotype" w:hAnsi="Palatino Linotype"/>
          <w:color w:val="000000" w:themeColor="text1"/>
        </w:rPr>
        <w:t xml:space="preserve">re the same as </w:t>
      </w:r>
      <w:r w:rsidR="00C2727C" w:rsidRPr="00921CAD">
        <w:rPr>
          <w:rFonts w:ascii="Palatino Linotype" w:hAnsi="Palatino Linotype"/>
          <w:color w:val="000000" w:themeColor="text1"/>
        </w:rPr>
        <w:t>described for the gross rate measurement</w:t>
      </w:r>
      <w:r w:rsidRPr="00921CAD">
        <w:rPr>
          <w:rFonts w:ascii="Palatino Linotype" w:hAnsi="Palatino Linotype"/>
          <w:color w:val="000000" w:themeColor="text1"/>
        </w:rPr>
        <w:t>.</w:t>
      </w:r>
      <w:r w:rsidR="00C2727C" w:rsidRPr="00921CAD">
        <w:rPr>
          <w:rFonts w:ascii="Palatino Linotype" w:hAnsi="Palatino Linotype"/>
          <w:color w:val="000000" w:themeColor="text1"/>
        </w:rPr>
        <w:t xml:space="preserve"> The net ammonification and nitrification rates were calculated as the concentration changes in soil NH</w:t>
      </w:r>
      <w:r w:rsidR="00C2727C" w:rsidRPr="00921CAD">
        <w:rPr>
          <w:rFonts w:ascii="Palatino Linotype" w:hAnsi="Palatino Linotype"/>
          <w:color w:val="000000" w:themeColor="text1"/>
          <w:vertAlign w:val="subscript"/>
        </w:rPr>
        <w:t>4</w:t>
      </w:r>
      <w:r w:rsidR="00C2727C" w:rsidRPr="00921CAD">
        <w:rPr>
          <w:rFonts w:ascii="Palatino Linotype" w:hAnsi="Palatino Linotype"/>
          <w:color w:val="000000" w:themeColor="text1"/>
          <w:vertAlign w:val="superscript"/>
        </w:rPr>
        <w:t>+</w:t>
      </w:r>
      <w:r w:rsidR="00C2727C" w:rsidRPr="00921CAD">
        <w:rPr>
          <w:rFonts w:ascii="Palatino Linotype" w:hAnsi="Palatino Linotype"/>
          <w:color w:val="000000" w:themeColor="text1"/>
        </w:rPr>
        <w:t xml:space="preserve"> and NO</w:t>
      </w:r>
      <w:r w:rsidR="00C2727C" w:rsidRPr="00921CAD">
        <w:rPr>
          <w:rFonts w:ascii="Palatino Linotype" w:hAnsi="Palatino Linotype"/>
          <w:color w:val="000000" w:themeColor="text1"/>
          <w:vertAlign w:val="subscript"/>
        </w:rPr>
        <w:t>3</w:t>
      </w:r>
      <w:r w:rsidR="00C2727C" w:rsidRPr="00921CAD">
        <w:rPr>
          <w:rFonts w:ascii="Palatino Linotype" w:hAnsi="Palatino Linotype"/>
          <w:color w:val="000000" w:themeColor="text1"/>
          <w:vertAlign w:val="superscript"/>
        </w:rPr>
        <w:t>−</w:t>
      </w:r>
      <w:r w:rsidR="00C2727C" w:rsidRPr="00921CAD">
        <w:rPr>
          <w:rFonts w:ascii="Palatino Linotype" w:hAnsi="Palatino Linotype"/>
          <w:color w:val="000000" w:themeColor="text1"/>
        </w:rPr>
        <w:t>, respectively</w:t>
      </w:r>
      <w:r w:rsidR="00B03ED6" w:rsidRPr="00921CAD">
        <w:rPr>
          <w:rFonts w:ascii="Palatino Linotype" w:hAnsi="Palatino Linotype"/>
          <w:color w:val="000000" w:themeColor="text1"/>
        </w:rPr>
        <w:t>,</w:t>
      </w:r>
      <w:r w:rsidR="00C2727C" w:rsidRPr="00921CAD">
        <w:rPr>
          <w:rFonts w:ascii="Palatino Linotype" w:hAnsi="Palatino Linotype"/>
          <w:color w:val="000000" w:themeColor="text1"/>
        </w:rPr>
        <w:t xml:space="preserve"> during 28-day incubation.</w:t>
      </w:r>
    </w:p>
    <w:p w14:paraId="2A703F07" w14:textId="77777777" w:rsidR="00C2727C" w:rsidRPr="00921CAD" w:rsidRDefault="00C2727C" w:rsidP="00D50507">
      <w:pPr>
        <w:rPr>
          <w:rFonts w:ascii="Palatino Linotype" w:hAnsi="Palatino Linotype"/>
          <w:color w:val="000000" w:themeColor="text1"/>
        </w:rPr>
      </w:pPr>
    </w:p>
    <w:p w14:paraId="39B47971" w14:textId="058D41E9" w:rsidR="00823156" w:rsidRPr="00921CAD" w:rsidRDefault="00453D33" w:rsidP="00A60591">
      <w:pPr>
        <w:rPr>
          <w:rFonts w:ascii="Palatino Linotype" w:hAnsi="Palatino Linotype"/>
          <w:b/>
          <w:color w:val="000000" w:themeColor="text1"/>
        </w:rPr>
      </w:pPr>
      <w:r w:rsidRPr="00921CAD">
        <w:rPr>
          <w:rFonts w:ascii="Palatino Linotype" w:hAnsi="Palatino Linotype"/>
          <w:b/>
          <w:color w:val="000000" w:themeColor="text1"/>
        </w:rPr>
        <w:t>4</w:t>
      </w:r>
      <w:r w:rsidR="00823156" w:rsidRPr="00921CAD">
        <w:rPr>
          <w:rFonts w:ascii="Palatino Linotype" w:hAnsi="Palatino Linotype"/>
          <w:b/>
          <w:color w:val="000000" w:themeColor="text1"/>
        </w:rPr>
        <w:t>. Quantification of 16S rRNA gene</w:t>
      </w:r>
      <w:r w:rsidR="00C81316" w:rsidRPr="00921CAD">
        <w:rPr>
          <w:rFonts w:ascii="Palatino Linotype" w:hAnsi="Palatino Linotype"/>
          <w:b/>
          <w:color w:val="000000" w:themeColor="text1"/>
        </w:rPr>
        <w:t>s</w:t>
      </w:r>
      <w:r w:rsidR="00823156" w:rsidRPr="00921CAD">
        <w:rPr>
          <w:rFonts w:ascii="Palatino Linotype" w:hAnsi="Palatino Linotype"/>
          <w:b/>
          <w:color w:val="000000" w:themeColor="text1"/>
        </w:rPr>
        <w:t xml:space="preserve">, bacterial and archaeal </w:t>
      </w:r>
      <w:r w:rsidR="009C5E98" w:rsidRPr="00921CAD">
        <w:rPr>
          <w:rFonts w:ascii="Palatino Linotype" w:hAnsi="Palatino Linotype"/>
          <w:b/>
          <w:color w:val="000000" w:themeColor="text1"/>
        </w:rPr>
        <w:t>ammonia monooxygenase gene</w:t>
      </w:r>
      <w:r w:rsidR="00C81316" w:rsidRPr="00921CAD">
        <w:rPr>
          <w:rFonts w:ascii="Palatino Linotype" w:hAnsi="Palatino Linotype"/>
          <w:b/>
          <w:color w:val="000000" w:themeColor="text1"/>
        </w:rPr>
        <w:t>s</w:t>
      </w:r>
      <w:r w:rsidR="009C5E98" w:rsidRPr="00921CAD">
        <w:rPr>
          <w:rFonts w:ascii="Palatino Linotype" w:hAnsi="Palatino Linotype"/>
          <w:b/>
          <w:color w:val="000000" w:themeColor="text1"/>
        </w:rPr>
        <w:t xml:space="preserve"> (</w:t>
      </w:r>
      <w:r w:rsidR="00823156" w:rsidRPr="00921CAD">
        <w:rPr>
          <w:rFonts w:ascii="Palatino Linotype" w:hAnsi="Palatino Linotype"/>
          <w:b/>
          <w:i/>
          <w:color w:val="000000" w:themeColor="text1"/>
        </w:rPr>
        <w:t>amoA</w:t>
      </w:r>
      <w:r w:rsidR="009C5E98" w:rsidRPr="00921CAD">
        <w:rPr>
          <w:rFonts w:ascii="Palatino Linotype" w:hAnsi="Palatino Linotype"/>
          <w:b/>
          <w:color w:val="000000" w:themeColor="text1"/>
        </w:rPr>
        <w:t>)</w:t>
      </w:r>
      <w:r w:rsidR="00823156" w:rsidRPr="00921CAD">
        <w:rPr>
          <w:rFonts w:ascii="Palatino Linotype" w:hAnsi="Palatino Linotype"/>
          <w:b/>
          <w:color w:val="000000" w:themeColor="text1"/>
        </w:rPr>
        <w:t xml:space="preserve">, and bacterial </w:t>
      </w:r>
      <w:r w:rsidR="0090716A" w:rsidRPr="00921CAD">
        <w:rPr>
          <w:rFonts w:ascii="Palatino Linotype" w:hAnsi="Palatino Linotype"/>
          <w:b/>
          <w:color w:val="000000" w:themeColor="text1"/>
        </w:rPr>
        <w:t>copper-containing reductase gene</w:t>
      </w:r>
      <w:r w:rsidR="00C81316" w:rsidRPr="00921CAD">
        <w:rPr>
          <w:rFonts w:ascii="Palatino Linotype" w:hAnsi="Palatino Linotype"/>
          <w:b/>
          <w:color w:val="000000" w:themeColor="text1"/>
        </w:rPr>
        <w:t>s</w:t>
      </w:r>
      <w:r w:rsidR="0090716A" w:rsidRPr="00921CAD">
        <w:rPr>
          <w:rFonts w:ascii="Palatino Linotype" w:hAnsi="Palatino Linotype"/>
          <w:b/>
          <w:color w:val="000000" w:themeColor="text1"/>
        </w:rPr>
        <w:t xml:space="preserve"> (</w:t>
      </w:r>
      <w:r w:rsidR="00823156" w:rsidRPr="00921CAD">
        <w:rPr>
          <w:rFonts w:ascii="Palatino Linotype" w:hAnsi="Palatino Linotype"/>
          <w:b/>
          <w:i/>
          <w:color w:val="000000" w:themeColor="text1"/>
        </w:rPr>
        <w:t>nirK</w:t>
      </w:r>
      <w:r w:rsidR="009C5E98" w:rsidRPr="00921CAD">
        <w:rPr>
          <w:rFonts w:ascii="Palatino Linotype" w:hAnsi="Palatino Linotype"/>
          <w:b/>
          <w:color w:val="000000" w:themeColor="text1"/>
        </w:rPr>
        <w:t>)</w:t>
      </w:r>
      <w:r w:rsidR="00D96992" w:rsidRPr="00921CAD">
        <w:rPr>
          <w:rFonts w:ascii="Palatino Linotype" w:hAnsi="Palatino Linotype"/>
          <w:b/>
          <w:color w:val="000000" w:themeColor="text1"/>
        </w:rPr>
        <w:t xml:space="preserve"> </w:t>
      </w:r>
    </w:p>
    <w:p w14:paraId="710DB985" w14:textId="172643D1" w:rsidR="000936B5" w:rsidRPr="00921CAD" w:rsidRDefault="00D96992" w:rsidP="00D50507">
      <w:pPr>
        <w:rPr>
          <w:rFonts w:ascii="Palatino Linotype" w:hAnsi="Palatino Linotype"/>
          <w:color w:val="000000" w:themeColor="text1"/>
        </w:rPr>
      </w:pPr>
      <w:r w:rsidRPr="00921CAD">
        <w:rPr>
          <w:rFonts w:ascii="Palatino Linotype" w:hAnsi="Palatino Linotype"/>
          <w:color w:val="000000" w:themeColor="text1"/>
        </w:rPr>
        <w:t xml:space="preserve">Microbial </w:t>
      </w:r>
      <w:r w:rsidR="00823156" w:rsidRPr="00921CAD">
        <w:rPr>
          <w:rFonts w:ascii="Palatino Linotype" w:hAnsi="Palatino Linotype"/>
          <w:color w:val="000000" w:themeColor="text1"/>
        </w:rPr>
        <w:t>DNA was extracted from the soils and purified using an ISOIL kit for bead beating (Nippon Gene, Tokyo, Japan)</w:t>
      </w:r>
      <w:r w:rsidR="00EE2B0B" w:rsidRPr="00921CAD">
        <w:rPr>
          <w:rFonts w:ascii="Palatino Linotype" w:hAnsi="Palatino Linotype"/>
          <w:color w:val="000000" w:themeColor="text1"/>
        </w:rPr>
        <w:t>,</w:t>
      </w:r>
      <w:r w:rsidR="00823156" w:rsidRPr="00921CAD">
        <w:rPr>
          <w:rFonts w:ascii="Palatino Linotype" w:hAnsi="Palatino Linotype"/>
          <w:color w:val="000000" w:themeColor="text1"/>
        </w:rPr>
        <w:t xml:space="preserve"> as described previously </w:t>
      </w:r>
      <w:r w:rsidR="009359B2" w:rsidRPr="00921CAD">
        <w:rPr>
          <w:rFonts w:ascii="Palatino Linotype" w:hAnsi="Palatino Linotype"/>
          <w:color w:val="000000" w:themeColor="text1"/>
        </w:rPr>
        <w:fldChar w:fldCharType="begin" w:fldLock="1"/>
      </w:r>
      <w:r w:rsidR="009359B2" w:rsidRPr="00921CAD">
        <w:rPr>
          <w:rFonts w:ascii="Palatino Linotype" w:hAnsi="Palatino Linotype"/>
          <w:color w:val="000000" w:themeColor="text1"/>
        </w:rPr>
        <w:instrText>ADDIN CSL_CITATION {"citationItems":[{"id":"ITEM-1","itemData":{"DOI":"10.1111/j.1574-6941.2011.01294.x","ISBN":"1574-6941","ISSN":"01686496","PMID":"22224831","abstract":"Nitrification has been believed to be performed only by autotrophic ammonia-oxidizing bacteria (AOB) and nitrite-oxidizing bacteria (NOB) until the recent discovery of ammonia-oxidizing archaea (AOA). Meanwhile, it has been questioned whether AOB are significantly responsible for NH(3) oxidation in acidic forest soils. Here, we investigated nitrifying communities and their activity in highly acidified soils of three subtropical forests in southern China that had received chronic high atmospheric N deposition. Nitrifying communities were analyzed using PCR- and culture (most probable number)-based approaches. Nitrification activity was analyzed by measuring gross soil nitrification rates using a (15) N isotope dilution technique. AOB were not detected in the three forest soils: neither via PCR of 16S rRNA and ammonia monooxygenase (amoA) genes nor via culture-based approaches. In contrast, an extraordinary abundance of the putative archaeal amoA was detected (3.2 × 10(8) -1.2 × 10(9) g soil(-1) ). Moreover, this abundance was correlated with gross soil nitrification rates. This indicates that amoA-possessing archaea rather than bacteria were predominantly responsible for nitrification of the soils. Furthermore, sequences of the genus Nitrospira, a dominant group of soil NOB, were detected. Thus, nitrification of acidified subtropical forest soils in southern China could be performed by a combination of AOA and NOB.","author":[{"dropping-particle":"","family":"Isobe","given":"Kazuo","non-dropping-particle":"","parse-names":false,"suffix":""},{"dropping-particle":"","family":"Koba","given":"Keisuke","non-dropping-particle":"","parse-names":false,"suffix":""},{"dropping-particle":"","family":"Suwa","given":"Yuichi","non-dropping-particle":"","parse-names":false,"suffix":""},{"dropping-particle":"","family":"Ikutani","given":"Junko","non-dropping-particle":"","parse-names":false,"suffix":""},{"dropping-particle":"","family":"Fang","given":"Yunting","non-dropping-particle":"","parse-names":false,"suffix":""},{"dropping-particle":"","family":"Yoh","given":"Muneoki","non-dropping-particle":"","parse-names":false,"suffix":""},{"dropping-particle":"","family":"Mo","given":"Jiangming","non-dropping-particle":"","parse-names":false,"suffix":""},{"dropping-particle":"","family":"Otsuka","given":"Shigeto","non-dropping-particle":"","parse-names":false,"suffix":""},{"dropping-particle":"","family":"Senoo","given":"Keishi","non-dropping-particle":"","parse-names":false,"suffix":""}],"container-title":"FEMS Microbiology Ecology","id":"ITEM-1","issue":"1","issued":{"date-parts":[["2012","4"]]},"page":"193-203","title":"High abundance of ammonia-oxidizing archaea in acidified subtropical forest soils in southern China after long-term N deposition","type":"article-journal","volume":"80"},"uris":["http://www.mendeley.com/documents/?uuid=40ef4b40-155a-4ddb-ad2d-15c5722cce85"]}],"mendeley":{"formattedCitation":"(Isobe &lt;i&gt;et al.&lt;/i&gt; 2012)","plainTextFormattedCitation":"(Isobe et al. 2012)","previouslyFormattedCitation":"(Isobe &lt;i&gt;et al.&lt;/i&gt; 2012)"},"properties":{"noteIndex":0},"schema":"https://github.com/citation-style-language/schema/raw/master/csl-citation.json"}</w:instrText>
      </w:r>
      <w:r w:rsidR="009359B2" w:rsidRPr="00921CAD">
        <w:rPr>
          <w:rFonts w:ascii="Palatino Linotype" w:hAnsi="Palatino Linotype"/>
          <w:color w:val="000000" w:themeColor="text1"/>
        </w:rPr>
        <w:fldChar w:fldCharType="separate"/>
      </w:r>
      <w:r w:rsidR="009359B2" w:rsidRPr="00921CAD">
        <w:rPr>
          <w:rFonts w:ascii="Palatino Linotype" w:hAnsi="Palatino Linotype"/>
          <w:noProof/>
          <w:color w:val="000000" w:themeColor="text1"/>
        </w:rPr>
        <w:t xml:space="preserve">(Isobe </w:t>
      </w:r>
      <w:r w:rsidR="009359B2" w:rsidRPr="00921CAD">
        <w:rPr>
          <w:rFonts w:ascii="Palatino Linotype" w:hAnsi="Palatino Linotype"/>
          <w:i/>
          <w:noProof/>
          <w:color w:val="000000" w:themeColor="text1"/>
        </w:rPr>
        <w:t>et al.</w:t>
      </w:r>
      <w:r w:rsidR="009359B2" w:rsidRPr="00921CAD">
        <w:rPr>
          <w:rFonts w:ascii="Palatino Linotype" w:hAnsi="Palatino Linotype"/>
          <w:noProof/>
          <w:color w:val="000000" w:themeColor="text1"/>
        </w:rPr>
        <w:t xml:space="preserve"> 2012)</w:t>
      </w:r>
      <w:r w:rsidR="009359B2"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w:t>
      </w:r>
    </w:p>
    <w:p w14:paraId="25780C14" w14:textId="6B87D687" w:rsidR="00484916" w:rsidRPr="00921CAD" w:rsidRDefault="009C5E98" w:rsidP="00D50507">
      <w:pPr>
        <w:ind w:firstLine="720"/>
        <w:rPr>
          <w:rFonts w:ascii="Palatino Linotype" w:hAnsi="Palatino Linotype"/>
          <w:color w:val="000000" w:themeColor="text1"/>
        </w:rPr>
      </w:pPr>
      <w:r w:rsidRPr="00921CAD">
        <w:rPr>
          <w:rFonts w:ascii="Palatino Linotype" w:hAnsi="Palatino Linotype"/>
          <w:color w:val="000000" w:themeColor="text1"/>
        </w:rPr>
        <w:t xml:space="preserve">Bacterial </w:t>
      </w:r>
      <w:r w:rsidR="00823156" w:rsidRPr="00921CAD">
        <w:rPr>
          <w:rFonts w:ascii="Palatino Linotype" w:hAnsi="Palatino Linotype"/>
          <w:color w:val="000000" w:themeColor="text1"/>
        </w:rPr>
        <w:t xml:space="preserve">16S rRNA gene, bacterial and archaeal </w:t>
      </w:r>
      <w:r w:rsidR="00823156" w:rsidRPr="00921CAD">
        <w:rPr>
          <w:rFonts w:ascii="Palatino Linotype" w:hAnsi="Palatino Linotype"/>
          <w:i/>
          <w:iCs/>
          <w:color w:val="000000" w:themeColor="text1"/>
        </w:rPr>
        <w:t>amoA</w:t>
      </w:r>
      <w:r w:rsidR="00823156" w:rsidRPr="00921CAD">
        <w:rPr>
          <w:rFonts w:ascii="Palatino Linotype" w:hAnsi="Palatino Linotype"/>
          <w:color w:val="000000" w:themeColor="text1"/>
        </w:rPr>
        <w:t xml:space="preserve">, and bacterial </w:t>
      </w:r>
      <w:r w:rsidR="00823156" w:rsidRPr="00921CAD">
        <w:rPr>
          <w:rFonts w:ascii="Palatino Linotype" w:hAnsi="Palatino Linotype"/>
          <w:i/>
          <w:color w:val="000000" w:themeColor="text1"/>
        </w:rPr>
        <w:t>nirK</w:t>
      </w:r>
      <w:r w:rsidR="00823156" w:rsidRPr="00921CAD">
        <w:rPr>
          <w:rFonts w:ascii="Palatino Linotype" w:hAnsi="Palatino Linotype"/>
          <w:color w:val="000000" w:themeColor="text1"/>
        </w:rPr>
        <w:t xml:space="preserve"> </w:t>
      </w:r>
      <w:r w:rsidR="004521EA" w:rsidRPr="00921CAD">
        <w:rPr>
          <w:rFonts w:ascii="Palatino Linotype" w:hAnsi="Palatino Linotype"/>
          <w:color w:val="000000" w:themeColor="text1"/>
        </w:rPr>
        <w:t>abundance</w:t>
      </w:r>
      <w:r w:rsidRPr="00921CAD">
        <w:rPr>
          <w:rFonts w:ascii="Palatino Linotype" w:hAnsi="Palatino Linotype"/>
          <w:color w:val="000000" w:themeColor="text1"/>
        </w:rPr>
        <w:t xml:space="preserve">s </w:t>
      </w:r>
      <w:r w:rsidR="00823156" w:rsidRPr="00921CAD">
        <w:rPr>
          <w:rFonts w:ascii="Palatino Linotype" w:hAnsi="Palatino Linotype"/>
          <w:color w:val="000000" w:themeColor="text1"/>
        </w:rPr>
        <w:t>were quantified by q</w:t>
      </w:r>
      <w:r w:rsidR="000936B5" w:rsidRPr="00921CAD">
        <w:rPr>
          <w:rFonts w:ascii="Palatino Linotype" w:hAnsi="Palatino Linotype"/>
          <w:color w:val="000000" w:themeColor="text1"/>
        </w:rPr>
        <w:t xml:space="preserve">uantitative </w:t>
      </w:r>
      <w:r w:rsidR="00823156" w:rsidRPr="00921CAD">
        <w:rPr>
          <w:rFonts w:ascii="Palatino Linotype" w:hAnsi="Palatino Linotype"/>
          <w:color w:val="000000" w:themeColor="text1"/>
        </w:rPr>
        <w:t xml:space="preserve">PCR </w:t>
      </w:r>
      <w:r w:rsidR="000936B5" w:rsidRPr="00921CAD">
        <w:rPr>
          <w:rFonts w:ascii="Palatino Linotype" w:hAnsi="Palatino Linotype"/>
          <w:color w:val="000000" w:themeColor="text1"/>
        </w:rPr>
        <w:t xml:space="preserve">(qPCR) </w:t>
      </w:r>
      <w:r w:rsidR="00823156" w:rsidRPr="00921CAD">
        <w:rPr>
          <w:rFonts w:ascii="Palatino Linotype" w:hAnsi="Palatino Linotype"/>
          <w:color w:val="000000" w:themeColor="text1"/>
        </w:rPr>
        <w:t xml:space="preserve">to estimate the </w:t>
      </w:r>
      <w:r w:rsidR="004521EA" w:rsidRPr="00921CAD">
        <w:rPr>
          <w:rFonts w:ascii="Palatino Linotype" w:hAnsi="Palatino Linotype"/>
          <w:color w:val="000000" w:themeColor="text1"/>
        </w:rPr>
        <w:t>abundances</w:t>
      </w:r>
      <w:r w:rsidR="00823156" w:rsidRPr="00921CAD">
        <w:rPr>
          <w:rFonts w:ascii="Palatino Linotype" w:hAnsi="Palatino Linotype"/>
          <w:color w:val="000000" w:themeColor="text1"/>
        </w:rPr>
        <w:t xml:space="preserve"> of total bacteria, bacterial and archaeal nitrifiers, and bacterial </w:t>
      </w:r>
      <w:r w:rsidR="00CA376C" w:rsidRPr="00921CAD">
        <w:rPr>
          <w:rFonts w:ascii="Palatino Linotype" w:hAnsi="Palatino Linotype"/>
          <w:color w:val="000000" w:themeColor="text1"/>
        </w:rPr>
        <w:t>denitrifiers, respectively</w:t>
      </w:r>
      <w:r w:rsidR="00823156" w:rsidRPr="00921CAD">
        <w:rPr>
          <w:rFonts w:ascii="Palatino Linotype" w:hAnsi="Palatino Linotype"/>
          <w:color w:val="000000" w:themeColor="text1"/>
        </w:rPr>
        <w:t xml:space="preserve">. </w:t>
      </w:r>
      <w:r w:rsidR="000936B5" w:rsidRPr="00921CAD">
        <w:rPr>
          <w:rFonts w:ascii="Palatino Linotype" w:hAnsi="Palatino Linotype"/>
          <w:color w:val="000000" w:themeColor="text1"/>
        </w:rPr>
        <w:t>B</w:t>
      </w:r>
      <w:r w:rsidR="00823156" w:rsidRPr="00921CAD">
        <w:rPr>
          <w:rFonts w:ascii="Palatino Linotype" w:hAnsi="Palatino Linotype"/>
          <w:color w:val="000000" w:themeColor="text1"/>
        </w:rPr>
        <w:t xml:space="preserve">acterial 16S rRNA gene was determined using the primers 515f-806r </w:t>
      </w:r>
      <w:r w:rsidR="009359B2" w:rsidRPr="00921CAD">
        <w:rPr>
          <w:rFonts w:ascii="Palatino Linotype" w:hAnsi="Palatino Linotype"/>
          <w:color w:val="000000" w:themeColor="text1"/>
        </w:rPr>
        <w:fldChar w:fldCharType="begin" w:fldLock="1"/>
      </w:r>
      <w:r w:rsidR="009359B2" w:rsidRPr="00921CAD">
        <w:rPr>
          <w:rFonts w:ascii="Palatino Linotype" w:hAnsi="Palatino Linotype"/>
          <w:color w:val="000000" w:themeColor="text1"/>
        </w:rPr>
        <w:instrText>ADDIN CSL_CITATION {"citationItems":[{"id":"ITEM-1","itemData":{"DOI":"10.1073/pnas.1000080107","ISBN":"0027-8424","ISSN":"0027-8424","PMID":"20534432","abstract":"The ongoing revolution in high-throughput sequencing continues to democratize the ability of small groups of investigators to map the microbial component of the biosphere. In particular, the coevolution of new sequencing platforms and new software tools allows data acquisition and analysis on an unprecedented scale. Here we report the next stage in this coevolutionary arms race, using the Illumina GAIIx platform to sequence a diverse array of 25 environmental samples and three known \"mock communities\" at a depth averaging 3.1 million reads per sample. We demonstrate excellent consistency in taxonomic recovery and recapture diversity patterns that were previously reported on the basis of metaanalysis of many studies from the literature (notably, the saline/nonsaline split in environmental samples and the split between host-associated and free-living communities). We also demonstrate that 2,000 Illumina single-end reads are sufficient to recapture the same relationships among samples that we observe with the full dataset. The results thus open up the possibility of conducting large-scale studies analyzing thousands of samples simultaneously to survey microbial communities at an unprecedented spatial and temporal resolution.","author":[{"dropping-particle":"","family":"Caporaso","given":"J. G.","non-dropping-particle":"","parse-names":false,"suffix":""},{"dropping-particle":"","family":"Lauber","given":"C. L.","non-dropping-particle":"","parse-names":false,"suffix":""},{"dropping-particle":"","family":"Walters","given":"W. A.","non-dropping-particle":"","parse-names":false,"suffix":""},{"dropping-particle":"","family":"Berg-Lyons","given":"D.","non-dropping-particle":"","parse-names":false,"suffix":""},{"dropping-particle":"","family":"Lozupone","given":"C. A.","non-dropping-particle":"","parse-names":false,"suffix":""},{"dropping-particle":"","family":"Turnbaugh","given":"P. J.","non-dropping-particle":"","parse-names":false,"suffix":""},{"dropping-particle":"","family":"Fierer","given":"N.","non-dropping-particle":"","parse-names":false,"suffix":""},{"dropping-particle":"","family":"Knight","given":"R.","non-dropping-particle":"","parse-names":false,"suffix":""}],"container-title":"Proceedings of the National Academy of Sciences","id":"ITEM-1","issue":"Supplement_1","issued":{"date-parts":[["2011"]]},"page":"4516-4522","title":"Global patterns of 16S rRNA diversity at a depth of millions of sequences per sample","type":"article-journal","volume":"108"},"uris":["http://www.mendeley.com/documents/?uuid=c594c29d-3bc2-40c3-b320-5f2878efff91"]}],"mendeley":{"formattedCitation":"(Caporaso &lt;i&gt;et al.&lt;/i&gt; 2011)","plainTextFormattedCitation":"(Caporaso et al. 2011)","previouslyFormattedCitation":"(Caporaso &lt;i&gt;et al.&lt;/i&gt; 2011)"},"properties":{"noteIndex":0},"schema":"https://github.com/citation-style-language/schema/raw/master/csl-citation.json"}</w:instrText>
      </w:r>
      <w:r w:rsidR="009359B2" w:rsidRPr="00921CAD">
        <w:rPr>
          <w:rFonts w:ascii="Palatino Linotype" w:hAnsi="Palatino Linotype"/>
          <w:color w:val="000000" w:themeColor="text1"/>
        </w:rPr>
        <w:fldChar w:fldCharType="separate"/>
      </w:r>
      <w:r w:rsidR="009359B2" w:rsidRPr="00921CAD">
        <w:rPr>
          <w:rFonts w:ascii="Palatino Linotype" w:hAnsi="Palatino Linotype"/>
          <w:noProof/>
          <w:color w:val="000000" w:themeColor="text1"/>
        </w:rPr>
        <w:t xml:space="preserve">(Caporaso </w:t>
      </w:r>
      <w:r w:rsidR="009359B2" w:rsidRPr="00921CAD">
        <w:rPr>
          <w:rFonts w:ascii="Palatino Linotype" w:hAnsi="Palatino Linotype"/>
          <w:i/>
          <w:noProof/>
          <w:color w:val="000000" w:themeColor="text1"/>
        </w:rPr>
        <w:t>et al.</w:t>
      </w:r>
      <w:r w:rsidR="009359B2" w:rsidRPr="00921CAD">
        <w:rPr>
          <w:rFonts w:ascii="Palatino Linotype" w:hAnsi="Palatino Linotype"/>
          <w:noProof/>
          <w:color w:val="000000" w:themeColor="text1"/>
        </w:rPr>
        <w:t xml:space="preserve"> 2011)</w:t>
      </w:r>
      <w:r w:rsidR="009359B2"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The bacterial and archaeal </w:t>
      </w:r>
      <w:r w:rsidR="00823156" w:rsidRPr="00921CAD">
        <w:rPr>
          <w:rFonts w:ascii="Palatino Linotype" w:hAnsi="Palatino Linotype"/>
          <w:i/>
          <w:color w:val="000000" w:themeColor="text1"/>
        </w:rPr>
        <w:t>amoA</w:t>
      </w:r>
      <w:r w:rsidR="00823156" w:rsidRPr="00921CAD">
        <w:rPr>
          <w:rFonts w:ascii="Palatino Linotype" w:hAnsi="Palatino Linotype"/>
          <w:color w:val="000000" w:themeColor="text1"/>
        </w:rPr>
        <w:t xml:space="preserve"> were determined using the primers amoA1f-amoA2r </w:t>
      </w:r>
      <w:r w:rsidR="008473AA" w:rsidRPr="00921CAD">
        <w:rPr>
          <w:rFonts w:ascii="Palatino Linotype" w:hAnsi="Palatino Linotype"/>
          <w:color w:val="000000" w:themeColor="text1"/>
        </w:rPr>
        <w:fldChar w:fldCharType="begin" w:fldLock="1"/>
      </w:r>
      <w:r w:rsidR="008473AA" w:rsidRPr="00921CAD">
        <w:rPr>
          <w:rFonts w:ascii="Palatino Linotype" w:hAnsi="Palatino Linotype"/>
          <w:color w:val="000000" w:themeColor="text1"/>
        </w:rPr>
        <w:instrText>ADDIN CSL_CITATION {"citationItems":[{"id":"ITEM-1","itemData":{"author":[{"dropping-particle":"","family":"Rotthauwe","given":"Jan-henrich","non-dropping-particle":"","parse-names":false,"suffix":""},{"dropping-particle":"","family":"Witzel","given":"Karl-paul","non-dropping-particle":"","parse-names":false,"suffix":""},{"dropping-particle":"","family":"Liesack","given":"Werner","non-dropping-particle":"","parse-names":false,"suffix":""}],"id":"ITEM-1","issue":"12","issued":{"date-parts":[["1997"]]},"page":"4704-4712","title":"The Ammonia Monooxygenase Structural Gene amoA as a Functional Marker : Molecular Fine-Scale Analysis of Natural Ammonia-Oxidizing Populations","type":"article-journal","volume":"63"},"uris":["http://www.mendeley.com/documents/?uuid=dc54b5a7-5bee-451a-b1ed-8274c117ee5a"]}],"mendeley":{"formattedCitation":"(Rotthauwe &lt;i&gt;et al.&lt;/i&gt; 1997)","plainTextFormattedCitation":"(Rotthauwe et al. 1997)","previouslyFormattedCitation":"(Rotthauwe &lt;i&gt;et al.&lt;/i&gt; 1997)"},"properties":{"noteIndex":0},"schema":"https://github.com/citation-style-language/schema/raw/master/csl-citation.json"}</w:instrText>
      </w:r>
      <w:r w:rsidR="008473AA" w:rsidRPr="00921CAD">
        <w:rPr>
          <w:rFonts w:ascii="Palatino Linotype" w:hAnsi="Palatino Linotype"/>
          <w:color w:val="000000" w:themeColor="text1"/>
        </w:rPr>
        <w:fldChar w:fldCharType="separate"/>
      </w:r>
      <w:r w:rsidR="008473AA" w:rsidRPr="00921CAD">
        <w:rPr>
          <w:rFonts w:ascii="Palatino Linotype" w:hAnsi="Palatino Linotype"/>
          <w:noProof/>
          <w:color w:val="000000" w:themeColor="text1"/>
        </w:rPr>
        <w:t xml:space="preserve">(Rotthauwe </w:t>
      </w:r>
      <w:r w:rsidR="008473AA" w:rsidRPr="00921CAD">
        <w:rPr>
          <w:rFonts w:ascii="Palatino Linotype" w:hAnsi="Palatino Linotype"/>
          <w:i/>
          <w:noProof/>
          <w:color w:val="000000" w:themeColor="text1"/>
        </w:rPr>
        <w:t>et al.</w:t>
      </w:r>
      <w:r w:rsidR="008473AA" w:rsidRPr="00921CAD">
        <w:rPr>
          <w:rFonts w:ascii="Palatino Linotype" w:hAnsi="Palatino Linotype"/>
          <w:noProof/>
          <w:color w:val="000000" w:themeColor="text1"/>
        </w:rPr>
        <w:t xml:space="preserve"> 1997)</w:t>
      </w:r>
      <w:r w:rsidR="008473AA"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and CrenamoA23f-CrenamoA616r </w:t>
      </w:r>
      <w:r w:rsidR="008473AA" w:rsidRPr="00921CAD">
        <w:rPr>
          <w:rFonts w:ascii="Palatino Linotype" w:hAnsi="Palatino Linotype"/>
          <w:color w:val="000000" w:themeColor="text1"/>
        </w:rPr>
        <w:fldChar w:fldCharType="begin" w:fldLock="1"/>
      </w:r>
      <w:r w:rsidR="008473AA" w:rsidRPr="00921CAD">
        <w:rPr>
          <w:rFonts w:ascii="Palatino Linotype" w:hAnsi="Palatino Linotype"/>
          <w:color w:val="000000" w:themeColor="text1"/>
        </w:rPr>
        <w:instrText>ADDIN CSL_CITATION {"citationItems":[{"id":"ITEM-1","itemData":{"DOI":"10.1111/j.1462-2920.2008.01701.x","ISBN":"1462-2920","ISSN":"14622912","PMID":"18707610","abstract":"Autotrophic ammonia oxidation occurs in acid soils, even though laboratory cultures of isolated ammonia oxidizing bacteria fail to grow below neutral pH. To investigate whether archaea possessing ammonia monooxygenase genes were responsible for autotrophic nitrification in acid soils, the community structure and phylogeny of ammonia oxidizing bacteria and archaea were determined across a soil pH gradient (4.9-7.5) by amplifying 16S rRNA and amoA genes followed by denaturing gradient gel electrophoresis (DGGE) and sequence analysis. The structure of both communities changed with soil pH, with distinct populations in acid and neutral soils. Phylogenetic reconstructions of crenarchaeal 16S rRNA and amoA genes confirmed selection of distinct lineages within the pH gradient and high similarity in phylogenies indicated a high level of congruence between 16S rRNA and amoA genes. The abundance of archaeal and bacterial amoA gene copies and mRNA transcripts contrasted across the pH gradient. Archaeal amoA gene and transcript abundance decreased with increasing soil pH, while bacterial amoA gene abundance was generally lower and transcripts increased with increasing pH. Short-term activity was investigated by DGGE analysis of gene transcripts in microcosms containing acidic or neutral soil or mixed soil with pH readjusted to that of native soils. Although mixed soil microcosms contained identical archaeal ammonia oxidizer communities, those adapted to acidic or neutral pH ranges showed greater relative activity at their native soil pH. Findings indicate that different bacterial and archaeal ammonia oxidizer phylotypes are selected in soils of different pH and that these differences in community structure and abundances are reflected in different contributions to ammonia oxidizer activity. They also suggest that both groups of ammonia oxidizers have distinct physiological characteristics and ecological niches, with consequences for nitrification in acid soils.","author":[{"dropping-particle":"","family":"Nicol","given":"Graeme W.","non-dropping-particle":"","parse-names":false,"suffix":""},{"dropping-particle":"","family":"Leininger","given":"Sven","non-dropping-particle":"","parse-names":false,"suffix":""},{"dropping-particle":"","family":"Schleper","given":"Christa","non-dropping-particle":"","parse-names":false,"suffix":""},{"dropping-particle":"","family":"Prosser","given":"James I.","non-dropping-particle":"","parse-names":false,"suffix":""}],"container-title":"Environmental Microbiology","id":"ITEM-1","issue":"11","issued":{"date-parts":[["2008"]]},"page":"2966-2978","title":"The influence of soil pH on the diversity, abundance and transcriptional activity of ammonia oxidizing archaea and bacteria","type":"article-journal","volume":"10"},"uris":["http://www.mendeley.com/documents/?uuid=f62034fe-7d54-43fe-982d-32724887641a"]}],"mendeley":{"formattedCitation":"(Nicol &lt;i&gt;et al.&lt;/i&gt; 2008)","plainTextFormattedCitation":"(Nicol et al. 2008)","previouslyFormattedCitation":"(Nicol &lt;i&gt;et al.&lt;/i&gt; 2008)"},"properties":{"noteIndex":0},"schema":"https://github.com/citation-style-language/schema/raw/master/csl-citation.json"}</w:instrText>
      </w:r>
      <w:r w:rsidR="008473AA" w:rsidRPr="00921CAD">
        <w:rPr>
          <w:rFonts w:ascii="Palatino Linotype" w:hAnsi="Palatino Linotype"/>
          <w:color w:val="000000" w:themeColor="text1"/>
        </w:rPr>
        <w:fldChar w:fldCharType="separate"/>
      </w:r>
      <w:r w:rsidR="008473AA" w:rsidRPr="00921CAD">
        <w:rPr>
          <w:rFonts w:ascii="Palatino Linotype" w:hAnsi="Palatino Linotype"/>
          <w:noProof/>
          <w:color w:val="000000" w:themeColor="text1"/>
        </w:rPr>
        <w:t xml:space="preserve">(Nicol </w:t>
      </w:r>
      <w:r w:rsidR="008473AA" w:rsidRPr="00921CAD">
        <w:rPr>
          <w:rFonts w:ascii="Palatino Linotype" w:hAnsi="Palatino Linotype"/>
          <w:i/>
          <w:noProof/>
          <w:color w:val="000000" w:themeColor="text1"/>
        </w:rPr>
        <w:t>et al.</w:t>
      </w:r>
      <w:r w:rsidR="008473AA" w:rsidRPr="00921CAD">
        <w:rPr>
          <w:rFonts w:ascii="Palatino Linotype" w:hAnsi="Palatino Linotype"/>
          <w:noProof/>
          <w:color w:val="000000" w:themeColor="text1"/>
        </w:rPr>
        <w:t xml:space="preserve"> 2008)</w:t>
      </w:r>
      <w:r w:rsidR="008473AA"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respectively. Bacterial </w:t>
      </w:r>
      <w:r w:rsidR="00823156" w:rsidRPr="00921CAD">
        <w:rPr>
          <w:rFonts w:ascii="Palatino Linotype" w:hAnsi="Palatino Linotype"/>
          <w:i/>
          <w:color w:val="000000" w:themeColor="text1"/>
        </w:rPr>
        <w:t>nirK</w:t>
      </w:r>
      <w:r w:rsidRPr="00921CAD">
        <w:rPr>
          <w:rFonts w:ascii="Palatino Linotype" w:hAnsi="Palatino Linotype"/>
          <w:color w:val="000000" w:themeColor="text1"/>
        </w:rPr>
        <w:t xml:space="preserve"> </w:t>
      </w:r>
      <w:r w:rsidR="00823156" w:rsidRPr="00921CAD">
        <w:rPr>
          <w:rFonts w:ascii="Palatino Linotype" w:hAnsi="Palatino Linotype"/>
          <w:color w:val="000000" w:themeColor="text1"/>
        </w:rPr>
        <w:t xml:space="preserve">was determined using the primers nirKC1F-nirKC1R (Wei et al. 2015). Denitrifying bacteria in soil have </w:t>
      </w:r>
      <w:r w:rsidR="00823156" w:rsidRPr="00921CAD">
        <w:rPr>
          <w:rFonts w:ascii="Palatino Linotype" w:hAnsi="Palatino Linotype"/>
          <w:i/>
          <w:color w:val="000000" w:themeColor="text1"/>
        </w:rPr>
        <w:t>nirK</w:t>
      </w:r>
      <w:r w:rsidR="00823156" w:rsidRPr="00921CAD">
        <w:rPr>
          <w:rFonts w:ascii="Palatino Linotype" w:hAnsi="Palatino Linotype"/>
          <w:color w:val="000000" w:themeColor="text1"/>
        </w:rPr>
        <w:t xml:space="preserve"> grouped into four </w:t>
      </w:r>
      <w:r w:rsidR="004521EA" w:rsidRPr="00921CAD">
        <w:rPr>
          <w:rFonts w:ascii="Palatino Linotype" w:hAnsi="Palatino Linotype"/>
          <w:color w:val="000000" w:themeColor="text1"/>
        </w:rPr>
        <w:t>or</w:t>
      </w:r>
      <w:r w:rsidR="00823156" w:rsidRPr="00921CAD">
        <w:rPr>
          <w:rFonts w:ascii="Palatino Linotype" w:hAnsi="Palatino Linotype"/>
          <w:color w:val="000000" w:themeColor="text1"/>
        </w:rPr>
        <w:t xml:space="preserve"> cytochrome cd1-containing </w:t>
      </w:r>
      <w:r w:rsidR="004521EA" w:rsidRPr="00921CAD">
        <w:rPr>
          <w:rFonts w:ascii="Palatino Linotype" w:hAnsi="Palatino Linotype"/>
          <w:color w:val="000000" w:themeColor="text1"/>
        </w:rPr>
        <w:t>reductase gene (</w:t>
      </w:r>
      <w:r w:rsidR="004521EA" w:rsidRPr="00921CAD">
        <w:rPr>
          <w:rFonts w:ascii="Palatino Linotype" w:hAnsi="Palatino Linotype"/>
          <w:i/>
          <w:color w:val="000000" w:themeColor="text1"/>
        </w:rPr>
        <w:t>nirS</w:t>
      </w:r>
      <w:r w:rsidR="004521EA" w:rsidRPr="00921CAD">
        <w:rPr>
          <w:rFonts w:ascii="Palatino Linotype" w:hAnsi="Palatino Linotype"/>
          <w:color w:val="000000" w:themeColor="text1"/>
        </w:rPr>
        <w:t xml:space="preserve">) </w:t>
      </w:r>
      <w:r w:rsidR="00823156" w:rsidRPr="00921CAD">
        <w:rPr>
          <w:rFonts w:ascii="Palatino Linotype" w:hAnsi="Palatino Linotype"/>
          <w:color w:val="000000" w:themeColor="text1"/>
        </w:rPr>
        <w:t xml:space="preserve">grouped into two </w:t>
      </w:r>
      <w:r w:rsidR="008473AA" w:rsidRPr="00921CAD">
        <w:rPr>
          <w:rFonts w:ascii="Palatino Linotype" w:hAnsi="Palatino Linotype"/>
          <w:color w:val="000000" w:themeColor="text1"/>
        </w:rPr>
        <w:fldChar w:fldCharType="begin" w:fldLock="1"/>
      </w:r>
      <w:r w:rsidR="008473AA" w:rsidRPr="00921CAD">
        <w:rPr>
          <w:rFonts w:ascii="Palatino Linotype" w:hAnsi="Palatino Linotype"/>
          <w:color w:val="000000" w:themeColor="text1"/>
        </w:rPr>
        <w:instrText>ADDIN CSL_CITATION {"citationItems":[{"id":"ITEM-1","itemData":{"DOI":"10.1038/ismej.2015.9","ISSN":"17517370","abstract":"Denitrification is an important process in the global nitrogen cycle. The genes encoding NirK and NirS (nirK and nirS), which catalyze the reduction of nitrite to nitric oxide, have been used as marker genes to study the ecological behavior of denitrifiers in environments. However, conventional polymerase chain reaction (PCR) primers can only detect a limited range of the phylogenetically diverse nirK and nirS. Thus, we developed new PCR primers covering the diverse nirK and nirS. Clone library and qPCR analysis using the primers showed that nirK and nirS in terrestrial environments are more phylogenetically diverse and 2-6 times more abundant than those revealed with the conventional primers. RNA- and culture-based analyses using a cropland soil also suggested that microorganisms with previously unconsidered nirK or nirS are responsible for denitrification in the soil. PCR techniques still have a greater capacity for the deep analysis of target genes than PCR-independent methods including metagenome analysis, although efforts are needed to minimize the PCR biases. The methodology and the insights obtained here should allow us to achieve a more precise understanding of the ecological behavior of denitrifiers and facilitate more precise estimate of denitrification in environments.","author":[{"dropping-particle":"","family":"Wei","given":"W.","non-dropping-particle":"","parse-names":false,"suffix":""},{"dropping-particle":"","family":"Isobe","given":"K.","non-dropping-particle":"","parse-names":false,"suffix":""},{"dropping-particle":"","family":"Nishizawa","given":"T.","non-dropping-particle":"","parse-names":false,"suffix":""},{"dropping-particle":"","family":"Zhu","given":"L.","non-dropping-particle":"","parse-names":false,"suffix":""},{"dropping-particle":"","family":"Shiratori","given":"Y.","non-dropping-particle":"","parse-names":false,"suffix":""},{"dropping-particle":"","family":"Ohte","given":"N.","non-dropping-particle":"","parse-names":false,"suffix":""},{"dropping-particle":"","family":"Koba","given":"K.","non-dropping-particle":"","parse-names":false,"suffix":""},{"dropping-particle":"","family":"Otsuka","given":"S.","non-dropping-particle":"","parse-names":false,"suffix":""},{"dropping-particle":"","family":"Senoo","given":"K.","non-dropping-particle":"","parse-names":false,"suffix":""}],"container-title":"ISME Journal","id":"ITEM-1","issue":"9","issued":{"date-parts":[["2015"]]},"title":"Higher diversity and abundance of denitrifying microorganisms in environments than considered previously","type":"article-journal","volume":"9"},"uris":["http://www.mendeley.com/documents/?uuid=f3dfaa0e-9aa3-3c3c-bd73-0b78c5af323e"]}],"mendeley":{"formattedCitation":"(Wei &lt;i&gt;et al.&lt;/i&gt; 2015)","plainTextFormattedCitation":"(Wei et al. 2015)","previouslyFormattedCitation":"(Wei &lt;i&gt;et al.&lt;/i&gt; 2015)"},"properties":{"noteIndex":0},"schema":"https://github.com/citation-style-language/schema/raw/master/csl-citation.json"}</w:instrText>
      </w:r>
      <w:r w:rsidR="008473AA" w:rsidRPr="00921CAD">
        <w:rPr>
          <w:rFonts w:ascii="Palatino Linotype" w:hAnsi="Palatino Linotype"/>
          <w:color w:val="000000" w:themeColor="text1"/>
        </w:rPr>
        <w:fldChar w:fldCharType="separate"/>
      </w:r>
      <w:r w:rsidR="008473AA" w:rsidRPr="00921CAD">
        <w:rPr>
          <w:rFonts w:ascii="Palatino Linotype" w:hAnsi="Palatino Linotype"/>
          <w:noProof/>
          <w:color w:val="000000" w:themeColor="text1"/>
        </w:rPr>
        <w:t xml:space="preserve">(Wei </w:t>
      </w:r>
      <w:r w:rsidR="008473AA" w:rsidRPr="00921CAD">
        <w:rPr>
          <w:rFonts w:ascii="Palatino Linotype" w:hAnsi="Palatino Linotype"/>
          <w:i/>
          <w:noProof/>
          <w:color w:val="000000" w:themeColor="text1"/>
        </w:rPr>
        <w:t>et al.</w:t>
      </w:r>
      <w:r w:rsidR="008473AA" w:rsidRPr="00921CAD">
        <w:rPr>
          <w:rFonts w:ascii="Palatino Linotype" w:hAnsi="Palatino Linotype"/>
          <w:noProof/>
          <w:color w:val="000000" w:themeColor="text1"/>
        </w:rPr>
        <w:t xml:space="preserve"> 2015)</w:t>
      </w:r>
      <w:r w:rsidR="008473AA"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but we previously found that </w:t>
      </w:r>
      <w:r w:rsidR="00D76C7A" w:rsidRPr="00921CAD">
        <w:rPr>
          <w:rFonts w:ascii="Palatino Linotype" w:hAnsi="Palatino Linotype"/>
          <w:i/>
          <w:color w:val="000000" w:themeColor="text1"/>
        </w:rPr>
        <w:t>nirK</w:t>
      </w:r>
      <w:r w:rsidR="00823156" w:rsidRPr="00921CAD">
        <w:rPr>
          <w:rFonts w:ascii="Palatino Linotype" w:hAnsi="Palatino Linotype"/>
          <w:color w:val="000000" w:themeColor="text1"/>
        </w:rPr>
        <w:t xml:space="preserve"> amplified </w:t>
      </w:r>
      <w:r w:rsidR="00D76C7A" w:rsidRPr="00921CAD">
        <w:rPr>
          <w:rFonts w:ascii="Palatino Linotype" w:hAnsi="Palatino Linotype"/>
          <w:color w:val="000000" w:themeColor="text1"/>
        </w:rPr>
        <w:t xml:space="preserve">by </w:t>
      </w:r>
      <w:r w:rsidR="00823156" w:rsidRPr="00921CAD">
        <w:rPr>
          <w:rFonts w:ascii="Palatino Linotype" w:hAnsi="Palatino Linotype"/>
          <w:color w:val="000000" w:themeColor="text1"/>
        </w:rPr>
        <w:t xml:space="preserve">the primers nirK1F-nirK2R was </w:t>
      </w:r>
      <w:r w:rsidR="00036440" w:rsidRPr="00921CAD">
        <w:rPr>
          <w:rFonts w:ascii="Palatino Linotype" w:hAnsi="Palatino Linotype"/>
          <w:color w:val="000000" w:themeColor="text1"/>
        </w:rPr>
        <w:t xml:space="preserve">the </w:t>
      </w:r>
      <w:r w:rsidR="00823156" w:rsidRPr="00921CAD">
        <w:rPr>
          <w:rFonts w:ascii="Palatino Linotype" w:hAnsi="Palatino Linotype"/>
          <w:color w:val="000000" w:themeColor="text1"/>
        </w:rPr>
        <w:t xml:space="preserve">most abundant (Wei et al. 2015). </w:t>
      </w:r>
    </w:p>
    <w:p w14:paraId="5BA3AC21" w14:textId="6776E3A7" w:rsidR="00823156" w:rsidRPr="00921CAD" w:rsidRDefault="00C72135" w:rsidP="00A60591">
      <w:pPr>
        <w:ind w:firstLine="720"/>
        <w:rPr>
          <w:rFonts w:ascii="Palatino Linotype" w:hAnsi="Palatino Linotype"/>
          <w:color w:val="000000" w:themeColor="text1"/>
        </w:rPr>
      </w:pPr>
      <w:r w:rsidRPr="00921CAD">
        <w:rPr>
          <w:rFonts w:ascii="Palatino Linotype" w:hAnsi="Palatino Linotype"/>
          <w:color w:val="000000" w:themeColor="text1"/>
        </w:rPr>
        <w:t xml:space="preserve">qPCR was conducted using a StepOne real-time PCR system (Applied Biosystems, Warrington, UK). </w:t>
      </w:r>
      <w:r w:rsidR="00484916" w:rsidRPr="00921CAD">
        <w:rPr>
          <w:rFonts w:ascii="Palatino Linotype" w:hAnsi="Palatino Linotype"/>
          <w:color w:val="000000" w:themeColor="text1"/>
        </w:rPr>
        <w:t>All PCR procedures were performed in 0.2 mL tubes with 2</w:t>
      </w:r>
      <w:r w:rsidRPr="00921CAD">
        <w:rPr>
          <w:rFonts w:ascii="Palatino Linotype" w:hAnsi="Palatino Linotype"/>
          <w:color w:val="000000" w:themeColor="text1"/>
        </w:rPr>
        <w:t>0</w:t>
      </w:r>
      <w:r w:rsidR="00484916" w:rsidRPr="00921CAD">
        <w:rPr>
          <w:rFonts w:ascii="Palatino Linotype" w:hAnsi="Palatino Linotype"/>
          <w:color w:val="000000" w:themeColor="text1"/>
        </w:rPr>
        <w:t xml:space="preserve"> </w:t>
      </w:r>
      <w:r w:rsidR="00484916" w:rsidRPr="00921CAD">
        <w:rPr>
          <w:color w:val="000000" w:themeColor="text1"/>
        </w:rPr>
        <w:sym w:font="Symbol" w:char="F06D"/>
      </w:r>
      <w:r w:rsidR="00484916" w:rsidRPr="00921CAD">
        <w:rPr>
          <w:rFonts w:ascii="Palatino Linotype" w:hAnsi="Palatino Linotype"/>
          <w:color w:val="000000" w:themeColor="text1"/>
        </w:rPr>
        <w:t xml:space="preserve">L reaction volumes, using the hot start technique to reduce non-specific amplification. The reaction mixture contained </w:t>
      </w:r>
      <w:r w:rsidRPr="00921CAD">
        <w:rPr>
          <w:rFonts w:ascii="Palatino Linotype" w:hAnsi="Palatino Linotype"/>
          <w:color w:val="000000" w:themeColor="text1"/>
        </w:rPr>
        <w:t>the</w:t>
      </w:r>
      <w:r w:rsidR="00484916" w:rsidRPr="00921CAD">
        <w:rPr>
          <w:rFonts w:ascii="Palatino Linotype" w:hAnsi="Palatino Linotype"/>
          <w:color w:val="000000" w:themeColor="text1"/>
        </w:rPr>
        <w:t xml:space="preserve"> reaction buffer (</w:t>
      </w:r>
      <w:r w:rsidRPr="00921CAD">
        <w:rPr>
          <w:rFonts w:ascii="Palatino Linotype" w:eastAsia="MS Mincho" w:hAnsi="Palatino Linotype"/>
          <w:color w:val="000000" w:themeColor="text1"/>
        </w:rPr>
        <w:t>1 × SYBR Premix Ex Taq II; Takara Bio, Shiga, Japan</w:t>
      </w:r>
      <w:r w:rsidR="00484916" w:rsidRPr="00921CAD">
        <w:rPr>
          <w:rFonts w:ascii="Palatino Linotype" w:hAnsi="Palatino Linotype"/>
          <w:color w:val="000000" w:themeColor="text1"/>
        </w:rPr>
        <w:t>), 1</w:t>
      </w:r>
      <w:r w:rsidRPr="00921CAD">
        <w:rPr>
          <w:rFonts w:ascii="Palatino Linotype" w:hAnsi="Palatino Linotype"/>
          <w:color w:val="000000" w:themeColor="text1"/>
        </w:rPr>
        <w:t>0</w:t>
      </w:r>
      <w:r w:rsidR="00484916" w:rsidRPr="00921CAD">
        <w:rPr>
          <w:rFonts w:ascii="Palatino Linotype" w:hAnsi="Palatino Linotype"/>
          <w:color w:val="000000" w:themeColor="text1"/>
        </w:rPr>
        <w:t xml:space="preserve"> </w:t>
      </w:r>
      <w:r w:rsidRPr="00921CAD">
        <w:rPr>
          <w:color w:val="000000" w:themeColor="text1"/>
        </w:rPr>
        <w:t>ng</w:t>
      </w:r>
      <w:r w:rsidR="00484916" w:rsidRPr="00921CAD">
        <w:rPr>
          <w:rFonts w:ascii="Palatino Linotype" w:hAnsi="Palatino Linotype"/>
          <w:color w:val="000000" w:themeColor="text1"/>
        </w:rPr>
        <w:t xml:space="preserve"> of DNA</w:t>
      </w:r>
      <w:r w:rsidRPr="00921CAD">
        <w:rPr>
          <w:rFonts w:ascii="Palatino Linotype" w:hAnsi="Palatino Linotype"/>
          <w:color w:val="000000" w:themeColor="text1"/>
        </w:rPr>
        <w:t xml:space="preserve"> for </w:t>
      </w:r>
      <w:r w:rsidR="001849A1" w:rsidRPr="00921CAD">
        <w:rPr>
          <w:rFonts w:ascii="Palatino Linotype" w:hAnsi="Palatino Linotype"/>
          <w:color w:val="000000" w:themeColor="text1"/>
        </w:rPr>
        <w:t xml:space="preserve">the </w:t>
      </w:r>
      <w:r w:rsidRPr="00921CAD">
        <w:rPr>
          <w:rFonts w:ascii="Palatino Linotype" w:hAnsi="Palatino Linotype"/>
          <w:color w:val="000000" w:themeColor="text1"/>
        </w:rPr>
        <w:t xml:space="preserve">16S rRNA gene or 20 ng of DNA for </w:t>
      </w:r>
      <w:r w:rsidR="000936B5" w:rsidRPr="00921CAD">
        <w:rPr>
          <w:rFonts w:ascii="Palatino Linotype" w:hAnsi="Palatino Linotype"/>
          <w:color w:val="000000" w:themeColor="text1"/>
        </w:rPr>
        <w:t>bacterial</w:t>
      </w:r>
      <w:r w:rsidRPr="00921CAD">
        <w:rPr>
          <w:rFonts w:ascii="Palatino Linotype" w:hAnsi="Palatino Linotype"/>
          <w:color w:val="000000" w:themeColor="text1"/>
        </w:rPr>
        <w:t xml:space="preserve"> and archaeal </w:t>
      </w:r>
      <w:r w:rsidRPr="00921CAD">
        <w:rPr>
          <w:rFonts w:ascii="Palatino Linotype" w:hAnsi="Palatino Linotype"/>
          <w:i/>
          <w:color w:val="000000" w:themeColor="text1"/>
        </w:rPr>
        <w:t>amoA</w:t>
      </w:r>
      <w:r w:rsidRPr="00921CAD">
        <w:rPr>
          <w:rFonts w:ascii="Palatino Linotype" w:hAnsi="Palatino Linotype"/>
          <w:color w:val="000000" w:themeColor="text1"/>
        </w:rPr>
        <w:t xml:space="preserve"> and bacterial </w:t>
      </w:r>
      <w:r w:rsidRPr="00921CAD">
        <w:rPr>
          <w:rFonts w:ascii="Palatino Linotype" w:hAnsi="Palatino Linotype"/>
          <w:i/>
          <w:color w:val="000000" w:themeColor="text1"/>
        </w:rPr>
        <w:t>nirK</w:t>
      </w:r>
      <w:r w:rsidR="00484916" w:rsidRPr="00921CAD">
        <w:rPr>
          <w:rFonts w:ascii="Palatino Linotype" w:hAnsi="Palatino Linotype"/>
          <w:color w:val="000000" w:themeColor="text1"/>
        </w:rPr>
        <w:t xml:space="preserve">, 0.2 </w:t>
      </w:r>
      <w:r w:rsidR="00484916" w:rsidRPr="00921CAD">
        <w:rPr>
          <w:color w:val="000000" w:themeColor="text1"/>
        </w:rPr>
        <w:sym w:font="Symbol" w:char="F06D"/>
      </w:r>
      <w:r w:rsidR="00484916" w:rsidRPr="00921CAD">
        <w:rPr>
          <w:rFonts w:ascii="Palatino Linotype" w:hAnsi="Palatino Linotype"/>
          <w:color w:val="000000" w:themeColor="text1"/>
        </w:rPr>
        <w:t xml:space="preserve">M of each primer, 0.5 </w:t>
      </w:r>
      <w:r w:rsidR="00484916" w:rsidRPr="00921CAD">
        <w:rPr>
          <w:color w:val="000000" w:themeColor="text1"/>
        </w:rPr>
        <w:sym w:font="Symbol" w:char="F06D"/>
      </w:r>
      <w:r w:rsidR="00484916" w:rsidRPr="00921CAD">
        <w:rPr>
          <w:rFonts w:ascii="Palatino Linotype" w:hAnsi="Palatino Linotype"/>
          <w:color w:val="000000" w:themeColor="text1"/>
        </w:rPr>
        <w:t xml:space="preserve">g </w:t>
      </w:r>
      <w:r w:rsidR="00484916" w:rsidRPr="00921CAD">
        <w:rPr>
          <w:color w:val="000000" w:themeColor="text1"/>
        </w:rPr>
        <w:sym w:font="Symbol" w:char="F06D"/>
      </w:r>
      <w:r w:rsidR="00484916" w:rsidRPr="00921CAD">
        <w:rPr>
          <w:rFonts w:ascii="Palatino Linotype" w:hAnsi="Palatino Linotype"/>
          <w:color w:val="000000" w:themeColor="text1"/>
        </w:rPr>
        <w:t>L</w:t>
      </w:r>
      <w:r w:rsidR="00484916" w:rsidRPr="00921CAD">
        <w:rPr>
          <w:rFonts w:ascii="Palatino Linotype" w:hAnsi="Palatino Linotype"/>
          <w:color w:val="000000" w:themeColor="text1"/>
          <w:vertAlign w:val="superscript"/>
        </w:rPr>
        <w:t>–1</w:t>
      </w:r>
      <w:r w:rsidR="00484916" w:rsidRPr="00921CAD">
        <w:rPr>
          <w:rFonts w:ascii="Palatino Linotype" w:hAnsi="Palatino Linotype"/>
          <w:color w:val="000000" w:themeColor="text1"/>
        </w:rPr>
        <w:t xml:space="preserve"> of </w:t>
      </w:r>
      <w:r w:rsidR="00484916" w:rsidRPr="00921CAD">
        <w:rPr>
          <w:rFonts w:ascii="Palatino Linotype" w:hAnsi="Palatino Linotype"/>
          <w:color w:val="000000" w:themeColor="text1"/>
        </w:rPr>
        <w:lastRenderedPageBreak/>
        <w:t xml:space="preserve">bovine serum albumin, and </w:t>
      </w:r>
      <w:r w:rsidRPr="00921CAD">
        <w:rPr>
          <w:rFonts w:ascii="Palatino Linotype" w:hAnsi="Palatino Linotype"/>
          <w:color w:val="000000" w:themeColor="text1"/>
        </w:rPr>
        <w:t>1 × ROX Reference Dye</w:t>
      </w:r>
      <w:r w:rsidR="00484916" w:rsidRPr="00921CAD">
        <w:rPr>
          <w:rFonts w:ascii="Palatino Linotype" w:hAnsi="Palatino Linotype"/>
          <w:color w:val="000000" w:themeColor="text1"/>
        </w:rPr>
        <w:t xml:space="preserve"> (Applied Biosystems).</w:t>
      </w:r>
      <w:r w:rsidR="000936B5" w:rsidRPr="00921CAD">
        <w:rPr>
          <w:rFonts w:ascii="Palatino Linotype" w:hAnsi="Palatino Linotype"/>
          <w:color w:val="000000" w:themeColor="text1"/>
        </w:rPr>
        <w:t xml:space="preserve"> The reactions were performed under the following conditions: initial annealing at 95 °C for 10 min, followed by 40 cycles of 95 °C for </w:t>
      </w:r>
      <w:r w:rsidR="00511F0F" w:rsidRPr="00921CAD">
        <w:rPr>
          <w:rFonts w:ascii="Palatino Linotype" w:hAnsi="Palatino Linotype"/>
          <w:color w:val="000000" w:themeColor="text1"/>
        </w:rPr>
        <w:t>30</w:t>
      </w:r>
      <w:r w:rsidR="000936B5" w:rsidRPr="00921CAD">
        <w:rPr>
          <w:rFonts w:ascii="Palatino Linotype" w:hAnsi="Palatino Linotype"/>
          <w:color w:val="000000" w:themeColor="text1"/>
        </w:rPr>
        <w:t xml:space="preserve"> s, 55 °C for 30 s for bacterial 16S rRNA gene</w:t>
      </w:r>
      <w:r w:rsidR="00597D51" w:rsidRPr="00921CAD">
        <w:rPr>
          <w:rFonts w:ascii="Palatino Linotype" w:hAnsi="Palatino Linotype"/>
          <w:color w:val="000000" w:themeColor="text1"/>
        </w:rPr>
        <w:t xml:space="preserve">, </w:t>
      </w:r>
      <w:r w:rsidR="000936B5" w:rsidRPr="00921CAD">
        <w:rPr>
          <w:rFonts w:ascii="Palatino Linotype" w:hAnsi="Palatino Linotype"/>
          <w:color w:val="000000" w:themeColor="text1"/>
        </w:rPr>
        <w:t xml:space="preserve">bacterial and archaeal </w:t>
      </w:r>
      <w:r w:rsidR="000936B5" w:rsidRPr="00921CAD">
        <w:rPr>
          <w:rFonts w:ascii="Palatino Linotype" w:hAnsi="Palatino Linotype"/>
          <w:i/>
          <w:color w:val="000000" w:themeColor="text1"/>
        </w:rPr>
        <w:t>amoA</w:t>
      </w:r>
      <w:r w:rsidR="00597D51" w:rsidRPr="00921CAD">
        <w:rPr>
          <w:rFonts w:ascii="Palatino Linotype" w:hAnsi="Palatino Linotype"/>
          <w:color w:val="000000" w:themeColor="text1"/>
        </w:rPr>
        <w:t xml:space="preserve">, </w:t>
      </w:r>
      <w:r w:rsidR="000936B5" w:rsidRPr="00921CAD">
        <w:rPr>
          <w:rFonts w:ascii="Palatino Linotype" w:hAnsi="Palatino Linotype"/>
          <w:color w:val="000000" w:themeColor="text1"/>
        </w:rPr>
        <w:t>or 5</w:t>
      </w:r>
      <w:r w:rsidR="00511F0F" w:rsidRPr="00921CAD">
        <w:rPr>
          <w:rFonts w:ascii="Palatino Linotype" w:hAnsi="Palatino Linotype"/>
          <w:color w:val="000000" w:themeColor="text1"/>
        </w:rPr>
        <w:t>8</w:t>
      </w:r>
      <w:r w:rsidR="000936B5" w:rsidRPr="00921CAD">
        <w:rPr>
          <w:rFonts w:ascii="Palatino Linotype" w:hAnsi="Palatino Linotype"/>
          <w:color w:val="000000" w:themeColor="text1"/>
        </w:rPr>
        <w:t xml:space="preserve"> °C for 30 s for</w:t>
      </w:r>
      <w:r w:rsidR="00511F0F" w:rsidRPr="00921CAD">
        <w:rPr>
          <w:rFonts w:ascii="Palatino Linotype" w:hAnsi="Palatino Linotype"/>
          <w:color w:val="000000" w:themeColor="text1"/>
        </w:rPr>
        <w:t xml:space="preserve"> bacterial </w:t>
      </w:r>
      <w:r w:rsidR="00511F0F" w:rsidRPr="00921CAD">
        <w:rPr>
          <w:rFonts w:ascii="Palatino Linotype" w:hAnsi="Palatino Linotype"/>
          <w:i/>
          <w:color w:val="000000" w:themeColor="text1"/>
        </w:rPr>
        <w:t>nirK</w:t>
      </w:r>
      <w:r w:rsidR="000936B5" w:rsidRPr="00921CAD">
        <w:rPr>
          <w:rFonts w:ascii="Palatino Linotype" w:hAnsi="Palatino Linotype"/>
          <w:color w:val="000000" w:themeColor="text1"/>
        </w:rPr>
        <w:t>, and 72 °C for 30 s for bacterial 16S rRNA gene</w:t>
      </w:r>
      <w:r w:rsidR="00511F0F" w:rsidRPr="00921CAD">
        <w:rPr>
          <w:rFonts w:ascii="Palatino Linotype" w:hAnsi="Palatino Linotype"/>
          <w:color w:val="000000" w:themeColor="text1"/>
        </w:rPr>
        <w:t xml:space="preserve"> and </w:t>
      </w:r>
      <w:r w:rsidR="00511F0F" w:rsidRPr="00921CAD">
        <w:rPr>
          <w:rFonts w:ascii="Palatino Linotype" w:hAnsi="Palatino Linotype"/>
          <w:i/>
          <w:color w:val="000000" w:themeColor="text1"/>
        </w:rPr>
        <w:t>nirK</w:t>
      </w:r>
      <w:r w:rsidR="000936B5" w:rsidRPr="00921CAD">
        <w:rPr>
          <w:rFonts w:ascii="Palatino Linotype" w:hAnsi="Palatino Linotype"/>
          <w:color w:val="000000" w:themeColor="text1"/>
        </w:rPr>
        <w:t xml:space="preserve"> or 72 °C for 35 s for bacterial and archaeal </w:t>
      </w:r>
      <w:r w:rsidR="000936B5" w:rsidRPr="00921CAD">
        <w:rPr>
          <w:rFonts w:ascii="Palatino Linotype" w:hAnsi="Palatino Linotype"/>
          <w:i/>
          <w:color w:val="000000" w:themeColor="text1"/>
        </w:rPr>
        <w:t>amoA</w:t>
      </w:r>
      <w:r w:rsidR="000936B5" w:rsidRPr="00921CAD">
        <w:rPr>
          <w:rFonts w:ascii="Palatino Linotype" w:hAnsi="Palatino Linotype"/>
          <w:color w:val="000000" w:themeColor="text1"/>
        </w:rPr>
        <w:t>.</w:t>
      </w:r>
      <w:r w:rsidR="00511F0F" w:rsidRPr="00921CAD">
        <w:rPr>
          <w:rFonts w:ascii="Palatino Linotype" w:hAnsi="Palatino Linotype"/>
          <w:color w:val="000000" w:themeColor="text1"/>
        </w:rPr>
        <w:t xml:space="preserve"> </w:t>
      </w:r>
      <w:r w:rsidR="00823156" w:rsidRPr="00921CAD">
        <w:rPr>
          <w:rFonts w:ascii="Palatino Linotype" w:hAnsi="Palatino Linotype"/>
          <w:color w:val="000000" w:themeColor="text1"/>
        </w:rPr>
        <w:t>The amplification efficiencies of all genes for standard curve generation were &gt;90%, and the standard curves had high correlation coefficients (R</w:t>
      </w:r>
      <w:r w:rsidR="00823156" w:rsidRPr="00921CAD">
        <w:rPr>
          <w:rFonts w:ascii="Palatino Linotype" w:hAnsi="Palatino Linotype"/>
          <w:color w:val="000000" w:themeColor="text1"/>
          <w:vertAlign w:val="superscript"/>
        </w:rPr>
        <w:t>2</w:t>
      </w:r>
      <w:r w:rsidR="00823156" w:rsidRPr="00921CAD">
        <w:rPr>
          <w:rFonts w:ascii="Palatino Linotype" w:hAnsi="Palatino Linotype"/>
          <w:color w:val="000000" w:themeColor="text1"/>
        </w:rPr>
        <w:t xml:space="preserve"> &gt; 0.95).</w:t>
      </w:r>
    </w:p>
    <w:p w14:paraId="310F6427" w14:textId="77777777" w:rsidR="00823156" w:rsidRPr="00921CAD" w:rsidRDefault="00823156" w:rsidP="00A60591">
      <w:pPr>
        <w:rPr>
          <w:rFonts w:ascii="Palatino Linotype" w:hAnsi="Palatino Linotype"/>
          <w:color w:val="000000" w:themeColor="text1"/>
        </w:rPr>
      </w:pPr>
    </w:p>
    <w:p w14:paraId="3681F0CE" w14:textId="553DF2BA" w:rsidR="00823156" w:rsidRPr="00921CAD" w:rsidRDefault="00453D33" w:rsidP="00A60591">
      <w:pPr>
        <w:rPr>
          <w:rFonts w:ascii="Palatino Linotype" w:hAnsi="Palatino Linotype"/>
          <w:b/>
          <w:color w:val="000000" w:themeColor="text1"/>
        </w:rPr>
      </w:pPr>
      <w:r w:rsidRPr="00921CAD">
        <w:rPr>
          <w:rFonts w:ascii="Palatino Linotype" w:hAnsi="Palatino Linotype"/>
          <w:b/>
          <w:color w:val="000000" w:themeColor="text1"/>
        </w:rPr>
        <w:t>5</w:t>
      </w:r>
      <w:r w:rsidR="00823156" w:rsidRPr="00921CAD">
        <w:rPr>
          <w:rFonts w:ascii="Palatino Linotype" w:hAnsi="Palatino Linotype"/>
          <w:b/>
          <w:color w:val="000000" w:themeColor="text1"/>
        </w:rPr>
        <w:t>. Sequence analysis of 16S rRNA gene</w:t>
      </w:r>
    </w:p>
    <w:p w14:paraId="10D845B2" w14:textId="2AEFA941" w:rsidR="001D16CD" w:rsidRPr="00921CAD" w:rsidRDefault="001D16CD" w:rsidP="00A35F91">
      <w:pPr>
        <w:rPr>
          <w:rFonts w:ascii="Palatino Linotype" w:hAnsi="Palatino Linotype"/>
          <w:color w:val="000000" w:themeColor="text1"/>
        </w:rPr>
      </w:pPr>
      <w:r w:rsidRPr="00921CAD">
        <w:rPr>
          <w:rFonts w:ascii="Palatino Linotype" w:hAnsi="Palatino Linotype"/>
          <w:color w:val="000000" w:themeColor="text1"/>
        </w:rPr>
        <w:t xml:space="preserve">Bacterial 16S rRNA genes in soils were PCR-amplified using the primers 515f-806r. These primers were identical to those used in the qPCR assay except for the addition of appropriate Illumina adapters and 12-bp barcodes for multiplex sequencing on the Illumina platform </w:t>
      </w:r>
      <w:r w:rsidRPr="00921CAD">
        <w:rPr>
          <w:rFonts w:ascii="Palatino Linotype" w:hAnsi="Palatino Linotype"/>
          <w:color w:val="000000" w:themeColor="text1"/>
        </w:rPr>
        <w:fldChar w:fldCharType="begin" w:fldLock="1"/>
      </w:r>
      <w:r w:rsidRPr="00921CAD">
        <w:rPr>
          <w:rFonts w:ascii="Palatino Linotype" w:hAnsi="Palatino Linotype"/>
          <w:color w:val="000000" w:themeColor="text1"/>
        </w:rPr>
        <w:instrText>ADDIN CSL_CITATION {"citationItems":[{"id":"ITEM-1","itemData":{"DOI":"10.1073/pnas.1000080107","ISBN":"0027-8424","ISSN":"0027-8424","PMID":"20534432","abstract":"The ongoing revolution in high-throughput sequencing continues to democratize the ability of small groups of investigators to map the microbial component of the biosphere. In particular, the coevolution of new sequencing platforms and new software tools allows data acquisition and analysis on an unprecedented scale. Here we report the next stage in this coevolutionary arms race, using the Illumina GAIIx platform to sequence a diverse array of 25 environmental samples and three known \"mock communities\" at a depth averaging 3.1 million reads per sample. We demonstrate excellent consistency in taxonomic recovery and recapture diversity patterns that were previously reported on the basis of metaanalysis of many studies from the literature (notably, the saline/nonsaline split in environmental samples and the split between host-associated and free-living communities). We also demonstrate that 2,000 Illumina single-end reads are sufficient to recapture the same relationships among samples that we observe with the full dataset. The results thus open up the possibility of conducting large-scale studies analyzing thousands of samples simultaneously to survey microbial communities at an unprecedented spatial and temporal resolution.","author":[{"dropping-particle":"","family":"Caporaso","given":"J. G.","non-dropping-particle":"","parse-names":false,"suffix":""},{"dropping-particle":"","family":"Lauber","given":"C. L.","non-dropping-particle":"","parse-names":false,"suffix":""},{"dropping-particle":"","family":"Walters","given":"W. A.","non-dropping-particle":"","parse-names":false,"suffix":""},{"dropping-particle":"","family":"Berg-Lyons","given":"D.","non-dropping-particle":"","parse-names":false,"suffix":""},{"dropping-particle":"","family":"Lozupone","given":"C. A.","non-dropping-particle":"","parse-names":false,"suffix":""},{"dropping-particle":"","family":"Turnbaugh","given":"P. J.","non-dropping-particle":"","parse-names":false,"suffix":""},{"dropping-particle":"","family":"Fierer","given":"N.","non-dropping-particle":"","parse-names":false,"suffix":""},{"dropping-particle":"","family":"Knight","given":"R.","non-dropping-particle":"","parse-names":false,"suffix":""}],"container-title":"Proceedings of the National Academy of Sciences","id":"ITEM-1","issue":"Supplement_1","issued":{"date-parts":[["2011"]]},"page":"4516-4522","title":"Global patterns of 16S rRNA diversity at a depth of millions of sequences per sample","type":"article-journal","volume":"108"},"uris":["http://www.mendeley.com/documents/?uuid=c594c29d-3bc2-40c3-b320-5f2878efff91"]}],"mendeley":{"formattedCitation":"(Caporaso &lt;i&gt;et al.&lt;/i&gt; 2011)","plainTextFormattedCitation":"(Caporaso et al. 2011)","previouslyFormattedCitation":"(Caporaso &lt;i&gt;et al.&lt;/i&gt; 2011)"},"properties":{"noteIndex":0},"schema":"https://github.com/citation-style-language/schema/raw/master/csl-citation.json"}</w:instrText>
      </w:r>
      <w:r w:rsidRPr="00921CAD">
        <w:rPr>
          <w:rFonts w:ascii="Palatino Linotype" w:hAnsi="Palatino Linotype"/>
          <w:color w:val="000000" w:themeColor="text1"/>
        </w:rPr>
        <w:fldChar w:fldCharType="separate"/>
      </w:r>
      <w:r w:rsidRPr="00921CAD">
        <w:rPr>
          <w:rFonts w:ascii="Palatino Linotype" w:hAnsi="Palatino Linotype"/>
          <w:noProof/>
          <w:color w:val="000000" w:themeColor="text1"/>
        </w:rPr>
        <w:t xml:space="preserve">(Caporaso </w:t>
      </w:r>
      <w:r w:rsidRPr="00921CAD">
        <w:rPr>
          <w:rFonts w:ascii="Palatino Linotype" w:hAnsi="Palatino Linotype"/>
          <w:i/>
          <w:noProof/>
          <w:color w:val="000000" w:themeColor="text1"/>
        </w:rPr>
        <w:t>et al.</w:t>
      </w:r>
      <w:r w:rsidRPr="00921CAD">
        <w:rPr>
          <w:rFonts w:ascii="Palatino Linotype" w:hAnsi="Palatino Linotype"/>
          <w:noProof/>
          <w:color w:val="000000" w:themeColor="text1"/>
        </w:rPr>
        <w:t xml:space="preserve"> 2011)</w:t>
      </w:r>
      <w:r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t>
      </w:r>
      <w:r w:rsidR="00C81316" w:rsidRPr="00921CAD">
        <w:rPr>
          <w:rFonts w:ascii="Palatino Linotype" w:hAnsi="Palatino Linotype"/>
          <w:color w:val="000000" w:themeColor="text1"/>
        </w:rPr>
        <w:t xml:space="preserve">The </w:t>
      </w:r>
      <w:r w:rsidRPr="00921CAD">
        <w:rPr>
          <w:rFonts w:ascii="Palatino Linotype" w:hAnsi="Palatino Linotype"/>
          <w:color w:val="000000" w:themeColor="text1"/>
        </w:rPr>
        <w:t>PCR mixture (30</w:t>
      </w:r>
      <w:r w:rsidRPr="00921CAD">
        <w:rPr>
          <w:color w:val="000000" w:themeColor="text1"/>
        </w:rPr>
        <w:t> </w:t>
      </w:r>
      <w:r w:rsidRPr="00921CAD">
        <w:rPr>
          <w:rFonts w:ascii="Palatino Linotype" w:hAnsi="Palatino Linotype"/>
          <w:color w:val="000000" w:themeColor="text1"/>
        </w:rPr>
        <w:t>μl) contained 1× Ex Taq buffer (Takara Bio, Shiga, Japan), 0.2</w:t>
      </w:r>
      <w:r w:rsidRPr="00921CAD">
        <w:rPr>
          <w:color w:val="000000" w:themeColor="text1"/>
        </w:rPr>
        <w:t> </w:t>
      </w:r>
      <w:r w:rsidRPr="00921CAD">
        <w:rPr>
          <w:rFonts w:ascii="Palatino Linotype" w:hAnsi="Palatino Linotype"/>
          <w:color w:val="000000" w:themeColor="text1"/>
        </w:rPr>
        <w:t>mM of each dNTP, 0.2</w:t>
      </w:r>
      <w:r w:rsidRPr="00921CAD">
        <w:rPr>
          <w:color w:val="000000" w:themeColor="text1"/>
        </w:rPr>
        <w:t> </w:t>
      </w:r>
      <w:r w:rsidRPr="00921CAD">
        <w:rPr>
          <w:rFonts w:ascii="Palatino Linotype" w:hAnsi="Palatino Linotype"/>
          <w:color w:val="000000" w:themeColor="text1"/>
        </w:rPr>
        <w:t>μM of each primer, 2 U/100</w:t>
      </w:r>
      <w:r w:rsidRPr="00921CAD">
        <w:rPr>
          <w:color w:val="000000" w:themeColor="text1"/>
        </w:rPr>
        <w:t> </w:t>
      </w:r>
      <w:r w:rsidRPr="00921CAD">
        <w:rPr>
          <w:rFonts w:ascii="Palatino Linotype" w:hAnsi="Palatino Linotype"/>
          <w:color w:val="000000" w:themeColor="text1"/>
        </w:rPr>
        <w:t>μl of TaKaRa Ex TaqHS (Takara Bio), and 10</w:t>
      </w:r>
      <w:r w:rsidRPr="00921CAD">
        <w:rPr>
          <w:color w:val="000000" w:themeColor="text1"/>
        </w:rPr>
        <w:t> </w:t>
      </w:r>
      <w:r w:rsidRPr="00921CAD">
        <w:rPr>
          <w:rFonts w:ascii="Palatino Linotype" w:hAnsi="Palatino Linotype"/>
          <w:color w:val="000000" w:themeColor="text1"/>
        </w:rPr>
        <w:t>ng of DNA template. The amplification was performed under the following conditions: initial annealing at 94</w:t>
      </w:r>
      <w:r w:rsidRPr="00921CAD">
        <w:rPr>
          <w:color w:val="000000" w:themeColor="text1"/>
        </w:rPr>
        <w:t> </w:t>
      </w:r>
      <w:r w:rsidRPr="00921CAD">
        <w:rPr>
          <w:rFonts w:ascii="Palatino Linotype" w:hAnsi="Palatino Linotype"/>
          <w:color w:val="000000" w:themeColor="text1"/>
        </w:rPr>
        <w:t>°C for 3</w:t>
      </w:r>
      <w:r w:rsidRPr="00921CAD">
        <w:rPr>
          <w:color w:val="000000" w:themeColor="text1"/>
        </w:rPr>
        <w:t> </w:t>
      </w:r>
      <w:r w:rsidRPr="00921CAD">
        <w:rPr>
          <w:rFonts w:ascii="Palatino Linotype" w:hAnsi="Palatino Linotype"/>
          <w:color w:val="000000" w:themeColor="text1"/>
        </w:rPr>
        <w:t>min, followed by 21 cycles at 94</w:t>
      </w:r>
      <w:r w:rsidRPr="00921CAD">
        <w:rPr>
          <w:color w:val="000000" w:themeColor="text1"/>
        </w:rPr>
        <w:t> </w:t>
      </w:r>
      <w:r w:rsidRPr="00921CAD">
        <w:rPr>
          <w:rFonts w:ascii="Palatino Linotype" w:hAnsi="Palatino Linotype"/>
          <w:color w:val="000000" w:themeColor="text1"/>
        </w:rPr>
        <w:t>°C for 30</w:t>
      </w:r>
      <w:r w:rsidRPr="00921CAD">
        <w:rPr>
          <w:color w:val="000000" w:themeColor="text1"/>
        </w:rPr>
        <w:t> </w:t>
      </w:r>
      <w:r w:rsidRPr="00921CAD">
        <w:rPr>
          <w:rFonts w:ascii="Palatino Linotype" w:hAnsi="Palatino Linotype"/>
          <w:color w:val="000000" w:themeColor="text1"/>
        </w:rPr>
        <w:t>s, 50</w:t>
      </w:r>
      <w:r w:rsidRPr="00921CAD">
        <w:rPr>
          <w:color w:val="000000" w:themeColor="text1"/>
        </w:rPr>
        <w:t> </w:t>
      </w:r>
      <w:r w:rsidRPr="00921CAD">
        <w:rPr>
          <w:rFonts w:ascii="Palatino Linotype" w:hAnsi="Palatino Linotype"/>
          <w:color w:val="000000" w:themeColor="text1"/>
        </w:rPr>
        <w:t>°C for 45</w:t>
      </w:r>
      <w:r w:rsidRPr="00921CAD">
        <w:rPr>
          <w:color w:val="000000" w:themeColor="text1"/>
        </w:rPr>
        <w:t> </w:t>
      </w:r>
      <w:r w:rsidRPr="00921CAD">
        <w:rPr>
          <w:rFonts w:ascii="Palatino Linotype" w:hAnsi="Palatino Linotype"/>
          <w:color w:val="000000" w:themeColor="text1"/>
        </w:rPr>
        <w:t>s, and 72</w:t>
      </w:r>
      <w:r w:rsidRPr="00921CAD">
        <w:rPr>
          <w:color w:val="000000" w:themeColor="text1"/>
        </w:rPr>
        <w:t> </w:t>
      </w:r>
      <w:r w:rsidRPr="00921CAD">
        <w:rPr>
          <w:rFonts w:ascii="Palatino Linotype" w:hAnsi="Palatino Linotype"/>
          <w:color w:val="000000" w:themeColor="text1"/>
        </w:rPr>
        <w:t>°C for 90</w:t>
      </w:r>
      <w:r w:rsidRPr="00921CAD">
        <w:rPr>
          <w:color w:val="000000" w:themeColor="text1"/>
        </w:rPr>
        <w:t> </w:t>
      </w:r>
      <w:r w:rsidRPr="00921CAD">
        <w:rPr>
          <w:rFonts w:ascii="Palatino Linotype" w:hAnsi="Palatino Linotype"/>
          <w:color w:val="000000" w:themeColor="text1"/>
        </w:rPr>
        <w:t>s, and final extension at 72</w:t>
      </w:r>
      <w:r w:rsidRPr="00921CAD">
        <w:rPr>
          <w:color w:val="000000" w:themeColor="text1"/>
        </w:rPr>
        <w:t> </w:t>
      </w:r>
      <w:r w:rsidRPr="00921CAD">
        <w:rPr>
          <w:rFonts w:ascii="Palatino Linotype" w:hAnsi="Palatino Linotype"/>
          <w:color w:val="000000" w:themeColor="text1"/>
        </w:rPr>
        <w:t>°C for 5</w:t>
      </w:r>
      <w:r w:rsidRPr="00921CAD">
        <w:rPr>
          <w:color w:val="000000" w:themeColor="text1"/>
        </w:rPr>
        <w:t> </w:t>
      </w:r>
      <w:r w:rsidRPr="00921CAD">
        <w:rPr>
          <w:rFonts w:ascii="Palatino Linotype" w:hAnsi="Palatino Linotype"/>
          <w:color w:val="000000" w:themeColor="text1"/>
        </w:rPr>
        <w:t xml:space="preserve">min. The PCR amplicons were cleaned by electrophoresis and with a Wizard SV Gel and PCR Clean-Up System (Promega, USA), quantified fluorescently with a Qubit dsDNA HS kit (Life Technologies Inc., USA), and pooled at equimolar concentration. Libraries were checked for </w:t>
      </w:r>
      <w:r w:rsidR="00FE7C1C" w:rsidRPr="00921CAD">
        <w:rPr>
          <w:rFonts w:ascii="Palatino Linotype" w:hAnsi="Palatino Linotype"/>
          <w:color w:val="000000" w:themeColor="text1"/>
        </w:rPr>
        <w:t xml:space="preserve">quality in terms of </w:t>
      </w:r>
      <w:r w:rsidRPr="00921CAD">
        <w:rPr>
          <w:rFonts w:ascii="Palatino Linotype" w:hAnsi="Palatino Linotype"/>
          <w:color w:val="000000" w:themeColor="text1"/>
        </w:rPr>
        <w:t>concentration and amplicon size using an Agilent 2100 Bioanalyzer (Agilent Technologies, USA) and sequenced on an Illumina MiSeq platform (Illumina, Inc</w:t>
      </w:r>
      <w:r w:rsidR="00FE7C1C" w:rsidRPr="00921CAD">
        <w:rPr>
          <w:rFonts w:ascii="Palatino Linotype" w:hAnsi="Palatino Linotype"/>
          <w:color w:val="000000" w:themeColor="text1"/>
        </w:rPr>
        <w:t>.</w:t>
      </w:r>
      <w:r w:rsidRPr="00921CAD">
        <w:rPr>
          <w:rFonts w:ascii="Palatino Linotype" w:hAnsi="Palatino Linotype"/>
          <w:color w:val="000000" w:themeColor="text1"/>
        </w:rPr>
        <w:t>, USA).</w:t>
      </w:r>
    </w:p>
    <w:p w14:paraId="4BF9FCAC" w14:textId="15EBF308" w:rsidR="005170DD" w:rsidRPr="00921CAD" w:rsidRDefault="005170DD" w:rsidP="00A60591">
      <w:pPr>
        <w:rPr>
          <w:rFonts w:ascii="Palatino Linotype" w:hAnsi="Palatino Linotype"/>
          <w:color w:val="000000" w:themeColor="text1"/>
        </w:rPr>
      </w:pPr>
      <w:r w:rsidRPr="00921CAD">
        <w:rPr>
          <w:rFonts w:ascii="Palatino Linotype" w:hAnsi="Palatino Linotype"/>
          <w:color w:val="000000" w:themeColor="text1"/>
        </w:rPr>
        <w:tab/>
      </w:r>
      <w:r w:rsidR="00823156" w:rsidRPr="00921CAD">
        <w:rPr>
          <w:rFonts w:ascii="Palatino Linotype" w:hAnsi="Palatino Linotype"/>
          <w:color w:val="000000" w:themeColor="text1"/>
        </w:rPr>
        <w:t xml:space="preserve">Sequence data were processed using a combination of the UPARSE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{"citationItems":[{"id":"ITEM-1","itemData":{"DOI":"10.1038/nmeth.2604","ISBN":"1548-7105","ISSN":"1548-7105","PMID":"23955772","abstract":"Amplified marker-gene sequences can be used to understand microbial community structure, but they suffer from a high level of sequencing and amplification artifacts. The UPARSE pipeline reports operational taxonomic unit (OTU) sequences with ≤1% incorrect bases in artificial microbial community tests, compared with &gt;3% incorrect bases commonly reported by other methods. The improved accuracy results in far fewer OTUs, consistently closer to the expected number of species in a community.","author":[{"dropping-particle":"","family":"Edgar","given":"Robert C","non-dropping-particle":"","parse-names":false,"suffix":""}],"container-title":"Nature Methods","id":"ITEM-1","issue":"10","issued":{"date-parts":[["2013"]]},"page":"996-8","title":"UPARSE: highly accurate OTU sequences from microbial amplicon reads.","type":"article-journal","volume":"10"},"uris":["http://www.mendeley.com/documents/?uuid=8c87330d-3aad-410a-a56f-59216ca54489"]}],"mendeley":{"formattedCitation":"(Edgar 2013)","plainTextFormattedCitation":"(Edgar 2013)","previouslyFormattedCitation":"(Edgar 2013)"},"properties":{"noteIndex":0},"schema":"https://github.com/citation-style-language/schema/raw/master/csl-citation.json"}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(Edgar 2013)</w:t>
      </w:r>
      <w:r w:rsidR="001824B8"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and QIIME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{"citationItems":[{"id":"ITEM-1","itemData":{"DOI":"10.1073/pnas.1000080107","ISBN":"0027-8424","ISSN":"0027-8424","PMID":"20534432","abstract":"The ongoing revolution in high-throughput sequencing continues to democratize the ability of small groups of investigators to map the microbial component of the biosphere. In particular, the coevolution of new sequencing platforms and new software tools allows data acquisition and analysis on an unprecedented scale. Here we report the next stage in this coevolutionary arms race, using the Illumina GAIIx platform to sequence a diverse array of 25 environmental samples and three known \"mock communities\" at a depth averaging 3.1 million reads per sample. We demonstrate excellent consistency in taxonomic recovery and recapture diversity patterns that were previously reported on the basis of metaanalysis of many studies from the literature (notably, the saline/nonsaline split in environmental samples and the split between host-associated and free-living communities). We also demonstrate that 2,000 Illumina single-end reads are sufficient to recapture the same relationships among samples that we observe with the full dataset. The results thus open up the possibility of conducting large-scale studies analyzing thousands of samples simultaneously to survey microbial communities at an unprecedented spatial and temporal resolution.","author":[{"dropping-particle":"","family":"Caporaso","given":"J. G.","non-dropping-particle":"","parse-names":false,"suffix":""},{"dropping-particle":"","family":"Lauber","given":"C. L.","non-dropping-particle":"","parse-names":false,"suffix":""},{"dropping-particle":"","family":"Walters","given":"W. A.","non-dropping-particle":"","parse-names":false,"suffix":""},{"dropping-particle":"","family":"Berg-Lyons","given":"D.","non-dropping-particle":"","parse-names":false,"suffix":""},{"dropping-particle":"","family":"Lozupone","given":"C. A.","non-dropping-particle":"","parse-names":false,"suffix":""},{"dropping-particle":"","family":"Turnbaugh","given":"P. J.","non-dropping-particle":"","parse-names":false,"suffix":""},{"dropping-particle":"","family":"Fierer","given":"N.","non-dropping-particle":"","parse-names":false,"suffix":""},{"dropping-particle":"","family":"Knight","given":"R.","non-dropping-particle":"","parse-names":false,"suffix":""}],"container-title":"Proceedings of the National Academy of Sciences","id":"ITEM-1","issue":"Supplement_1","issued":{"date-parts":[["2011"]]},"page":"4516-4522","title":"Global patterns of 16S rRNA diversity at a depth of millions of sequences per sample","type":"article-journal","volume":"108"},"uris":["http://www.mendeley.com/documents/?uuid=c594c29d-3bc2-40c3-b320-5f2878efff91"]}],"mendeley":{"formattedCitation":"(Caporaso &lt;i&gt;et al.&lt;/i&gt; 2011)","plainTextFormattedCitation":"(Caporaso et al. 2011)","previouslyFormattedCitation":"(Caporaso &lt;i&gt;et al.&lt;/i&gt; 2011)"},"properties":{"noteIndex":0},"schema":"https://github.com/citation-style-language/schema/raw/master/csl-citation.json"}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(Caporaso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2011)</w:t>
      </w:r>
      <w:r w:rsidR="001824B8" w:rsidRPr="00921CAD">
        <w:rPr>
          <w:rFonts w:ascii="Palatino Linotype" w:hAnsi="Palatino Linotype"/>
          <w:color w:val="000000" w:themeColor="text1"/>
        </w:rPr>
        <w:fldChar w:fldCharType="end"/>
      </w:r>
      <w:r w:rsidR="00823156" w:rsidRPr="00921CAD">
        <w:rPr>
          <w:rFonts w:ascii="Palatino Linotype" w:hAnsi="Palatino Linotype"/>
          <w:color w:val="000000" w:themeColor="text1"/>
        </w:rPr>
        <w:t xml:space="preserve"> pipelines. The UPARSE pipeline was used to merge the de-multiplexed sequences, conduct quality filtering, and cluster sequences into operational taxonomic units (OTUs). Briefly, we set a minimum overlap </w:t>
      </w:r>
      <w:r w:rsidR="003A01E4" w:rsidRPr="00921CAD">
        <w:rPr>
          <w:rFonts w:ascii="Palatino Linotype" w:hAnsi="Palatino Linotype"/>
          <w:color w:val="000000" w:themeColor="text1"/>
        </w:rPr>
        <w:t xml:space="preserve">of </w:t>
      </w:r>
      <w:r w:rsidR="00823156" w:rsidRPr="00921CAD">
        <w:rPr>
          <w:rFonts w:ascii="Palatino Linotype" w:hAnsi="Palatino Linotype"/>
          <w:color w:val="000000" w:themeColor="text1"/>
        </w:rPr>
        <w:t xml:space="preserve">30 bp for merging paired-end </w:t>
      </w:r>
      <w:r w:rsidR="003A01E4" w:rsidRPr="00921CAD">
        <w:rPr>
          <w:rFonts w:ascii="Palatino Linotype" w:hAnsi="Palatino Linotype"/>
          <w:color w:val="000000" w:themeColor="text1"/>
        </w:rPr>
        <w:t xml:space="preserve">reads, </w:t>
      </w:r>
      <w:r w:rsidR="00823156" w:rsidRPr="00921CAD">
        <w:rPr>
          <w:rFonts w:ascii="Palatino Linotype" w:hAnsi="Palatino Linotype"/>
          <w:color w:val="000000" w:themeColor="text1"/>
        </w:rPr>
        <w:t xml:space="preserve">and </w:t>
      </w:r>
      <w:r w:rsidR="003A01E4" w:rsidRPr="00921CAD">
        <w:rPr>
          <w:rFonts w:ascii="Palatino Linotype" w:hAnsi="Palatino Linotype"/>
          <w:color w:val="000000" w:themeColor="text1"/>
        </w:rPr>
        <w:t xml:space="preserve">the </w:t>
      </w:r>
      <w:r w:rsidR="00823156" w:rsidRPr="00921CAD">
        <w:rPr>
          <w:rFonts w:ascii="Palatino Linotype" w:hAnsi="Palatino Linotype"/>
          <w:color w:val="000000" w:themeColor="text1"/>
        </w:rPr>
        <w:t xml:space="preserve">minimum length of merged reads </w:t>
      </w:r>
      <w:r w:rsidR="003A01E4" w:rsidRPr="00921CAD">
        <w:rPr>
          <w:rFonts w:ascii="Palatino Linotype" w:hAnsi="Palatino Linotype"/>
          <w:color w:val="000000" w:themeColor="text1"/>
        </w:rPr>
        <w:t xml:space="preserve">was set as </w:t>
      </w:r>
      <w:r w:rsidR="00823156" w:rsidRPr="00921CAD">
        <w:rPr>
          <w:rFonts w:ascii="Palatino Linotype" w:hAnsi="Palatino Linotype"/>
          <w:color w:val="000000" w:themeColor="text1"/>
        </w:rPr>
        <w:t xml:space="preserve">200 bp. </w:t>
      </w:r>
      <w:r w:rsidR="004D64B4" w:rsidRPr="00921CAD">
        <w:rPr>
          <w:rFonts w:ascii="Palatino Linotype" w:hAnsi="Palatino Linotype"/>
          <w:color w:val="000000" w:themeColor="text1"/>
        </w:rPr>
        <w:t xml:space="preserve">A maximum number of expected errors (E_max) of 0.5 was </w:t>
      </w:r>
      <w:r w:rsidR="00823156" w:rsidRPr="00921CAD">
        <w:rPr>
          <w:rFonts w:ascii="Palatino Linotype" w:hAnsi="Palatino Linotype"/>
          <w:color w:val="000000" w:themeColor="text1"/>
        </w:rPr>
        <w:t xml:space="preserve">used to quality-filter sequences, and singletons were removed to reduce sequencing noise. OTU clustering was performed at </w:t>
      </w:r>
      <w:r w:rsidR="00E422DA" w:rsidRPr="00921CAD">
        <w:rPr>
          <w:rFonts w:ascii="Palatino Linotype" w:hAnsi="Palatino Linotype"/>
          <w:color w:val="000000" w:themeColor="text1"/>
        </w:rPr>
        <w:t>&gt;</w:t>
      </w:r>
      <w:r w:rsidR="00823156" w:rsidRPr="00921CAD">
        <w:rPr>
          <w:rFonts w:ascii="Palatino Linotype" w:hAnsi="Palatino Linotype"/>
          <w:color w:val="000000" w:themeColor="text1"/>
        </w:rPr>
        <w:t xml:space="preserve">97% sequence similarity, and </w:t>
      </w:r>
      <w:r w:rsidR="00B54435" w:rsidRPr="00921CAD">
        <w:rPr>
          <w:rFonts w:ascii="Palatino Linotype" w:hAnsi="Palatino Linotype"/>
          <w:color w:val="000000" w:themeColor="text1"/>
        </w:rPr>
        <w:t xml:space="preserve">chimeric </w:t>
      </w:r>
      <w:r w:rsidR="00823156" w:rsidRPr="00921CAD">
        <w:rPr>
          <w:rFonts w:ascii="Palatino Linotype" w:hAnsi="Palatino Linotype"/>
          <w:color w:val="000000" w:themeColor="text1"/>
        </w:rPr>
        <w:t xml:space="preserve">sequences were removed. The taxonomy of representative sequences of each OTU was assigned in the QIIME pipeline using the RDP classifier at </w:t>
      </w:r>
      <w:r w:rsidR="004D64B4" w:rsidRPr="00921CAD">
        <w:rPr>
          <w:rFonts w:ascii="Palatino Linotype" w:hAnsi="Palatino Linotype"/>
          <w:color w:val="000000" w:themeColor="text1"/>
        </w:rPr>
        <w:t xml:space="preserve">an </w:t>
      </w:r>
      <w:r w:rsidR="00823156" w:rsidRPr="00921CAD">
        <w:rPr>
          <w:rFonts w:ascii="Palatino Linotype" w:hAnsi="Palatino Linotype"/>
          <w:color w:val="000000" w:themeColor="text1"/>
        </w:rPr>
        <w:t xml:space="preserve">80% confidence threshold trained on the Greengenes database (version 13_08). Chloroplast and mitochondrial OTUs (i.e., plant-derived sequences) and unidentified OTUs at </w:t>
      </w:r>
      <w:r w:rsidR="004D64B4" w:rsidRPr="00921CAD">
        <w:rPr>
          <w:rFonts w:ascii="Palatino Linotype" w:hAnsi="Palatino Linotype"/>
          <w:color w:val="000000" w:themeColor="text1"/>
        </w:rPr>
        <w:t xml:space="preserve">the kingdom </w:t>
      </w:r>
      <w:r w:rsidR="00823156" w:rsidRPr="00921CAD">
        <w:rPr>
          <w:rFonts w:ascii="Palatino Linotype" w:hAnsi="Palatino Linotype"/>
          <w:color w:val="000000" w:themeColor="text1"/>
        </w:rPr>
        <w:t xml:space="preserve">level were excluded. </w:t>
      </w:r>
      <w:r w:rsidR="001D16CD" w:rsidRPr="00921CAD">
        <w:rPr>
          <w:rFonts w:ascii="Palatino Linotype" w:hAnsi="Palatino Linotype"/>
          <w:color w:val="000000" w:themeColor="text1"/>
        </w:rPr>
        <w:t xml:space="preserve">A total of </w:t>
      </w:r>
      <w:r w:rsidR="002C26C5" w:rsidRPr="00921CAD">
        <w:rPr>
          <w:rFonts w:ascii="Palatino Linotype" w:hAnsi="Palatino Linotype"/>
          <w:color w:val="000000" w:themeColor="text1"/>
        </w:rPr>
        <w:t xml:space="preserve">1,588,970 </w:t>
      </w:r>
      <w:r w:rsidR="001D16CD" w:rsidRPr="00921CAD">
        <w:rPr>
          <w:rFonts w:ascii="Palatino Linotype" w:hAnsi="Palatino Linotype"/>
          <w:color w:val="000000" w:themeColor="text1"/>
        </w:rPr>
        <w:t>(1</w:t>
      </w:r>
      <w:r w:rsidR="002C26C5" w:rsidRPr="00921CAD">
        <w:rPr>
          <w:rFonts w:ascii="Palatino Linotype" w:hAnsi="Palatino Linotype"/>
          <w:color w:val="000000" w:themeColor="text1"/>
        </w:rPr>
        <w:t>7</w:t>
      </w:r>
      <w:r w:rsidR="001D16CD" w:rsidRPr="00921CAD">
        <w:rPr>
          <w:rFonts w:ascii="Palatino Linotype" w:hAnsi="Palatino Linotype"/>
          <w:color w:val="000000" w:themeColor="text1"/>
        </w:rPr>
        <w:t>,</w:t>
      </w:r>
      <w:r w:rsidR="002C26C5" w:rsidRPr="00921CAD">
        <w:rPr>
          <w:rFonts w:ascii="Palatino Linotype" w:hAnsi="Palatino Linotype"/>
          <w:color w:val="000000" w:themeColor="text1"/>
        </w:rPr>
        <w:t>878</w:t>
      </w:r>
      <w:r w:rsidR="001D16CD" w:rsidRPr="00921CAD">
        <w:rPr>
          <w:rFonts w:ascii="Palatino Linotype" w:hAnsi="Palatino Linotype"/>
          <w:color w:val="000000" w:themeColor="text1"/>
        </w:rPr>
        <w:t>–</w:t>
      </w:r>
      <w:r w:rsidR="002C26C5" w:rsidRPr="00921CAD">
        <w:rPr>
          <w:rFonts w:ascii="Palatino Linotype" w:hAnsi="Palatino Linotype"/>
          <w:color w:val="000000" w:themeColor="text1"/>
        </w:rPr>
        <w:t>94,756</w:t>
      </w:r>
      <w:r w:rsidR="001D16CD"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and </w:t>
      </w:r>
      <w:r w:rsidR="002C41BB" w:rsidRPr="00921CAD">
        <w:rPr>
          <w:rFonts w:ascii="Palatino Linotype" w:hAnsi="Palatino Linotype"/>
          <w:color w:val="000000" w:themeColor="text1"/>
        </w:rPr>
        <w:t>1,011,690</w:t>
      </w:r>
      <w:r w:rsidRPr="00921CAD">
        <w:rPr>
          <w:rFonts w:ascii="Palatino Linotype" w:hAnsi="Palatino Linotype"/>
          <w:color w:val="000000" w:themeColor="text1"/>
        </w:rPr>
        <w:t xml:space="preserve"> (</w:t>
      </w:r>
      <w:r w:rsidR="002C41BB" w:rsidRPr="00921CAD">
        <w:rPr>
          <w:rFonts w:ascii="Palatino Linotype" w:hAnsi="Palatino Linotype"/>
          <w:color w:val="000000" w:themeColor="text1"/>
        </w:rPr>
        <w:t>13,572</w:t>
      </w:r>
      <w:r w:rsidRPr="00921CAD">
        <w:rPr>
          <w:rFonts w:ascii="Palatino Linotype" w:hAnsi="Palatino Linotype"/>
          <w:color w:val="000000" w:themeColor="text1"/>
        </w:rPr>
        <w:t>-</w:t>
      </w:r>
      <w:r w:rsidR="002C41BB" w:rsidRPr="00921CAD">
        <w:rPr>
          <w:rFonts w:ascii="Palatino Linotype" w:hAnsi="Palatino Linotype"/>
          <w:color w:val="000000" w:themeColor="text1"/>
        </w:rPr>
        <w:t>142,157</w:t>
      </w:r>
      <w:r w:rsidRPr="00921CAD">
        <w:rPr>
          <w:rFonts w:ascii="Palatino Linotype" w:hAnsi="Palatino Linotype"/>
          <w:color w:val="000000" w:themeColor="text1"/>
        </w:rPr>
        <w:t xml:space="preserve">) </w:t>
      </w:r>
      <w:r w:rsidR="001D16CD" w:rsidRPr="00921CAD">
        <w:rPr>
          <w:rFonts w:ascii="Palatino Linotype" w:hAnsi="Palatino Linotype"/>
          <w:color w:val="000000" w:themeColor="text1"/>
        </w:rPr>
        <w:t xml:space="preserve">sequences were obtained from </w:t>
      </w:r>
      <w:r w:rsidRPr="00921CAD">
        <w:rPr>
          <w:rFonts w:ascii="Palatino Linotype" w:hAnsi="Palatino Linotype"/>
          <w:color w:val="000000" w:themeColor="text1"/>
        </w:rPr>
        <w:t>55</w:t>
      </w:r>
      <w:r w:rsidR="001D16CD"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and </w:t>
      </w:r>
      <w:r w:rsidR="002C41BB" w:rsidRPr="00921CAD">
        <w:rPr>
          <w:rFonts w:ascii="Palatino Linotype" w:hAnsi="Palatino Linotype"/>
          <w:color w:val="000000" w:themeColor="text1"/>
        </w:rPr>
        <w:t>30</w:t>
      </w:r>
      <w:r w:rsidRPr="00921CAD">
        <w:rPr>
          <w:rFonts w:ascii="Palatino Linotype" w:hAnsi="Palatino Linotype"/>
          <w:color w:val="000000" w:themeColor="text1"/>
        </w:rPr>
        <w:t xml:space="preserve"> </w:t>
      </w:r>
      <w:r w:rsidR="001D16CD" w:rsidRPr="00921CAD">
        <w:rPr>
          <w:rFonts w:ascii="Palatino Linotype" w:hAnsi="Palatino Linotype"/>
          <w:color w:val="000000" w:themeColor="text1"/>
        </w:rPr>
        <w:t xml:space="preserve">samples </w:t>
      </w:r>
      <w:r w:rsidRPr="00921CAD">
        <w:rPr>
          <w:rFonts w:ascii="Palatino Linotype" w:hAnsi="Palatino Linotype"/>
          <w:color w:val="000000" w:themeColor="text1"/>
        </w:rPr>
        <w:t>for the field survey and water-manipulation experiment samples, respectively</w:t>
      </w:r>
      <w:r w:rsidR="001D16CD" w:rsidRPr="00921CAD">
        <w:rPr>
          <w:rFonts w:ascii="Palatino Linotype" w:hAnsi="Palatino Linotype"/>
          <w:color w:val="000000" w:themeColor="text1"/>
        </w:rPr>
        <w:t xml:space="preserve">. </w:t>
      </w:r>
      <w:r w:rsidR="00823156" w:rsidRPr="00921CAD">
        <w:rPr>
          <w:rFonts w:ascii="Palatino Linotype" w:hAnsi="Palatino Linotype"/>
          <w:color w:val="000000" w:themeColor="text1"/>
        </w:rPr>
        <w:t xml:space="preserve">The number of sequences per sample was rarefied to </w:t>
      </w:r>
      <w:r w:rsidR="00511F0F" w:rsidRPr="00921CAD">
        <w:rPr>
          <w:rFonts w:ascii="Palatino Linotype" w:hAnsi="Palatino Linotype"/>
          <w:color w:val="000000" w:themeColor="text1"/>
        </w:rPr>
        <w:t xml:space="preserve">the minimum depth within </w:t>
      </w:r>
      <w:r w:rsidR="00533956" w:rsidRPr="00921CAD">
        <w:rPr>
          <w:rFonts w:ascii="Palatino Linotype" w:hAnsi="Palatino Linotype"/>
          <w:color w:val="000000" w:themeColor="text1"/>
        </w:rPr>
        <w:t xml:space="preserve">the </w:t>
      </w:r>
      <w:r w:rsidR="00511F0F" w:rsidRPr="00921CAD">
        <w:rPr>
          <w:rFonts w:ascii="Palatino Linotype" w:hAnsi="Palatino Linotype"/>
          <w:color w:val="000000" w:themeColor="text1"/>
        </w:rPr>
        <w:t>samples (</w:t>
      </w:r>
      <w:r w:rsidR="00823156" w:rsidRPr="00921CAD">
        <w:rPr>
          <w:rFonts w:ascii="Palatino Linotype" w:hAnsi="Palatino Linotype"/>
          <w:color w:val="000000" w:themeColor="text1"/>
        </w:rPr>
        <w:t>17,800</w:t>
      </w:r>
      <w:r w:rsidR="009D7301" w:rsidRPr="00921CAD">
        <w:rPr>
          <w:rFonts w:ascii="Palatino Linotype" w:hAnsi="Palatino Linotype"/>
          <w:color w:val="000000" w:themeColor="text1"/>
        </w:rPr>
        <w:t xml:space="preserve"> for the field survey samples or 13,000 for manipulation experiment samples</w:t>
      </w:r>
      <w:r w:rsidR="00511F0F" w:rsidRPr="00921CAD">
        <w:rPr>
          <w:rFonts w:ascii="Palatino Linotype" w:hAnsi="Palatino Linotype"/>
          <w:color w:val="000000" w:themeColor="text1"/>
        </w:rPr>
        <w:t>)</w:t>
      </w:r>
      <w:r w:rsidR="00823156" w:rsidRPr="00921CAD">
        <w:rPr>
          <w:rFonts w:ascii="Palatino Linotype" w:hAnsi="Palatino Linotype"/>
          <w:color w:val="000000" w:themeColor="text1"/>
        </w:rPr>
        <w:t xml:space="preserve"> by random sampling within the QIIME pipeline. </w:t>
      </w:r>
      <w:r w:rsidR="002C41BB" w:rsidRPr="00921CAD">
        <w:rPr>
          <w:rFonts w:ascii="Palatino Linotype" w:hAnsi="Palatino Linotype"/>
          <w:color w:val="000000" w:themeColor="text1"/>
        </w:rPr>
        <w:t xml:space="preserve">The OTUs’ </w:t>
      </w:r>
      <w:r w:rsidR="002C41BB" w:rsidRPr="00921CAD">
        <w:rPr>
          <w:rFonts w:ascii="Palatino Linotype" w:hAnsi="Palatino Linotype"/>
          <w:color w:val="000000" w:themeColor="text1"/>
        </w:rPr>
        <w:lastRenderedPageBreak/>
        <w:t>sequences were aligned with PyNAST and a phylogenetic tree was constructed with FastTree after the aligned sequences were filtered with the default lanemask file within QIIME.</w:t>
      </w:r>
    </w:p>
    <w:p w14:paraId="6E28BE57" w14:textId="0A4D9A09" w:rsidR="005170DD" w:rsidRPr="00921CAD" w:rsidRDefault="005170DD" w:rsidP="00A60591">
      <w:pPr>
        <w:ind w:firstLine="720"/>
        <w:rPr>
          <w:rFonts w:ascii="Palatino Linotype" w:hAnsi="Palatino Linotype"/>
          <w:color w:val="000000" w:themeColor="text1"/>
        </w:rPr>
      </w:pPr>
      <w:r w:rsidRPr="00921CAD">
        <w:rPr>
          <w:rFonts w:ascii="Palatino Linotype" w:hAnsi="Palatino Linotype"/>
          <w:color w:val="000000" w:themeColor="text1"/>
        </w:rPr>
        <w:t>PCR primers for quantifying microbial genes responsible for litter degradation and NH</w:t>
      </w:r>
      <w:r w:rsidRPr="00921CAD">
        <w:rPr>
          <w:rFonts w:ascii="Palatino Linotype" w:hAnsi="Palatino Linotype"/>
          <w:color w:val="000000" w:themeColor="text1"/>
          <w:vertAlign w:val="subscript"/>
        </w:rPr>
        <w:t>4</w:t>
      </w:r>
      <w:r w:rsidRPr="00921CAD">
        <w:rPr>
          <w:rFonts w:ascii="Palatino Linotype" w:hAnsi="Palatino Linotype"/>
          <w:color w:val="000000" w:themeColor="text1"/>
          <w:vertAlign w:val="superscript"/>
        </w:rPr>
        <w:t>+</w:t>
      </w:r>
      <w:r w:rsidRPr="00921CAD">
        <w:rPr>
          <w:rFonts w:ascii="Palatino Linotype" w:hAnsi="Palatino Linotype"/>
          <w:color w:val="000000" w:themeColor="text1"/>
        </w:rPr>
        <w:t xml:space="preserve"> production have not been developed, unlike </w:t>
      </w:r>
      <w:r w:rsidRPr="00921CAD">
        <w:rPr>
          <w:rFonts w:ascii="Palatino Linotype" w:hAnsi="Palatino Linotype"/>
          <w:i/>
          <w:color w:val="000000" w:themeColor="text1"/>
        </w:rPr>
        <w:t>amoA</w:t>
      </w:r>
      <w:r w:rsidRPr="00921CAD">
        <w:rPr>
          <w:rFonts w:ascii="Palatino Linotype" w:hAnsi="Palatino Linotype"/>
          <w:color w:val="000000" w:themeColor="text1"/>
        </w:rPr>
        <w:t xml:space="preserve"> in nitrification and </w:t>
      </w:r>
      <w:r w:rsidRPr="00921CAD">
        <w:rPr>
          <w:rFonts w:ascii="Palatino Linotype" w:hAnsi="Palatino Linotype"/>
          <w:i/>
          <w:color w:val="000000" w:themeColor="text1"/>
        </w:rPr>
        <w:t>nirK</w:t>
      </w:r>
      <w:r w:rsidRPr="00921CAD">
        <w:rPr>
          <w:rFonts w:ascii="Palatino Linotype" w:hAnsi="Palatino Linotype"/>
          <w:color w:val="000000" w:themeColor="text1"/>
        </w:rPr>
        <w:t xml:space="preserve"> and </w:t>
      </w:r>
      <w:r w:rsidRPr="00921CAD">
        <w:rPr>
          <w:rFonts w:ascii="Palatino Linotype" w:hAnsi="Palatino Linotype"/>
          <w:i/>
          <w:color w:val="000000" w:themeColor="text1"/>
        </w:rPr>
        <w:t>nirS</w:t>
      </w:r>
      <w:r w:rsidRPr="00921CAD">
        <w:rPr>
          <w:rFonts w:ascii="Palatino Linotype" w:hAnsi="Palatino Linotype"/>
          <w:color w:val="000000" w:themeColor="text1"/>
        </w:rPr>
        <w:t xml:space="preserve"> in denitrification. Thus, to estimate the abundance of these microbial genes, we used PICRUSt (Phylogenetic Investigation of Communities by Reconstruction of Unobserved States)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{"citationItems":[{"id":"ITEM-1","itemData":{"DOI":"10.1038/nbt.2676","ISBN":"1546-1696 (Electronic)\\r1087-0156 (Linking)","ISSN":"1546-1696","PMID":"23975157","abstract":"Profiling phylogenetic marker genes, such as the 16S rRNA gene, is a key tool for studies of microbial communities but does not provide direct evidence of a community's functional capabilities. Here we describe PICRUSt (phylogenetic investigation of communities by reconstruction of unobserved states), a computational approach to predict the functional composition of a metagenome using marker gene data and a database of reference genomes. PICRUSt uses an extended ancestral-state reconstruction algorithm to predict which gene families are present and then combines gene families to estimate the composite metagenome. Using 16S information, PICRUSt recaptures key findings from the Human Microbiome Project and accurately predicts the abundance of gene families in host-associated and environmental communities, with quantifiable uncertainty. Our results demonstrate that phylogeny and function are sufficiently linked that this 'predictive metagenomic' approach should provide useful insights into the thousands of uncultivated microbial communities for which only marker gene surveys are currently available.","author":[{"dropping-particle":"","family":"Langille","given":"Mgi","non-dropping-particle":"","parse-names":false,"suffix":""},{"dropping-particle":"","family":"Zaneveld","given":"J","non-dropping-particle":"","parse-names":false,"suffix":""},{"dropping-particle":"","family":"Caporaso","given":"J G","non-dropping-particle":"","parse-names":false,"suffix":""},{"dropping-particle":"","family":"McDonald","given":"D","non-dropping-particle":"","parse-names":false,"suffix":""},{"dropping-particle":"","family":"Knights","given":"D","non-dropping-particle":"","parse-names":false,"suffix":""},{"dropping-particle":"","family":"Reyes","given":"Ja","non-dropping-particle":"","parse-names":false,"suffix":""},{"dropping-particle":"","family":"Clemente","given":"Jc","non-dropping-particle":"","parse-names":false,"suffix":""},{"dropping-particle":"","family":"Burkepile","given":"De","non-dropping-particle":"","parse-names":false,"suffix":""},{"dropping-particle":"","family":"Vega Thurber","given":"Rl","non-dropping-particle":"","parse-names":false,"suffix":""},{"dropping-particle":"","family":"Knight","given":"R","non-dropping-particle":"","parse-names":false,"suffix":""},{"dropping-particle":"","family":"Beiko","given":"Rg","non-dropping-particle":"","parse-names":false,"suffix":""},{"dropping-particle":"","family":"Huttenhower","given":"C","non-dropping-particle":"","parse-names":false,"suffix":""}],"container-title":"Nature biotechnology","id":"ITEM-1","issue":"9","issued":{"date-parts":[["2013"]]},"page":"814-21","publisher":"Nature Publishing Group","title":"Predictive functional profiling of microbial communities using 16S rRNA marker gene sequences.","type":"article-journal","volume":"31"},"uris":["http://www.mendeley.com/documents/?uuid=733f2e31-fab5-4bae-a9e5-3f025396620c"]}],"mendeley":{"formattedCitation":"(Langille &lt;i&gt;et al.&lt;/i&gt; 2013)","plainTextFormattedCitation":"(Langille et al. 2013)","previouslyFormattedCitation":"(Langille &lt;i&gt;et al.&lt;/i&gt; 2013)"},"properties":{"noteIndex":0},"schema":"https://github.com/citation-style-language/schema/raw/master/csl-citation.json"}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(Langille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2013)</w:t>
      </w:r>
      <w:r w:rsidR="001824B8"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which was designed to computationally infer metagenome functional contents from 16S rRNA gene sequences. To perform PICRUSt, the taxonomy of the representative sequences of each OTU in the 17,800 </w:t>
      </w:r>
      <w:r w:rsidR="006B5FAD" w:rsidRPr="00921CAD">
        <w:rPr>
          <w:rFonts w:ascii="Palatino Linotype" w:hAnsi="Palatino Linotype"/>
          <w:color w:val="000000" w:themeColor="text1"/>
        </w:rPr>
        <w:t xml:space="preserve">rarefied </w:t>
      </w:r>
      <w:r w:rsidRPr="00921CAD">
        <w:rPr>
          <w:rFonts w:ascii="Palatino Linotype" w:hAnsi="Palatino Linotype"/>
          <w:color w:val="000000" w:themeColor="text1"/>
        </w:rPr>
        <w:t>sequences was reassigned in the QIIME pipeline using BLASTn trained on the Greengenes database (version 13_05), and OTU names in the OTU table were replaced with the taxonomy ID of the Greengenes database. The resulting OTU table was fed into PICRUSt (version 1.1.1) and functional predictions were made according to the metagenome inference workflow described by the developers (http://picrust.github.com/picrust/tutorials/). We predicted the occurrence of the genes necessary for enzymes for NH</w:t>
      </w:r>
      <w:r w:rsidRPr="00921CAD">
        <w:rPr>
          <w:rFonts w:ascii="Palatino Linotype" w:hAnsi="Palatino Linotype"/>
          <w:color w:val="000000" w:themeColor="text1"/>
          <w:vertAlign w:val="subscript"/>
        </w:rPr>
        <w:t>4</w:t>
      </w:r>
      <w:r w:rsidRPr="00921CAD">
        <w:rPr>
          <w:rFonts w:ascii="Palatino Linotype" w:hAnsi="Palatino Linotype"/>
          <w:color w:val="000000" w:themeColor="text1"/>
          <w:vertAlign w:val="superscript"/>
        </w:rPr>
        <w:t>+</w:t>
      </w:r>
      <w:r w:rsidRPr="00921CAD">
        <w:rPr>
          <w:rFonts w:ascii="Palatino Linotype" w:hAnsi="Palatino Linotype"/>
          <w:color w:val="000000" w:themeColor="text1"/>
        </w:rPr>
        <w:t xml:space="preserve"> production, N-acetylglucosaminidase (EC 3.2.1.52), arginase (EC 3.5.3.1), and urease (EC 3.5.1.5). The activity of these enzymes in forest soils is frequently measured in N biogeochemical studies, and N-acetylglucosaminidase genes are known to be phylogenetically conserved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{"citationItems":[{"id":"ITEM-1","itemData":{"DOI":"10.1038/ismej.2012.176","ISBN":"1751-7370 (Electronic)\\r1751-7362 (Linking)","ISSN":"1751-7362","PMID":"23303371","abstract":"Understanding the relationship between prokaryotic traits and phylogeny is important for predicting and modeling ecological processes. Microbial extracellular enzymes have a pivotal role in nutrient cycling and the decomposition of organic matter, yet little is known about the phylogenetic distribution of genes encoding these enzymes. In this study, we analyzed 3058 annotated prokaryotic genomes to determine which taxa have the genetic potential to produce alkaline phosphatase, chitinase and β-N-acetyl-glucosaminidase enzymes. We then evaluated the relationship between the genetic potential for enzyme production and 16S rRNA phylogeny using the consenTRAIT algorithm, which calculated the phylogenetic depth and corresponding 16S rRNA sequence identity of clades of potential enzyme producers. Nearly half (49.2%) of the genomes analyzed were found to be capable of extracellular enzyme production, and these were non-randomly distributed across most prokaryotic phyla. On average, clades of potential enzyme-producing organisms had a maximum phylogenetic depth of 0.008004-0.009780, though individual clades varied broadly in both size and depth. These values correspond to a minimum 16S rRNA sequence identity of 98.04-98.40%. The distribution pattern we found is an indication of microdiversity, the occurrence of ecologically or physiologically distinct populations within phylogenetically related groups. Additionally, we found positive correlations among the genes encoding different extracellular enzymes. Our results suggest that the capacity to produce extracellular enzymes varies at relatively fine-scale phylogenetic resolution. This variation is consistent with other traits that require a small number of genes and provides insight into the relationship between taxonomy and traits that may be useful for predicting ecological function.","author":[{"dropping-particle":"","family":"Zimmerman","given":"Amy E","non-dropping-particle":"","parse-names":false,"suffix":""},{"dropping-particle":"","family":"Martiny","given":"Adam C","non-dropping-particle":"","parse-names":false,"suffix":""},{"dropping-particle":"","family":"Allison","given":"Steven D","non-dropping-particle":"","parse-names":false,"suffix":""}],"container-title":"The ISME Journal","id":"ITEM-1","issue":"6","issued":{"date-parts":[["2013","6","10"]]},"note":"From Duplicate 2 (Microdiversity of extracellular enzyme genes among sequenced prokaryotic genomes - Zimmerman, A E; Martiny, A C; Allison, S D)\n\nNULL","page":"1187-1199","publisher":"Nature Publishing Group","title":"Microdiversity of extracellular enzyme genes among sequenced prokaryotic genomes","type":"article-journal","volume":"7"},"uris":["http://www.mendeley.com/documents/?uuid=2ee3146d-217d-490f-973c-7363c8b6361e"]}],"mendeley":{"formattedCitation":"(Zimmerman &lt;i&gt;et al.&lt;/i&gt; 2013)","plainTextFormattedCitation":"(Zimmerman et al. 2013)","previouslyFormattedCitation":"(Zimmerman &lt;i&gt;et al.&lt;/i&gt; 2013)"},"properties":{"noteIndex":0},"schema":"https://github.com/citation-style-language/schema/raw/master/csl-citation.json"}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(Zimmerman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2013)</w:t>
      </w:r>
      <w:r w:rsidR="001824B8"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N-acetylglucosaminidase hydrolyzes dimer or trimer N-acetylglucosamine, which forms the cell walls of bacteria. Although a number of intercellular metabolic pathways </w:t>
      </w:r>
      <w:r w:rsidR="006B5FAD" w:rsidRPr="00921CAD">
        <w:rPr>
          <w:rFonts w:ascii="Palatino Linotype" w:hAnsi="Palatino Linotype"/>
          <w:color w:val="000000" w:themeColor="text1"/>
        </w:rPr>
        <w:t xml:space="preserve">can be used </w:t>
      </w:r>
      <w:r w:rsidRPr="00921CAD">
        <w:rPr>
          <w:rFonts w:ascii="Palatino Linotype" w:hAnsi="Palatino Linotype"/>
          <w:color w:val="000000" w:themeColor="text1"/>
        </w:rPr>
        <w:t>for NH</w:t>
      </w:r>
      <w:r w:rsidRPr="00921CAD">
        <w:rPr>
          <w:rFonts w:ascii="Palatino Linotype" w:hAnsi="Palatino Linotype"/>
          <w:color w:val="000000" w:themeColor="text1"/>
          <w:vertAlign w:val="subscript"/>
        </w:rPr>
        <w:t>4</w:t>
      </w:r>
      <w:r w:rsidRPr="00921CAD">
        <w:rPr>
          <w:rFonts w:ascii="Palatino Linotype" w:hAnsi="Palatino Linotype"/>
          <w:color w:val="000000" w:themeColor="text1"/>
          <w:vertAlign w:val="superscript"/>
        </w:rPr>
        <w:t>+</w:t>
      </w:r>
      <w:r w:rsidRPr="00921CAD">
        <w:rPr>
          <w:rFonts w:ascii="Palatino Linotype" w:hAnsi="Palatino Linotype"/>
          <w:color w:val="000000" w:themeColor="text1"/>
        </w:rPr>
        <w:t xml:space="preserve"> production, we chose the urea cycle as a representative pathway. Arginase converts arginine, which is an amino acid generated in the urea cycle</w:t>
      </w:r>
      <w:r w:rsidR="00FE7C1C" w:rsidRPr="00921CAD">
        <w:rPr>
          <w:rFonts w:ascii="Palatino Linotype" w:hAnsi="Palatino Linotype"/>
          <w:color w:val="000000" w:themeColor="text1"/>
        </w:rPr>
        <w:t>,</w:t>
      </w:r>
      <w:r w:rsidRPr="00921CAD">
        <w:rPr>
          <w:rFonts w:ascii="Palatino Linotype" w:hAnsi="Palatino Linotype"/>
          <w:color w:val="000000" w:themeColor="text1"/>
        </w:rPr>
        <w:t xml:space="preserve"> into ornithine and urea. Urease hydrolyzes urea into NH</w:t>
      </w:r>
      <w:r w:rsidRPr="00921CAD">
        <w:rPr>
          <w:rFonts w:ascii="Palatino Linotype" w:hAnsi="Palatino Linotype"/>
          <w:color w:val="000000" w:themeColor="text1"/>
          <w:vertAlign w:val="subscript"/>
        </w:rPr>
        <w:t>3</w:t>
      </w:r>
      <w:r w:rsidRPr="00921CAD">
        <w:rPr>
          <w:rFonts w:ascii="Palatino Linotype" w:hAnsi="Palatino Linotype"/>
          <w:color w:val="000000" w:themeColor="text1"/>
        </w:rPr>
        <w:t xml:space="preserve"> and CO</w:t>
      </w:r>
      <w:r w:rsidRPr="00921CAD">
        <w:rPr>
          <w:rFonts w:ascii="Palatino Linotype" w:hAnsi="Palatino Linotype"/>
          <w:color w:val="000000" w:themeColor="text1"/>
          <w:vertAlign w:val="subscript"/>
        </w:rPr>
        <w:t>2</w:t>
      </w:r>
      <w:r w:rsidRPr="00921CAD">
        <w:rPr>
          <w:rFonts w:ascii="Palatino Linotype" w:hAnsi="Palatino Linotype"/>
          <w:color w:val="000000" w:themeColor="text1"/>
        </w:rPr>
        <w:t>.</w:t>
      </w:r>
    </w:p>
    <w:p w14:paraId="2E0A14E8" w14:textId="53D0DF93" w:rsidR="00A35F91" w:rsidRPr="00921CAD" w:rsidRDefault="00A35F91" w:rsidP="00A60591">
      <w:pPr>
        <w:rPr>
          <w:rFonts w:ascii="Palatino Linotype" w:hAnsi="Palatino Linotype"/>
          <w:color w:val="000000" w:themeColor="text1"/>
        </w:rPr>
      </w:pPr>
    </w:p>
    <w:p w14:paraId="68C5F4FF" w14:textId="5E1B01E4" w:rsidR="00A35F91" w:rsidRPr="00921CAD" w:rsidRDefault="00453D33" w:rsidP="00D50507">
      <w:pPr>
        <w:rPr>
          <w:rFonts w:ascii="Palatino Linotype" w:hAnsi="Palatino Linotype"/>
          <w:color w:val="000000" w:themeColor="text1"/>
        </w:rPr>
      </w:pPr>
      <w:r w:rsidRPr="00921CAD">
        <w:rPr>
          <w:rFonts w:ascii="Palatino Linotype" w:hAnsi="Palatino Linotype"/>
          <w:b/>
          <w:color w:val="000000" w:themeColor="text1"/>
        </w:rPr>
        <w:t>6</w:t>
      </w:r>
      <w:r w:rsidR="00A35F91" w:rsidRPr="00921CAD">
        <w:rPr>
          <w:rFonts w:ascii="Palatino Linotype" w:hAnsi="Palatino Linotype"/>
          <w:b/>
          <w:color w:val="000000" w:themeColor="text1"/>
        </w:rPr>
        <w:t xml:space="preserve">. Clone library analysis of bacterial and archaeal </w:t>
      </w:r>
      <w:r w:rsidR="00A35F91" w:rsidRPr="00921CAD">
        <w:rPr>
          <w:rFonts w:ascii="Palatino Linotype" w:hAnsi="Palatino Linotype"/>
          <w:b/>
          <w:i/>
          <w:color w:val="000000" w:themeColor="text1"/>
        </w:rPr>
        <w:t>amoA</w:t>
      </w:r>
      <w:r w:rsidR="00A35F91" w:rsidRPr="00921CAD">
        <w:rPr>
          <w:rFonts w:ascii="Palatino Linotype" w:hAnsi="Palatino Linotype"/>
          <w:color w:val="000000" w:themeColor="text1"/>
        </w:rPr>
        <w:t xml:space="preserve"> </w:t>
      </w:r>
    </w:p>
    <w:p w14:paraId="7707EA05" w14:textId="143BF4D0" w:rsidR="00481700" w:rsidRPr="00921CAD" w:rsidRDefault="00A35F91" w:rsidP="00A35F91">
      <w:pPr>
        <w:rPr>
          <w:rFonts w:ascii="Palatino Linotype" w:hAnsi="Palatino Linotype"/>
          <w:color w:val="000000" w:themeColor="text1"/>
        </w:rPr>
      </w:pPr>
      <w:r w:rsidRPr="00921CAD">
        <w:rPr>
          <w:rFonts w:ascii="Palatino Linotype" w:hAnsi="Palatino Linotype"/>
          <w:color w:val="000000" w:themeColor="text1"/>
        </w:rPr>
        <w:t xml:space="preserve">We used microbial DNA extracted from one soil sample each from the ridge and valley. The bacterial and archaeal </w:t>
      </w:r>
      <w:r w:rsidRPr="00921CAD">
        <w:rPr>
          <w:rFonts w:ascii="Palatino Linotype" w:hAnsi="Palatino Linotype"/>
          <w:i/>
          <w:color w:val="000000" w:themeColor="text1"/>
        </w:rPr>
        <w:t>amoA</w:t>
      </w:r>
      <w:r w:rsidRPr="00921CAD">
        <w:rPr>
          <w:rFonts w:ascii="Palatino Linotype" w:hAnsi="Palatino Linotype"/>
          <w:color w:val="000000" w:themeColor="text1"/>
        </w:rPr>
        <w:t xml:space="preserve"> sequences were amplified with the primers used in the qPCR assay. The PCR amplicons were cleaned with a Wizard SV Gel and PCR Clean-Up System (Promega, USA). The purified PCR products were cloned into pGEM-T Easy vector (Promega</w:t>
      </w:r>
      <w:r w:rsidR="001824B8" w:rsidRPr="00921CAD">
        <w:rPr>
          <w:rFonts w:ascii="Palatino Linotype" w:hAnsi="Palatino Linotype"/>
          <w:color w:val="000000" w:themeColor="text1"/>
        </w:rPr>
        <w:t>) and</w:t>
      </w:r>
      <w:r w:rsidRPr="00921CAD">
        <w:rPr>
          <w:rFonts w:ascii="Palatino Linotype" w:hAnsi="Palatino Linotype"/>
          <w:color w:val="000000" w:themeColor="text1"/>
        </w:rPr>
        <w:t xml:space="preserve"> transformed into </w:t>
      </w:r>
      <w:r w:rsidRPr="00921CAD">
        <w:rPr>
          <w:rFonts w:ascii="Palatino Linotype" w:hAnsi="Palatino Linotype"/>
          <w:i/>
          <w:color w:val="000000" w:themeColor="text1"/>
        </w:rPr>
        <w:t>E. coli</w:t>
      </w:r>
      <w:r w:rsidRPr="00921CAD">
        <w:rPr>
          <w:rFonts w:ascii="Palatino Linotype" w:hAnsi="Palatino Linotype"/>
          <w:color w:val="000000" w:themeColor="text1"/>
        </w:rPr>
        <w:t xml:space="preserve"> JM109 high</w:t>
      </w:r>
      <w:r w:rsidR="00BE7A4F" w:rsidRPr="00921CAD">
        <w:rPr>
          <w:rFonts w:ascii="Palatino Linotype" w:hAnsi="Palatino Linotype"/>
          <w:color w:val="000000" w:themeColor="text1"/>
        </w:rPr>
        <w:t>-</w:t>
      </w:r>
      <w:r w:rsidRPr="00921CAD">
        <w:rPr>
          <w:rFonts w:ascii="Palatino Linotype" w:hAnsi="Palatino Linotype"/>
          <w:color w:val="000000" w:themeColor="text1"/>
        </w:rPr>
        <w:t>efficiency competent cells (Promega)</w:t>
      </w:r>
      <w:r w:rsidR="00FE7C1C" w:rsidRPr="00921CAD">
        <w:rPr>
          <w:rFonts w:ascii="Palatino Linotype" w:hAnsi="Palatino Linotype"/>
          <w:color w:val="000000" w:themeColor="text1"/>
        </w:rPr>
        <w:t>, in</w:t>
      </w:r>
      <w:r w:rsidRPr="00921CAD">
        <w:rPr>
          <w:rFonts w:ascii="Palatino Linotype" w:hAnsi="Palatino Linotype"/>
          <w:color w:val="000000" w:themeColor="text1"/>
        </w:rPr>
        <w:t xml:space="preserve"> accord</w:t>
      </w:r>
      <w:r w:rsidR="00FE7C1C" w:rsidRPr="00921CAD">
        <w:rPr>
          <w:rFonts w:ascii="Palatino Linotype" w:hAnsi="Palatino Linotype"/>
          <w:color w:val="000000" w:themeColor="text1"/>
        </w:rPr>
        <w:t>ance with</w:t>
      </w:r>
      <w:r w:rsidRPr="00921CAD">
        <w:rPr>
          <w:rFonts w:ascii="Palatino Linotype" w:hAnsi="Palatino Linotype"/>
          <w:color w:val="000000" w:themeColor="text1"/>
        </w:rPr>
        <w:t xml:space="preserve"> the manufacturer’s instructions. The plasmids with the insert were extracted using a Qiagen Plasmid Mini Kit (Qiagen,</w:t>
      </w:r>
      <w:r w:rsidR="00FE7C1C"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Valencia, CA, USA), and used as a template for sequencing reactions. Occasionally, cloned insert DNA was amplified by PCR with vector primers </w:t>
      </w:r>
      <w:r w:rsidR="00F82499" w:rsidRPr="00921CAD">
        <w:rPr>
          <w:rFonts w:ascii="Palatino Linotype" w:hAnsi="Palatino Linotype"/>
          <w:color w:val="000000" w:themeColor="text1"/>
        </w:rPr>
        <w:t>M13 vector primers M3 (5′-GTA AAA CGA CGG CCA GT-3′) and RV-P (5′-GGA AAC AGC TAT GAC CAT G-3′)</w:t>
      </w:r>
      <w:r w:rsidRPr="00921CAD">
        <w:rPr>
          <w:rFonts w:ascii="Palatino Linotype" w:hAnsi="Palatino Linotype"/>
          <w:color w:val="000000" w:themeColor="text1"/>
        </w:rPr>
        <w:t xml:space="preserve">, purified as mentioned above, sent to </w:t>
      </w:r>
      <w:r w:rsidRPr="00921CAD">
        <w:rPr>
          <w:rFonts w:ascii="Palatino Linotype" w:eastAsia="MS Mincho" w:hAnsi="Palatino Linotype"/>
          <w:color w:val="000000" w:themeColor="text1"/>
        </w:rPr>
        <w:t>Takara Bio (Shiga, Japan</w:t>
      </w:r>
      <w:r w:rsidRPr="00921CAD">
        <w:rPr>
          <w:rFonts w:ascii="Palatino Linotype" w:hAnsi="Palatino Linotype"/>
          <w:color w:val="000000" w:themeColor="text1"/>
        </w:rPr>
        <w:t xml:space="preserve">), and directly sequenced. </w:t>
      </w:r>
    </w:p>
    <w:p w14:paraId="3D54CA5B" w14:textId="29F311C0" w:rsidR="00F82499" w:rsidRPr="00921CAD" w:rsidRDefault="00E422DA" w:rsidP="00D50507">
      <w:pPr>
        <w:ind w:firstLine="720"/>
        <w:rPr>
          <w:rFonts w:ascii="Palatino Linotype" w:hAnsi="Palatino Linotype"/>
          <w:color w:val="000000" w:themeColor="text1"/>
        </w:rPr>
      </w:pPr>
      <w:r w:rsidRPr="00921CAD">
        <w:rPr>
          <w:rFonts w:ascii="Palatino Linotype" w:hAnsi="Palatino Linotype"/>
          <w:color w:val="000000" w:themeColor="text1"/>
        </w:rPr>
        <w:t xml:space="preserve">The Phred and Phrap pipelines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{"citationItems":[{"id":"ITEM-1","itemData":{"DOI":"10.1101/gr.8.3.175","ISBN":"1088-9051","ISSN":"1088-9051","PMID":"9521921","abstract":"The availability of massive amounts of DNA sequence information has begun to revolutionize the practice of biology. As a result, current large-scale sequencing output, while impressive, is not adequate to keep pace with growing demand and, in particular, is far short of what will be required to obtain the 3-billion-base human genome sequence by the target date of 2005. To reach this goal, improved automation will be essential, and it is particularly important that human involvement in sequence data processing be significantly reduced or eliminated. Progress in this respect will require both improved accuracy of the data processing software and reliable accuracy measures to reduce the need for human involvement in error correction and make human review more efficient. Here, we describe one step toward that goal: a base-calling program for automated sequencer traces, phred, with improved accuracy. phred appears to be the first base-calling program to achieve a lower error rate than the ABI software, averaging 40%-50% fewer errors in the data sets examined independent of position in read, machine running conditions, or sequencing chemistry.","author":[{"dropping-particle":"","family":"Ewing","given":"Brent","non-dropping-particle":"","parse-names":false,"suffix":""},{"dropping-particle":"","family":"Ewing","given":"Brent","non-dropping-particle":"","parse-names":false,"suffix":""},{"dropping-particle":"","family":"Hillier","given":"Ladeana","non-dropping-particle":"","parse-names":false,"suffix":""},{"dropping-particle":"","family":"Hillier","given":"Ladeana","non-dropping-particle":"","parse-names":false,"suffix":""},{"dropping-particle":"","family":"Wendl","given":"Michael C","non-dropping-particle":"","parse-names":false,"suffix":""},{"dropping-particle":"","family":"Wendl","given":"Michael C","non-dropping-particle":"","parse-names":false,"suffix":""},{"dropping-particle":"","family":"Green","given":"Phil","non-dropping-particle":"","parse-names":false,"suffix":""},{"dropping-particle":"","family":"Green","given":"Phil","non-dropping-particle":"","parse-names":false,"suffix":""}],"container-title":"Genome Research","id":"ITEM-1","issue":"206","issued":{"date-parts":[["2005"]]},"page":"175-185","title":"Base-Calling of Automated Sequencer Traces Using","type":"article-journal"},"uris":["http://www.mendeley.com/documents/?uuid=069cc0ec-6b1a-4a0f-be6e-8be6a0cfece7"]}],"mendeley":{"formattedCitation":"(Ewing &lt;i&gt;et al.&lt;/i&gt; 2005)","plainTextFormattedCitation":"(Ewing et al. 2005)","previouslyFormattedCitation":"(Ewing &lt;i&gt;et al.&lt;/i&gt; 2005)"},"properties":{"noteIndex":0},"schema":"https://github.com/citation-style-language/schema/raw/master/csl-citation.json"}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(Ewing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2005)</w:t>
      </w:r>
      <w:r w:rsidR="001824B8"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were used to conduct quality filtering and merge the paired-end reads. </w:t>
      </w:r>
      <w:r w:rsidR="00757CD2" w:rsidRPr="00921CAD">
        <w:rPr>
          <w:rFonts w:ascii="Palatino Linotype" w:hAnsi="Palatino Linotype"/>
          <w:color w:val="000000" w:themeColor="text1"/>
        </w:rPr>
        <w:t xml:space="preserve">We </w:t>
      </w:r>
      <w:r w:rsidR="00BC5CA9" w:rsidRPr="00921CAD">
        <w:rPr>
          <w:rFonts w:ascii="Palatino Linotype" w:hAnsi="Palatino Linotype"/>
          <w:color w:val="000000" w:themeColor="text1"/>
        </w:rPr>
        <w:t xml:space="preserve">obtained 37 and 40 bacterial </w:t>
      </w:r>
      <w:r w:rsidR="00BC5CA9" w:rsidRPr="00921CAD">
        <w:rPr>
          <w:rFonts w:ascii="Palatino Linotype" w:hAnsi="Palatino Linotype"/>
          <w:i/>
          <w:color w:val="000000" w:themeColor="text1"/>
        </w:rPr>
        <w:t>amoA</w:t>
      </w:r>
      <w:r w:rsidR="00BC5CA9" w:rsidRPr="00921CAD">
        <w:rPr>
          <w:rFonts w:ascii="Palatino Linotype" w:hAnsi="Palatino Linotype"/>
          <w:color w:val="000000" w:themeColor="text1"/>
        </w:rPr>
        <w:t xml:space="preserve"> clones </w:t>
      </w:r>
      <w:r w:rsidR="00BC5CA9" w:rsidRPr="00921CAD">
        <w:rPr>
          <w:rFonts w:ascii="Palatino Linotype" w:hAnsi="Palatino Linotype"/>
          <w:color w:val="000000" w:themeColor="text1"/>
        </w:rPr>
        <w:lastRenderedPageBreak/>
        <w:t xml:space="preserve">and 48 and 47 archaeal </w:t>
      </w:r>
      <w:r w:rsidR="00BC5CA9" w:rsidRPr="00921CAD">
        <w:rPr>
          <w:rFonts w:ascii="Palatino Linotype" w:hAnsi="Palatino Linotype"/>
          <w:i/>
          <w:color w:val="000000" w:themeColor="text1"/>
        </w:rPr>
        <w:t>amoA</w:t>
      </w:r>
      <w:r w:rsidR="00BC5CA9" w:rsidRPr="00921CAD">
        <w:rPr>
          <w:rFonts w:ascii="Palatino Linotype" w:hAnsi="Palatino Linotype"/>
          <w:color w:val="000000" w:themeColor="text1"/>
        </w:rPr>
        <w:t xml:space="preserve"> clones from the ridge and valley, respectively</w:t>
      </w:r>
      <w:r w:rsidR="00757CD2" w:rsidRPr="00921CAD">
        <w:rPr>
          <w:rFonts w:ascii="Palatino Linotype" w:hAnsi="Palatino Linotype"/>
          <w:color w:val="000000" w:themeColor="text1"/>
        </w:rPr>
        <w:t xml:space="preserve">. </w:t>
      </w:r>
      <w:r w:rsidRPr="00921CAD">
        <w:rPr>
          <w:rFonts w:ascii="Palatino Linotype" w:hAnsi="Palatino Linotype"/>
          <w:color w:val="000000" w:themeColor="text1"/>
        </w:rPr>
        <w:t xml:space="preserve">We </w:t>
      </w:r>
      <w:r w:rsidR="0091715C" w:rsidRPr="00921CAD">
        <w:rPr>
          <w:rFonts w:ascii="Palatino Linotype" w:hAnsi="Palatino Linotype"/>
          <w:color w:val="000000" w:themeColor="text1"/>
        </w:rPr>
        <w:t xml:space="preserve">removed the primer sequences and </w:t>
      </w:r>
      <w:r w:rsidRPr="00921CAD">
        <w:rPr>
          <w:rFonts w:ascii="Palatino Linotype" w:hAnsi="Palatino Linotype"/>
          <w:color w:val="000000" w:themeColor="text1"/>
        </w:rPr>
        <w:t xml:space="preserve">clustered the sequences into OTUs at the &gt;97% sequence similarity using the MOTHUR program </w:t>
      </w:r>
      <w:r w:rsidR="001824B8" w:rsidRPr="00921CAD">
        <w:rPr>
          <w:rFonts w:ascii="Palatino Linotype" w:hAnsi="Palatino Linotype"/>
          <w:color w:val="000000" w:themeColor="text1"/>
        </w:rPr>
        <w:fldChar w:fldCharType="begin" w:fldLock="1"/>
      </w:r>
      <w:r w:rsidR="001824B8" w:rsidRPr="00921CAD">
        <w:rPr>
          <w:rFonts w:ascii="Palatino Linotype" w:hAnsi="Palatino Linotype"/>
          <w:color w:val="000000" w:themeColor="text1"/>
        </w:rPr>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communities","type":"article-journal","volume":"75"},"uris":["http://www.mendeley.com/documents/?uuid=b5e01d19-11f3-4b5e-9781-9c70e19bc1db"]}],"mendeley":{"formattedCitation":"(Schloss &lt;i&gt;et al.&lt;/i&gt; 2009)","plainTextFormattedCitation":"(Schloss et al. 2009)","previouslyFormattedCitation":"(Schloss &lt;i&gt;et al.&lt;/i&gt; 2009)"},"properties":{"noteIndex":0},"schema":"https://github.com/citation-style-language/schema/raw/master/csl-citation.json"}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(Schloss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2009)</w:t>
      </w:r>
      <w:r w:rsidR="001824B8" w:rsidRPr="00921CAD">
        <w:rPr>
          <w:rFonts w:ascii="Palatino Linotype" w:hAnsi="Palatino Linotype"/>
          <w:color w:val="000000" w:themeColor="text1"/>
        </w:rPr>
        <w:fldChar w:fldCharType="end"/>
      </w:r>
      <w:r w:rsidRPr="00921CAD">
        <w:rPr>
          <w:rFonts w:ascii="Palatino Linotype" w:hAnsi="Palatino Linotype"/>
          <w:color w:val="000000" w:themeColor="text1"/>
        </w:rPr>
        <w:t xml:space="preserve">. </w:t>
      </w:r>
      <w:r w:rsidR="00757CD2" w:rsidRPr="00921CAD">
        <w:rPr>
          <w:rFonts w:ascii="Palatino Linotype" w:hAnsi="Palatino Linotype"/>
          <w:color w:val="000000" w:themeColor="text1"/>
        </w:rPr>
        <w:t>Then</w:t>
      </w:r>
      <w:r w:rsidR="00BE7A4F" w:rsidRPr="00921CAD">
        <w:rPr>
          <w:rFonts w:ascii="Palatino Linotype" w:hAnsi="Palatino Linotype"/>
          <w:color w:val="000000" w:themeColor="text1"/>
        </w:rPr>
        <w:t>,</w:t>
      </w:r>
      <w:r w:rsidR="00757CD2" w:rsidRPr="00921CAD">
        <w:rPr>
          <w:rFonts w:ascii="Palatino Linotype" w:hAnsi="Palatino Linotype"/>
          <w:color w:val="000000" w:themeColor="text1"/>
        </w:rPr>
        <w:t xml:space="preserve"> we obtained </w:t>
      </w:r>
      <w:r w:rsidR="00BC5CA9" w:rsidRPr="00921CAD">
        <w:rPr>
          <w:rFonts w:ascii="Palatino Linotype" w:hAnsi="Palatino Linotype"/>
          <w:color w:val="000000" w:themeColor="text1"/>
        </w:rPr>
        <w:t xml:space="preserve">3 and 4 bacterial </w:t>
      </w:r>
      <w:r w:rsidR="00BC5CA9" w:rsidRPr="00921CAD">
        <w:rPr>
          <w:rFonts w:ascii="Palatino Linotype" w:hAnsi="Palatino Linotype"/>
          <w:i/>
          <w:color w:val="000000" w:themeColor="text1"/>
        </w:rPr>
        <w:t>amoA</w:t>
      </w:r>
      <w:r w:rsidR="00BC5CA9" w:rsidRPr="00921CAD">
        <w:rPr>
          <w:rFonts w:ascii="Palatino Linotype" w:hAnsi="Palatino Linotype"/>
          <w:color w:val="000000" w:themeColor="text1"/>
        </w:rPr>
        <w:t xml:space="preserve"> OTUs (&gt;97% sequence similarity) and 6 and 11 archaeal </w:t>
      </w:r>
      <w:r w:rsidR="00BC5CA9" w:rsidRPr="00921CAD">
        <w:rPr>
          <w:rFonts w:ascii="Palatino Linotype" w:hAnsi="Palatino Linotype"/>
          <w:i/>
          <w:color w:val="000000" w:themeColor="text1"/>
        </w:rPr>
        <w:t>amoA</w:t>
      </w:r>
      <w:r w:rsidR="00BC5CA9" w:rsidRPr="00921CAD">
        <w:rPr>
          <w:rFonts w:ascii="Palatino Linotype" w:hAnsi="Palatino Linotype"/>
          <w:color w:val="000000" w:themeColor="text1"/>
        </w:rPr>
        <w:t xml:space="preserve"> OTUs</w:t>
      </w:r>
      <w:r w:rsidR="00757CD2" w:rsidRPr="00921CAD">
        <w:rPr>
          <w:rFonts w:ascii="Palatino Linotype" w:hAnsi="Palatino Linotype"/>
          <w:color w:val="000000" w:themeColor="text1"/>
        </w:rPr>
        <w:t xml:space="preserve"> from the ridge and valley, respectively. </w:t>
      </w:r>
      <w:r w:rsidR="0091715C" w:rsidRPr="00921CAD">
        <w:rPr>
          <w:rFonts w:ascii="Palatino Linotype" w:hAnsi="Palatino Linotype"/>
          <w:color w:val="000000" w:themeColor="text1"/>
        </w:rPr>
        <w:t xml:space="preserve">Reference sequences were retrieved from NCBI GenBank. The OTU sequences and reference sequences were aligned and the phylogenetic </w:t>
      </w:r>
      <w:r w:rsidR="00757CD2" w:rsidRPr="00921CAD">
        <w:rPr>
          <w:rFonts w:ascii="Palatino Linotype" w:hAnsi="Palatino Linotype"/>
          <w:color w:val="000000" w:themeColor="text1"/>
        </w:rPr>
        <w:t xml:space="preserve">trees were constructed using </w:t>
      </w:r>
      <w:r w:rsidR="00FE7C1C" w:rsidRPr="00921CAD">
        <w:rPr>
          <w:rFonts w:ascii="Palatino Linotype" w:hAnsi="Palatino Linotype"/>
          <w:color w:val="000000" w:themeColor="text1"/>
        </w:rPr>
        <w:t xml:space="preserve">the </w:t>
      </w:r>
      <w:r w:rsidR="00757CD2" w:rsidRPr="00921CAD">
        <w:rPr>
          <w:rFonts w:ascii="Palatino Linotype" w:hAnsi="Palatino Linotype"/>
          <w:color w:val="000000" w:themeColor="text1"/>
        </w:rPr>
        <w:t xml:space="preserve">maximum-likelihood method with bootstrap analysis (n = 1,000) by using </w:t>
      </w:r>
      <w:r w:rsidR="001824B8" w:rsidRPr="00921CAD">
        <w:rPr>
          <w:rFonts w:ascii="Palatino Linotype" w:hAnsi="Palatino Linotype"/>
          <w:color w:val="000000" w:themeColor="text1"/>
        </w:rPr>
        <w:t xml:space="preserve">MEGA X </w:t>
      </w:r>
      <w:r w:rsidR="00757CD2" w:rsidRPr="00921CAD">
        <w:rPr>
          <w:rFonts w:ascii="Palatino Linotype" w:hAnsi="Palatino Linotype"/>
          <w:color w:val="000000" w:themeColor="text1"/>
        </w:rPr>
        <w:t xml:space="preserve">software </w:t>
      </w:r>
      <w:r w:rsidR="001824B8" w:rsidRPr="00921CAD">
        <w:rPr>
          <w:rFonts w:ascii="Palatino Linotype" w:hAnsi="Palatino Linotype"/>
          <w:color w:val="000000" w:themeColor="text1"/>
        </w:rPr>
        <w:fldChar w:fldCharType="begin" w:fldLock="1"/>
      </w:r>
      <w:r w:rsidR="007B188C" w:rsidRPr="00921CAD">
        <w:rPr>
          <w:rFonts w:ascii="Palatino Linotype" w:hAnsi="Palatino Linotype"/>
          <w:color w:val="000000" w:themeColor="text1"/>
        </w:rPr>
        <w:instrText>ADDIN CSL_CITATION {"citationItems":[{"id":"ITEM-1","itemData":{"DOI":"10.1093/molbev/msy096","ISSN":"15371719","abstract":"The molecular evolutionary genetics analysis (Mega) software implements many analytical methods and tools for phylogenomics and phylomedicine. Here, we report a transformation of Mega to enable cross-platform use on Microsoft Windows and Linux operating systems. Mega X does not require virtualization or emulation software and provides a uniform user experience across platforms. Mega X has additionally been upgraded to use multiple computing cores for many molecular evolutionary analyses. Mega X is available in two interfaces (graphical and command line) and can be downloaded from www.megasoftware.net free of charge.","author":[{"dropping-particle":"","family":"Kumar","given":"Sudhir","non-dropping-particle":"","parse-names":false,"suffix":""},{"dropping-particle":"","family":"Stecher","given":"Glen","non-dropping-particle":"","parse-names":false,"suffix":""},{"dropping-particle":"","family":"Li","given":"Michael","non-dropping-particle":"","parse-names":false,"suffix":""},{"dropping-particle":"","family":"Knyaz","given":"Christina","non-dropping-particle":"","parse-names":false,"suffix":""},{"dropping-particle":"","family":"Tamura","given":"Koichiro","non-dropping-particle":"","parse-names":false,"suffix":""}],"container-title":"Molecular Biology and Evolution","id":"ITEM-1","issue":"6","issued":{"date-parts":[["2018"]]},"page":"1547-1549","title":"MEGA X: Molecular evolutionary genetics analysis across computing platforms","type":"article-journal","volume":"35"},"uris":["http://www.mendeley.com/documents/?uuid=987be3c6-e3c9-4ee4-9972-c5c7a6888f62"]}],"mendeley":{"formattedCitation":"(Kumar &lt;i&gt;et al.&lt;/i&gt; 2018)","plainTextFormattedCitation":"(Kumar et al. 2018)","previouslyFormattedCitation":"(Kumar &lt;i&gt;et al.&lt;/i&gt; 2018)"},"properties":{"noteIndex":0},"schema":"https://github.com/citation-style-language/schema/raw/master/csl-citation.json"}</w:instrText>
      </w:r>
      <w:r w:rsidR="001824B8" w:rsidRPr="00921CAD">
        <w:rPr>
          <w:rFonts w:ascii="Palatino Linotype" w:hAnsi="Palatino Linotype"/>
          <w:color w:val="000000" w:themeColor="text1"/>
        </w:rPr>
        <w:fldChar w:fldCharType="separate"/>
      </w:r>
      <w:r w:rsidR="001824B8" w:rsidRPr="00921CAD">
        <w:rPr>
          <w:rFonts w:ascii="Palatino Linotype" w:hAnsi="Palatino Linotype"/>
          <w:noProof/>
          <w:color w:val="000000" w:themeColor="text1"/>
        </w:rPr>
        <w:t xml:space="preserve">(Kumar </w:t>
      </w:r>
      <w:r w:rsidR="001824B8" w:rsidRPr="00921CAD">
        <w:rPr>
          <w:rFonts w:ascii="Palatino Linotype" w:hAnsi="Palatino Linotype"/>
          <w:i/>
          <w:noProof/>
          <w:color w:val="000000" w:themeColor="text1"/>
        </w:rPr>
        <w:t>et al.</w:t>
      </w:r>
      <w:r w:rsidR="001824B8" w:rsidRPr="00921CAD">
        <w:rPr>
          <w:rFonts w:ascii="Palatino Linotype" w:hAnsi="Palatino Linotype"/>
          <w:noProof/>
          <w:color w:val="000000" w:themeColor="text1"/>
        </w:rPr>
        <w:t xml:space="preserve"> 2018)</w:t>
      </w:r>
      <w:r w:rsidR="001824B8" w:rsidRPr="00921CAD">
        <w:rPr>
          <w:rFonts w:ascii="Palatino Linotype" w:hAnsi="Palatino Linotype"/>
          <w:color w:val="000000" w:themeColor="text1"/>
        </w:rPr>
        <w:fldChar w:fldCharType="end"/>
      </w:r>
      <w:r w:rsidR="0091715C" w:rsidRPr="00921CAD">
        <w:rPr>
          <w:rFonts w:ascii="Palatino Linotype" w:hAnsi="Palatino Linotype"/>
          <w:color w:val="000000" w:themeColor="text1"/>
        </w:rPr>
        <w:t xml:space="preserve">. </w:t>
      </w:r>
    </w:p>
    <w:p w14:paraId="5A2A00DF" w14:textId="77777777" w:rsidR="00F82499" w:rsidRPr="00921CAD" w:rsidRDefault="00F82499" w:rsidP="00D50507">
      <w:pPr>
        <w:rPr>
          <w:rFonts w:ascii="Palatino Linotype" w:hAnsi="Palatino Linotype"/>
          <w:color w:val="000000" w:themeColor="text1"/>
        </w:rPr>
      </w:pPr>
    </w:p>
    <w:p w14:paraId="2469D779" w14:textId="08A55527" w:rsidR="00481700" w:rsidRPr="00921CAD" w:rsidRDefault="00453D33" w:rsidP="00A35F91">
      <w:pPr>
        <w:outlineLvl w:val="0"/>
        <w:rPr>
          <w:rFonts w:ascii="Palatino Linotype" w:hAnsi="Palatino Linotype"/>
          <w:b/>
          <w:color w:val="000000" w:themeColor="text1"/>
        </w:rPr>
      </w:pPr>
      <w:r w:rsidRPr="00921CAD">
        <w:rPr>
          <w:rFonts w:ascii="Palatino Linotype" w:hAnsi="Palatino Linotype"/>
          <w:b/>
          <w:color w:val="000000" w:themeColor="text1"/>
        </w:rPr>
        <w:t>7</w:t>
      </w:r>
      <w:r w:rsidR="00481700" w:rsidRPr="00921CAD">
        <w:rPr>
          <w:rFonts w:ascii="Palatino Linotype" w:hAnsi="Palatino Linotype"/>
          <w:b/>
          <w:color w:val="000000" w:themeColor="text1"/>
        </w:rPr>
        <w:t>. Statistical analysis</w:t>
      </w:r>
    </w:p>
    <w:p w14:paraId="551F2D1E" w14:textId="703C1514" w:rsidR="00597D51" w:rsidRPr="00921CAD" w:rsidRDefault="00481700" w:rsidP="00D50507">
      <w:pPr>
        <w:rPr>
          <w:rFonts w:ascii="Palatino Linotype" w:hAnsi="Palatino Linotype"/>
          <w:color w:val="000000" w:themeColor="text1"/>
        </w:rPr>
      </w:pPr>
      <w:r w:rsidRPr="00921CAD">
        <w:rPr>
          <w:rFonts w:ascii="Palatino Linotype" w:hAnsi="Palatino Linotype"/>
          <w:color w:val="000000" w:themeColor="text1"/>
        </w:rPr>
        <w:t>All statistical analyses were performed using R software. The relationships of the slope position with the soil N and C concentrations, net and gross N transformation rates, and gene abundances were tested via correlation analysis.</w:t>
      </w:r>
    </w:p>
    <w:p w14:paraId="6B0079A3" w14:textId="6B67A23B" w:rsidR="007D2F7E" w:rsidRPr="00921CAD" w:rsidRDefault="00597D51" w:rsidP="007D2F7E">
      <w:pPr>
        <w:ind w:firstLine="720"/>
        <w:rPr>
          <w:rFonts w:ascii="Palatino Linotype" w:hAnsi="Palatino Linotype"/>
          <w:color w:val="000000" w:themeColor="text1"/>
        </w:rPr>
      </w:pPr>
      <w:r w:rsidRPr="00921CAD">
        <w:rPr>
          <w:rFonts w:ascii="Palatino Linotype" w:hAnsi="Palatino Linotype"/>
          <w:color w:val="000000" w:themeColor="text1"/>
        </w:rPr>
        <w:t xml:space="preserve">A </w:t>
      </w:r>
      <w:r w:rsidR="00121DF7" w:rsidRPr="00921CAD">
        <w:rPr>
          <w:rFonts w:ascii="Palatino Linotype" w:hAnsi="Palatino Linotype"/>
          <w:color w:val="000000" w:themeColor="text1"/>
        </w:rPr>
        <w:t>structural equation model</w:t>
      </w:r>
      <w:r w:rsidRPr="00921CAD">
        <w:rPr>
          <w:rFonts w:ascii="Palatino Linotype" w:hAnsi="Palatino Linotype"/>
          <w:color w:val="000000" w:themeColor="text1"/>
        </w:rPr>
        <w:t xml:space="preserve"> </w:t>
      </w:r>
      <w:r w:rsidR="00E06A54" w:rsidRPr="00921CAD">
        <w:rPr>
          <w:rFonts w:ascii="Palatino Linotype" w:hAnsi="Palatino Linotype"/>
          <w:color w:val="000000" w:themeColor="text1"/>
        </w:rPr>
        <w:t>(</w:t>
      </w:r>
      <w:r w:rsidR="0053405F" w:rsidRPr="00921CAD">
        <w:rPr>
          <w:rFonts w:ascii="Palatino Linotype" w:hAnsi="Palatino Linotype"/>
          <w:color w:val="000000" w:themeColor="text1"/>
        </w:rPr>
        <w:t>SEM</w:t>
      </w:r>
      <w:r w:rsidR="004F5DE9" w:rsidRPr="00921CAD">
        <w:rPr>
          <w:rFonts w:ascii="Palatino Linotype" w:hAnsi="Palatino Linotype"/>
          <w:color w:val="000000" w:themeColor="text1"/>
        </w:rPr>
        <w:t xml:space="preserve">, </w:t>
      </w:r>
      <w:r w:rsidR="004F5DE9" w:rsidRPr="00921CAD">
        <w:rPr>
          <w:rFonts w:ascii="Palatino Linotype" w:hAnsi="Palatino Linotype"/>
          <w:color w:val="000000" w:themeColor="text1"/>
        </w:rPr>
        <w:fldChar w:fldCharType="begin" w:fldLock="1"/>
      </w:r>
      <w:r w:rsidR="004F5DE9" w:rsidRPr="00921CAD">
        <w:rPr>
          <w:rFonts w:ascii="Palatino Linotype" w:hAnsi="Palatino Linotype"/>
          <w:color w:val="000000" w:themeColor="text1"/>
        </w:rPr>
        <w:instrText>ADDIN CSL_CITATION {"citationItems":[{"id":"ITEM-1","itemData":{"DOI":"10.1016/j.pedobi.2015.03.002","ISSN":"00314056","abstract":"In this perspectives paper we highlight a heretofore underused statistical method in soil ecological research, structural equation modeling (SEM). SEM is commonly used in the general ecological literature to develop causal understanding from observational data, but has been more slowly adopted by soil ecologists. We provide some basic information on the many advantages and possibilities associated with using SEM and provide some examples of how SEM can be used by soil ecologists to shift focus from describing patterns to developing causal understanding and inspiring new types of experimental tests. SEM is a promising tool to aid the growth of soil ecology as a discipline, particularly by supporting research that is increasingly hypothesis-driven and interdisciplinary, thus shining light into the black box of interactions belowground.","author":[{"dropping-particle":"","family":"Eisenhauer","given":"Nico","non-dropping-particle":"","parse-names":false,"suffix":""},{"dropping-particle":"","family":"Bowker","given":"Matthew A.","non-dropping-particle":"","parse-names":false,"suffix":""},{"dropping-particle":"","family":"Grace","given":"James B.","non-dropping-particle":"","parse-names":false,"suffix":""},{"dropping-particle":"","family":"Powell","given":"Jeff R.","non-dropping-particle":"","parse-names":false,"suffix":""}],"container-title":"Pedobiologia","id":"ITEM-1","issue":"2-3","issued":{"date-parts":[["2015"]]},"page":"65-72","publisher":"Elsevier GmbH.","title":"From patterns to causal understanding: Structural equation modeling (SEM) in soil ecology","type":"article-journal","volume":"58"},"uris":["http://www.mendeley.com/documents/?uuid=8d2994e9-b762-47a3-8c48-0d4af27e4b7c"]}],"mendeley":{"formattedCitation":"(Eisenhauer &lt;i&gt;et al.&lt;/i&gt; 2015)","manualFormatting":"Eisenhauer et al. (2015)","plainTextFormattedCitation":"(Eisenhauer et al. 2015)","previouslyFormattedCitation":"(Eisenhauer &lt;i&gt;et al.&lt;/i&gt; 2015)"},"properties":{"noteIndex":0},"schema":"https://github.com/citation-style-language/schema/raw/master/csl-citation.json"}</w:instrText>
      </w:r>
      <w:r w:rsidR="004F5DE9" w:rsidRPr="00921CAD">
        <w:rPr>
          <w:rFonts w:ascii="Palatino Linotype" w:hAnsi="Palatino Linotype"/>
          <w:color w:val="000000" w:themeColor="text1"/>
        </w:rPr>
        <w:fldChar w:fldCharType="separate"/>
      </w:r>
      <w:r w:rsidR="004F5DE9" w:rsidRPr="00921CAD">
        <w:rPr>
          <w:rFonts w:ascii="Palatino Linotype" w:hAnsi="Palatino Linotype"/>
          <w:noProof/>
          <w:color w:val="000000" w:themeColor="text1"/>
        </w:rPr>
        <w:t xml:space="preserve">Eisenhauer </w:t>
      </w:r>
      <w:r w:rsidR="004F5DE9" w:rsidRPr="00921CAD">
        <w:rPr>
          <w:rFonts w:ascii="Palatino Linotype" w:hAnsi="Palatino Linotype"/>
          <w:i/>
          <w:noProof/>
          <w:color w:val="000000" w:themeColor="text1"/>
        </w:rPr>
        <w:t>et al.</w:t>
      </w:r>
      <w:r w:rsidR="004F5DE9" w:rsidRPr="00921CAD">
        <w:rPr>
          <w:rFonts w:ascii="Palatino Linotype" w:hAnsi="Palatino Linotype"/>
          <w:noProof/>
          <w:color w:val="000000" w:themeColor="text1"/>
        </w:rPr>
        <w:t xml:space="preserve"> (2015)</w:t>
      </w:r>
      <w:r w:rsidR="004F5DE9" w:rsidRPr="00921CAD">
        <w:rPr>
          <w:rFonts w:ascii="Palatino Linotype" w:hAnsi="Palatino Linotype"/>
          <w:color w:val="000000" w:themeColor="text1"/>
        </w:rPr>
        <w:fldChar w:fldCharType="end"/>
      </w:r>
      <w:r w:rsidR="004F5DE9" w:rsidRPr="00921CAD">
        <w:rPr>
          <w:rFonts w:ascii="Palatino Linotype" w:hAnsi="Palatino Linotype"/>
          <w:color w:val="000000" w:themeColor="text1"/>
        </w:rPr>
        <w:t>)</w:t>
      </w:r>
      <w:r w:rsidR="00E06A54" w:rsidRPr="00921CAD">
        <w:rPr>
          <w:rFonts w:ascii="Palatino Linotype" w:hAnsi="Palatino Linotype"/>
          <w:color w:val="000000" w:themeColor="text1"/>
        </w:rPr>
        <w:t xml:space="preserve"> was used to</w:t>
      </w:r>
      <w:r w:rsidR="00121DF7" w:rsidRPr="00921CAD">
        <w:rPr>
          <w:rFonts w:ascii="Palatino Linotype" w:hAnsi="Palatino Linotype"/>
          <w:color w:val="000000" w:themeColor="text1"/>
        </w:rPr>
        <w:t xml:space="preserve"> test </w:t>
      </w:r>
      <w:r w:rsidR="0053405F" w:rsidRPr="00921CAD">
        <w:rPr>
          <w:rFonts w:ascii="Palatino Linotype" w:hAnsi="Palatino Linotype"/>
          <w:color w:val="000000" w:themeColor="text1"/>
        </w:rPr>
        <w:t>the</w:t>
      </w:r>
      <w:r w:rsidR="00121DF7" w:rsidRPr="00921CAD">
        <w:rPr>
          <w:rFonts w:ascii="Palatino Linotype" w:hAnsi="Palatino Linotype"/>
          <w:color w:val="000000" w:themeColor="text1"/>
        </w:rPr>
        <w:t xml:space="preserve"> hypothesis that the </w:t>
      </w:r>
      <w:r w:rsidR="0053405F" w:rsidRPr="00921CAD">
        <w:rPr>
          <w:rFonts w:ascii="Palatino Linotype" w:hAnsi="Palatino Linotype"/>
          <w:color w:val="000000" w:themeColor="text1"/>
        </w:rPr>
        <w:t>soil environmental gradient</w:t>
      </w:r>
      <w:r w:rsidR="00E06A54" w:rsidRPr="00921CAD">
        <w:rPr>
          <w:rFonts w:ascii="Palatino Linotype" w:hAnsi="Palatino Linotype"/>
          <w:color w:val="000000" w:themeColor="text1"/>
        </w:rPr>
        <w:t xml:space="preserve"> affects the gross ammonification and nitrification rates by affecting the abundances of ammonifiers and nitrifiers. SEM was computed using the “sem” function in the </w:t>
      </w:r>
      <w:r w:rsidR="00E06A54" w:rsidRPr="00921CAD">
        <w:rPr>
          <w:rFonts w:ascii="Palatino Linotype" w:hAnsi="Palatino Linotype"/>
          <w:i/>
          <w:color w:val="000000" w:themeColor="text1"/>
        </w:rPr>
        <w:t>lavaan</w:t>
      </w:r>
      <w:r w:rsidR="00E06A54" w:rsidRPr="00921CAD">
        <w:rPr>
          <w:rFonts w:ascii="Palatino Linotype" w:hAnsi="Palatino Linotype"/>
          <w:color w:val="000000" w:themeColor="text1"/>
        </w:rPr>
        <w:t xml:space="preserve"> package. </w:t>
      </w:r>
      <w:r w:rsidR="00A0615E" w:rsidRPr="00921CAD">
        <w:rPr>
          <w:rFonts w:ascii="Palatino Linotype" w:hAnsi="Palatino Linotype"/>
          <w:color w:val="000000" w:themeColor="text1"/>
        </w:rPr>
        <w:t>We tested t</w:t>
      </w:r>
      <w:r w:rsidR="00D71630" w:rsidRPr="00921CAD">
        <w:rPr>
          <w:rFonts w:ascii="Palatino Linotype" w:hAnsi="Palatino Linotype"/>
          <w:color w:val="000000" w:themeColor="text1"/>
        </w:rPr>
        <w:t xml:space="preserve">he simple hypothetical relationship </w:t>
      </w:r>
      <w:r w:rsidR="007E2FED" w:rsidRPr="00921CAD">
        <w:rPr>
          <w:rFonts w:ascii="Palatino Linotype" w:hAnsi="Palatino Linotype"/>
          <w:color w:val="000000" w:themeColor="text1"/>
        </w:rPr>
        <w:t>(</w:t>
      </w:r>
      <w:r w:rsidR="007E2FED" w:rsidRPr="00921CAD">
        <w:rPr>
          <w:rFonts w:ascii="Palatino Linotype" w:hAnsi="Palatino Linotype"/>
          <w:b/>
          <w:bCs/>
          <w:color w:val="000000" w:themeColor="text1"/>
        </w:rPr>
        <w:t>Fig. 2</w:t>
      </w:r>
      <w:r w:rsidR="007E2FED" w:rsidRPr="00921CAD">
        <w:rPr>
          <w:rFonts w:ascii="Palatino Linotype" w:hAnsi="Palatino Linotype"/>
          <w:color w:val="000000" w:themeColor="text1"/>
        </w:rPr>
        <w:t xml:space="preserve">) </w:t>
      </w:r>
      <w:r w:rsidR="008C46D4" w:rsidRPr="00921CAD">
        <w:rPr>
          <w:rFonts w:ascii="Palatino Linotype" w:hAnsi="Palatino Linotype"/>
          <w:color w:val="000000" w:themeColor="text1"/>
        </w:rPr>
        <w:t>show</w:t>
      </w:r>
      <w:r w:rsidR="00A0615E" w:rsidRPr="00921CAD">
        <w:rPr>
          <w:rFonts w:ascii="Palatino Linotype" w:hAnsi="Palatino Linotype"/>
          <w:color w:val="000000" w:themeColor="text1"/>
        </w:rPr>
        <w:t>ing</w:t>
      </w:r>
      <w:r w:rsidR="008C46D4" w:rsidRPr="00921CAD">
        <w:rPr>
          <w:rFonts w:ascii="Palatino Linotype" w:hAnsi="Palatino Linotype"/>
          <w:color w:val="000000" w:themeColor="text1"/>
        </w:rPr>
        <w:t xml:space="preserve"> that</w:t>
      </w:r>
      <w:r w:rsidR="00D71630" w:rsidRPr="00921CAD">
        <w:rPr>
          <w:rFonts w:ascii="Palatino Linotype" w:hAnsi="Palatino Linotype"/>
          <w:color w:val="000000" w:themeColor="text1"/>
        </w:rPr>
        <w:t xml:space="preserve"> </w:t>
      </w:r>
      <w:r w:rsidR="008C46D4" w:rsidRPr="00921CAD">
        <w:rPr>
          <w:rFonts w:ascii="Palatino Linotype" w:hAnsi="Palatino Linotype"/>
          <w:color w:val="000000" w:themeColor="text1"/>
        </w:rPr>
        <w:t xml:space="preserve">the </w:t>
      </w:r>
      <w:r w:rsidR="00D71630" w:rsidRPr="00921CAD">
        <w:rPr>
          <w:rFonts w:ascii="Palatino Linotype" w:hAnsi="Palatino Linotype"/>
          <w:color w:val="000000" w:themeColor="text1"/>
        </w:rPr>
        <w:t>gross ammonification and nitrification rates are determined by the abundance of ammonifiers and nitrifiers, and the substrate for the processes</w:t>
      </w:r>
      <w:r w:rsidR="008C46D4" w:rsidRPr="00921CAD">
        <w:rPr>
          <w:rFonts w:ascii="Palatino Linotype" w:hAnsi="Palatino Linotype"/>
          <w:color w:val="000000" w:themeColor="text1"/>
        </w:rPr>
        <w:t>, and that</w:t>
      </w:r>
      <w:r w:rsidR="00D71630" w:rsidRPr="00921CAD">
        <w:rPr>
          <w:rFonts w:ascii="Palatino Linotype" w:hAnsi="Palatino Linotype"/>
          <w:color w:val="000000" w:themeColor="text1"/>
        </w:rPr>
        <w:t xml:space="preserve"> the abundance of ammonifiers and nitrifiers </w:t>
      </w:r>
      <w:r w:rsidR="00FE7C1C" w:rsidRPr="00921CAD">
        <w:rPr>
          <w:rFonts w:ascii="Palatino Linotype" w:hAnsi="Palatino Linotype"/>
          <w:color w:val="000000" w:themeColor="text1"/>
        </w:rPr>
        <w:t>is</w:t>
      </w:r>
      <w:r w:rsidR="00D71630" w:rsidRPr="00921CAD">
        <w:rPr>
          <w:rFonts w:ascii="Palatino Linotype" w:hAnsi="Palatino Linotype"/>
          <w:color w:val="000000" w:themeColor="text1"/>
        </w:rPr>
        <w:t xml:space="preserve"> determined by soil environmental properties (i.e., soil pH and water content) and the substrate.</w:t>
      </w:r>
      <w:r w:rsidR="008C46D4" w:rsidRPr="00921CAD">
        <w:rPr>
          <w:rFonts w:ascii="Palatino Linotype" w:hAnsi="Palatino Linotype"/>
          <w:color w:val="000000" w:themeColor="text1"/>
        </w:rPr>
        <w:t xml:space="preserve"> </w:t>
      </w:r>
      <w:r w:rsidR="00D71630" w:rsidRPr="00921CAD">
        <w:rPr>
          <w:rFonts w:ascii="Palatino Linotype" w:hAnsi="Palatino Linotype"/>
          <w:color w:val="000000" w:themeColor="text1"/>
        </w:rPr>
        <w:t xml:space="preserve">In the analysis of the ammonification rate, we used the soil DON and DOC contents as the substrate for ammonifiers and the abundance of bacterial 16S rRNA gene as </w:t>
      </w:r>
      <w:r w:rsidR="00FE7C1C" w:rsidRPr="00921CAD">
        <w:rPr>
          <w:rFonts w:ascii="Palatino Linotype" w:hAnsi="Palatino Linotype"/>
          <w:color w:val="000000" w:themeColor="text1"/>
        </w:rPr>
        <w:t xml:space="preserve">the </w:t>
      </w:r>
      <w:r w:rsidR="00D71630" w:rsidRPr="00921CAD">
        <w:rPr>
          <w:rFonts w:ascii="Palatino Linotype" w:hAnsi="Palatino Linotype"/>
          <w:color w:val="000000" w:themeColor="text1"/>
        </w:rPr>
        <w:t>abundance of ammonifiers. In the nitrification rate analysis, we used the NH</w:t>
      </w:r>
      <w:r w:rsidR="00D71630" w:rsidRPr="00921CAD">
        <w:rPr>
          <w:rFonts w:ascii="Palatino Linotype" w:hAnsi="Palatino Linotype"/>
          <w:color w:val="000000" w:themeColor="text1"/>
          <w:vertAlign w:val="subscript"/>
        </w:rPr>
        <w:t>4</w:t>
      </w:r>
      <w:r w:rsidR="00D71630" w:rsidRPr="00921CAD">
        <w:rPr>
          <w:rFonts w:ascii="Palatino Linotype" w:hAnsi="Palatino Linotype"/>
          <w:color w:val="000000" w:themeColor="text1"/>
          <w:vertAlign w:val="superscript"/>
        </w:rPr>
        <w:t>+</w:t>
      </w:r>
      <w:r w:rsidR="00D71630" w:rsidRPr="00921CAD">
        <w:rPr>
          <w:rFonts w:ascii="Palatino Linotype" w:hAnsi="Palatino Linotype"/>
          <w:color w:val="000000" w:themeColor="text1"/>
        </w:rPr>
        <w:t xml:space="preserve"> content and gross NH</w:t>
      </w:r>
      <w:r w:rsidR="00D71630" w:rsidRPr="00921CAD">
        <w:rPr>
          <w:rFonts w:ascii="Palatino Linotype" w:hAnsi="Palatino Linotype"/>
          <w:color w:val="000000" w:themeColor="text1"/>
          <w:vertAlign w:val="subscript"/>
        </w:rPr>
        <w:t>4</w:t>
      </w:r>
      <w:r w:rsidR="00D71630" w:rsidRPr="00921CAD">
        <w:rPr>
          <w:rFonts w:ascii="Palatino Linotype" w:hAnsi="Palatino Linotype"/>
          <w:color w:val="000000" w:themeColor="text1"/>
          <w:vertAlign w:val="superscript"/>
        </w:rPr>
        <w:t>+</w:t>
      </w:r>
      <w:r w:rsidR="00D71630" w:rsidRPr="00921CAD">
        <w:rPr>
          <w:rFonts w:ascii="Palatino Linotype" w:hAnsi="Palatino Linotype"/>
          <w:color w:val="000000" w:themeColor="text1"/>
        </w:rPr>
        <w:t xml:space="preserve"> production rate as the substrate supply and the abundance of the bacterial and archaeal </w:t>
      </w:r>
      <w:r w:rsidR="00D71630" w:rsidRPr="00921CAD">
        <w:rPr>
          <w:rFonts w:ascii="Palatino Linotype" w:hAnsi="Palatino Linotype"/>
          <w:i/>
          <w:color w:val="000000" w:themeColor="text1"/>
        </w:rPr>
        <w:t>amoA</w:t>
      </w:r>
      <w:r w:rsidR="00D71630" w:rsidRPr="00921CAD">
        <w:rPr>
          <w:rFonts w:ascii="Palatino Linotype" w:hAnsi="Palatino Linotype"/>
          <w:color w:val="000000" w:themeColor="text1"/>
        </w:rPr>
        <w:t xml:space="preserve"> as the abundance of nitrifiers. The gene abundances were log</w:t>
      </w:r>
      <w:r w:rsidR="00D71630" w:rsidRPr="00921CAD">
        <w:rPr>
          <w:rFonts w:ascii="Palatino Linotype" w:hAnsi="Palatino Linotype"/>
          <w:color w:val="000000" w:themeColor="text1"/>
          <w:vertAlign w:val="subscript"/>
        </w:rPr>
        <w:t>10</w:t>
      </w:r>
      <w:r w:rsidR="00D71630" w:rsidRPr="00921CAD">
        <w:rPr>
          <w:rFonts w:ascii="Palatino Linotype" w:hAnsi="Palatino Linotype"/>
          <w:color w:val="000000" w:themeColor="text1"/>
        </w:rPr>
        <w:t>-transformed. Reduced models were created by eliminating the paths with the highest probability values in a stepwise manner until all paths between two variables were significant (p &lt; 0.05)</w:t>
      </w:r>
      <w:r w:rsidR="00B2028D" w:rsidRPr="00921CAD">
        <w:rPr>
          <w:rFonts w:ascii="Palatino Linotype" w:hAnsi="Palatino Linotype"/>
          <w:color w:val="000000" w:themeColor="text1"/>
        </w:rPr>
        <w:t xml:space="preserve">, as described in </w:t>
      </w:r>
      <w:r w:rsidR="00B2028D" w:rsidRPr="00921CAD">
        <w:rPr>
          <w:rFonts w:ascii="Palatino Linotype" w:hAnsi="Palatino Linotype"/>
          <w:color w:val="000000" w:themeColor="text1"/>
        </w:rPr>
        <w:fldChar w:fldCharType="begin" w:fldLock="1"/>
      </w:r>
      <w:r w:rsidR="00B2028D" w:rsidRPr="00921CAD">
        <w:rPr>
          <w:rFonts w:ascii="Palatino Linotype" w:hAnsi="Palatino Linotype"/>
          <w:color w:val="000000" w:themeColor="text1"/>
        </w:rPr>
        <w:instrText>ADDIN CSL_CITATION {"citationItems":[{"id":"ITEM-1","itemData":{"DOI":"10.1111/j.1462-2920.2011.02679.x","ISBN":"1462-2920","ISSN":"14622912","PMID":"22225623","abstract":"Nitrification and denitrification processes are crucial to plant nutrient availability, eutrophication and greenhouse gas production both locally and globally. Unravelling the major environmental predictors for nitrification and denitrification is thus pivotal in order to understand and model environmental nitrogen (N) cycling. Here, we sampled five plant community types characteristic of interior Alaska, including black spruce, bog birch, tussock grass and two fens. We assessed abundance of functional genes affiliated with nitrification (bacterial and archaeal amoA) and denitrification (nirK/S and nosZ) using qPCR, soil characteristics, potential nitrification and denitrification rates (PNR and PDR) and gross mineralization rates. The main chemical and biological predictors for PNR and PDR were assigned through path analysis. The potential N cycling rates varied dramatically between sites, from some of the highest (in fens) to some of the lowest (in black spruce) measured globally. Based on path analysis, functional gene abundances were the most important variables to predict potential rates. PNR was best explained by bacterial amoA gene abundance followed by ammonium content, whereas PDR was best explained directly by nosZ gene abundance and indirectly by nirK/S gene abundance and nitrate. Hence, functional gene abundance is a valuable index that integrates recent environmental history and recent process activity, and therefore is a good predictor of potential rates. The results of this study contribute to our understanding of the relative importance of different biological and chemical factors in driving the potential for nitrification and denitrification across terrestrial ecosystems.","author":[{"dropping-particle":"","family":"Petersen","given":"Dorthe Groth","non-dropping-particle":"","parse-names":false,"suffix":""},{"dropping-particle":"","family":"Blazewicz","given":"Steven J.","non-dropping-particle":"","parse-names":false,"suffix":""},{"dropping-particle":"","family":"Firestone","given":"Mary","non-dropping-particle":"","parse-names":false,"suffix":""},{"dropping-particle":"","family":"Herman","given":"Donald J.","non-dropping-particle":"","parse-names":false,"suffix":""},{"dropping-particle":"","family":"Turetsky","given":"Merritt","non-dropping-particle":"","parse-names":false,"suffix":""},{"dropping-particle":"","family":"Waldrop","given":"Mark","non-dropping-particle":"","parse-names":false,"suffix":""}],"container-title":"Environmental Microbiology","id":"ITEM-1","issue":"4","issued":{"date-parts":[["2012"]]},"page":"993-1008","title":"Abundance of microbial genes associated with nitrogen cycling as indices of biogeochemical process rates across a vegetation gradient in Alaska","type":"article-journal","volume":"14"},"uris":["http://www.mendeley.com/documents/?uuid=93735585-6090-461b-82fe-b475daf74ff2"]}],"mendeley":{"formattedCitation":"(Petersen &lt;i&gt;et al.&lt;/i&gt; 2012)","manualFormatting":"Petersen et al. (2012)","plainTextFormattedCitation":"(Petersen et al. 2012)"},"properties":{"noteIndex":0},"schema":"https://github.com/citation-style-language/schema/raw/master/csl-citation.json"}</w:instrText>
      </w:r>
      <w:r w:rsidR="00B2028D" w:rsidRPr="00921CAD">
        <w:rPr>
          <w:rFonts w:ascii="Palatino Linotype" w:hAnsi="Palatino Linotype"/>
          <w:color w:val="000000" w:themeColor="text1"/>
        </w:rPr>
        <w:fldChar w:fldCharType="separate"/>
      </w:r>
      <w:r w:rsidR="00B2028D" w:rsidRPr="00921CAD">
        <w:rPr>
          <w:rFonts w:ascii="Palatino Linotype" w:hAnsi="Palatino Linotype"/>
          <w:noProof/>
          <w:color w:val="000000" w:themeColor="text1"/>
        </w:rPr>
        <w:t xml:space="preserve">Petersen </w:t>
      </w:r>
      <w:r w:rsidR="00B2028D" w:rsidRPr="00921CAD">
        <w:rPr>
          <w:rFonts w:ascii="Palatino Linotype" w:hAnsi="Palatino Linotype"/>
          <w:i/>
          <w:noProof/>
          <w:color w:val="000000" w:themeColor="text1"/>
        </w:rPr>
        <w:t>et al.</w:t>
      </w:r>
      <w:r w:rsidR="00B2028D" w:rsidRPr="00921CAD">
        <w:rPr>
          <w:rFonts w:ascii="Palatino Linotype" w:hAnsi="Palatino Linotype"/>
          <w:noProof/>
          <w:color w:val="000000" w:themeColor="text1"/>
        </w:rPr>
        <w:t xml:space="preserve"> (2012)</w:t>
      </w:r>
      <w:r w:rsidR="00B2028D" w:rsidRPr="00921CAD">
        <w:rPr>
          <w:rFonts w:ascii="Palatino Linotype" w:hAnsi="Palatino Linotype"/>
          <w:color w:val="000000" w:themeColor="text1"/>
        </w:rPr>
        <w:fldChar w:fldCharType="end"/>
      </w:r>
      <w:r w:rsidR="00D71630" w:rsidRPr="00921CAD">
        <w:rPr>
          <w:rFonts w:ascii="Palatino Linotype" w:hAnsi="Palatino Linotype"/>
          <w:color w:val="000000" w:themeColor="text1"/>
        </w:rPr>
        <w:t xml:space="preserve">. </w:t>
      </w:r>
      <w:r w:rsidR="00592A3F" w:rsidRPr="00921CAD">
        <w:rPr>
          <w:rFonts w:ascii="Palatino Linotype" w:hAnsi="Palatino Linotype"/>
          <w:color w:val="000000" w:themeColor="text1"/>
        </w:rPr>
        <w:t xml:space="preserve">For model goodness-of-fit, </w:t>
      </w:r>
      <w:r w:rsidR="007D2F7E" w:rsidRPr="00921CAD">
        <w:rPr>
          <w:rFonts w:ascii="Palatino Linotype" w:hAnsi="Palatino Linotype"/>
          <w:color w:val="000000" w:themeColor="text1"/>
        </w:rPr>
        <w:t>we used chi-square (χ</w:t>
      </w:r>
      <w:r w:rsidR="007D2F7E" w:rsidRPr="00921CAD">
        <w:rPr>
          <w:rFonts w:ascii="Palatino Linotype" w:hAnsi="Palatino Linotype"/>
          <w:color w:val="000000" w:themeColor="text1"/>
          <w:vertAlign w:val="superscript"/>
        </w:rPr>
        <w:t>2</w:t>
      </w:r>
      <w:r w:rsidR="007D2F7E" w:rsidRPr="00921CAD">
        <w:rPr>
          <w:rFonts w:ascii="Palatino Linotype" w:hAnsi="Palatino Linotype"/>
          <w:color w:val="000000" w:themeColor="text1"/>
        </w:rPr>
        <w:t>) statistics and comparative fit index (CFI)</w:t>
      </w:r>
      <w:r w:rsidR="00F90CF6" w:rsidRPr="00921CAD">
        <w:rPr>
          <w:rFonts w:ascii="Palatino Linotype" w:hAnsi="Palatino Linotype"/>
          <w:color w:val="000000" w:themeColor="text1"/>
        </w:rPr>
        <w:t xml:space="preserve"> (</w:t>
      </w:r>
      <w:r w:rsidR="00F90CF6" w:rsidRPr="00921CAD">
        <w:rPr>
          <w:rFonts w:ascii="Palatino Linotype" w:hAnsi="Palatino Linotype"/>
          <w:color w:val="000000" w:themeColor="text1"/>
        </w:rPr>
        <w:fldChar w:fldCharType="begin" w:fldLock="1"/>
      </w:r>
      <w:r w:rsidR="00F90CF6" w:rsidRPr="00921CAD">
        <w:rPr>
          <w:rFonts w:ascii="Palatino Linotype" w:hAnsi="Palatino Linotype"/>
          <w:color w:val="000000" w:themeColor="text1"/>
        </w:rPr>
        <w:instrText>ADDIN CSL_CITATION {"citationItems":[{"id":"ITEM-1","itemData":{"DOI":"10.1016/j.pedobi.2015.03.002","ISSN":"00314056","abstract":"In this perspectives paper we highlight a heretofore underused statistical method in soil ecological research, structural equation modeling (SEM). SEM is commonly used in the general ecological literature to develop causal understanding from observational data, but has been more slowly adopted by soil ecologists. We provide some basic information on the many advantages and possibilities associated with using SEM and provide some examples of how SEM can be used by soil ecologists to shift focus from describing patterns to developing causal understanding and inspiring new types of experimental tests. SEM is a promising tool to aid the growth of soil ecology as a discipline, particularly by supporting research that is increasingly hypothesis-driven and interdisciplinary, thus shining light into the black box of interactions belowground.","author":[{"dropping-particle":"","family":"Eisenhauer","given":"Nico","non-dropping-particle":"","parse-names":false,"suffix":""},{"dropping-particle":"","family":"Bowker","given":"Matthew A.","non-dropping-particle":"","parse-names":false,"suffix":""},{"dropping-particle":"","family":"Grace","given":"James B.","non-dropping-particle":"","parse-names":false,"suffix":""},{"dropping-particle":"","family":"Powell","given":"Jeff R.","non-dropping-particle":"","parse-names":false,"suffix":""}],"container-title":"Pedobiologia","id":"ITEM-1","issue":"2-3","issued":{"date-parts":[["2015"]]},"page":"65-72","publisher":"Elsevier GmbH.","title":"From patterns to causal understanding: Structural equation modeling (SEM) in soil ecology","type":"article-journal","volume":"58"},"uris":["http://www.mendeley.com/documents/?uuid=8d2994e9-b762-47a3-8c48-0d4af27e4b7c"]}],"mendeley":{"formattedCitation":"(Eisenhauer &lt;i&gt;et al.&lt;/i&gt; 2015)","manualFormatting":"Eisenhauer et al. 2015)","plainTextFormattedCitation":"(Eisenhauer et al. 2015)","previouslyFormattedCitation":"(Eisenhauer &lt;i&gt;et al.&lt;/i&gt; 2015)"},"properties":{"noteIndex":0},"schema":"https://github.com/citation-style-language/schema/raw/master/csl-citation.json"}</w:instrText>
      </w:r>
      <w:r w:rsidR="00F90CF6" w:rsidRPr="00921CAD">
        <w:rPr>
          <w:rFonts w:ascii="Palatino Linotype" w:hAnsi="Palatino Linotype"/>
          <w:color w:val="000000" w:themeColor="text1"/>
        </w:rPr>
        <w:fldChar w:fldCharType="separate"/>
      </w:r>
      <w:r w:rsidR="00F90CF6" w:rsidRPr="00921CAD">
        <w:rPr>
          <w:rFonts w:ascii="Palatino Linotype" w:hAnsi="Palatino Linotype"/>
          <w:noProof/>
          <w:color w:val="000000" w:themeColor="text1"/>
        </w:rPr>
        <w:t xml:space="preserve">Eisenhauer </w:t>
      </w:r>
      <w:r w:rsidR="00F90CF6" w:rsidRPr="00921CAD">
        <w:rPr>
          <w:rFonts w:ascii="Palatino Linotype" w:hAnsi="Palatino Linotype"/>
          <w:i/>
          <w:noProof/>
          <w:color w:val="000000" w:themeColor="text1"/>
        </w:rPr>
        <w:t>et al.</w:t>
      </w:r>
      <w:r w:rsidR="00F90CF6" w:rsidRPr="00921CAD">
        <w:rPr>
          <w:rFonts w:ascii="Palatino Linotype" w:hAnsi="Palatino Linotype"/>
          <w:noProof/>
          <w:color w:val="000000" w:themeColor="text1"/>
        </w:rPr>
        <w:t xml:space="preserve"> 2015)</w:t>
      </w:r>
      <w:r w:rsidR="00F90CF6" w:rsidRPr="00921CAD">
        <w:rPr>
          <w:rFonts w:ascii="Palatino Linotype" w:hAnsi="Palatino Linotype"/>
          <w:color w:val="000000" w:themeColor="text1"/>
        </w:rPr>
        <w:fldChar w:fldCharType="end"/>
      </w:r>
      <w:r w:rsidR="007D2F7E" w:rsidRPr="00921CAD">
        <w:rPr>
          <w:rFonts w:ascii="Palatino Linotype" w:hAnsi="Palatino Linotype"/>
          <w:color w:val="000000" w:themeColor="text1"/>
        </w:rPr>
        <w:t xml:space="preserve">. </w:t>
      </w:r>
      <w:r w:rsidR="009744F7" w:rsidRPr="00921CAD">
        <w:rPr>
          <w:rFonts w:ascii="Palatino Linotype" w:hAnsi="Palatino Linotype"/>
          <w:color w:val="000000" w:themeColor="text1"/>
        </w:rPr>
        <w:t xml:space="preserve">If the </w:t>
      </w:r>
      <w:r w:rsidR="007D2F7E" w:rsidRPr="00921CAD">
        <w:rPr>
          <w:rFonts w:ascii="Palatino Linotype" w:hAnsi="Palatino Linotype"/>
          <w:color w:val="000000" w:themeColor="text1"/>
        </w:rPr>
        <w:t>χ</w:t>
      </w:r>
      <w:r w:rsidR="007D2F7E" w:rsidRPr="00921CAD">
        <w:rPr>
          <w:rFonts w:ascii="Palatino Linotype" w:hAnsi="Palatino Linotype"/>
          <w:color w:val="000000" w:themeColor="text1"/>
          <w:vertAlign w:val="superscript"/>
        </w:rPr>
        <w:t>2</w:t>
      </w:r>
      <w:r w:rsidR="009744F7" w:rsidRPr="00921CAD">
        <w:rPr>
          <w:rFonts w:ascii="Palatino Linotype" w:hAnsi="Palatino Linotype"/>
          <w:color w:val="000000" w:themeColor="text1"/>
        </w:rPr>
        <w:t xml:space="preserve"> was statistically non-significant (p &gt; 0.05)</w:t>
      </w:r>
      <w:r w:rsidR="007D2F7E" w:rsidRPr="00921CAD">
        <w:rPr>
          <w:rFonts w:ascii="Palatino Linotype" w:hAnsi="Palatino Linotype"/>
          <w:color w:val="000000" w:themeColor="text1"/>
        </w:rPr>
        <w:t xml:space="preserve"> and CFI value is greater than 0.9,</w:t>
      </w:r>
      <w:r w:rsidR="009744F7" w:rsidRPr="00921CAD">
        <w:rPr>
          <w:rFonts w:ascii="Palatino Linotype" w:hAnsi="Palatino Linotype"/>
          <w:color w:val="000000" w:themeColor="text1"/>
        </w:rPr>
        <w:t xml:space="preserve"> the model was a good fit to the </w:t>
      </w:r>
      <w:r w:rsidR="007D2F7E" w:rsidRPr="00921CAD">
        <w:rPr>
          <w:rFonts w:ascii="Palatino Linotype" w:hAnsi="Palatino Linotype"/>
          <w:color w:val="000000" w:themeColor="text1"/>
        </w:rPr>
        <w:t>dataset</w:t>
      </w:r>
      <w:r w:rsidR="009744F7" w:rsidRPr="00921CAD">
        <w:rPr>
          <w:rFonts w:ascii="Palatino Linotype" w:hAnsi="Palatino Linotype"/>
          <w:color w:val="000000" w:themeColor="text1"/>
        </w:rPr>
        <w:t>.</w:t>
      </w:r>
      <w:r w:rsidR="007D2F7E" w:rsidRPr="00921CAD">
        <w:rPr>
          <w:rFonts w:ascii="Palatino Linotype" w:hAnsi="Palatino Linotype"/>
          <w:color w:val="000000" w:themeColor="text1"/>
        </w:rPr>
        <w:t xml:space="preserve"> The final hypothetical relationship between variables were adequate fits to the dataset for both ammonification (χ</w:t>
      </w:r>
      <w:r w:rsidR="007D2F7E" w:rsidRPr="00921CAD">
        <w:rPr>
          <w:rFonts w:ascii="Palatino Linotype" w:hAnsi="Palatino Linotype"/>
          <w:color w:val="000000" w:themeColor="text1"/>
          <w:vertAlign w:val="superscript"/>
        </w:rPr>
        <w:t xml:space="preserve">2 </w:t>
      </w:r>
      <w:r w:rsidR="007D2F7E" w:rsidRPr="00921CAD">
        <w:rPr>
          <w:rFonts w:ascii="Palatino Linotype" w:hAnsi="Palatino Linotype"/>
          <w:color w:val="000000" w:themeColor="text1"/>
        </w:rPr>
        <w:t>= 3.901, p = 0.564, CFI = 1) and nitrification (χ</w:t>
      </w:r>
      <w:r w:rsidR="007D2F7E" w:rsidRPr="00921CAD">
        <w:rPr>
          <w:rFonts w:ascii="Palatino Linotype" w:hAnsi="Palatino Linotype"/>
          <w:color w:val="000000" w:themeColor="text1"/>
          <w:vertAlign w:val="superscript"/>
        </w:rPr>
        <w:t>2</w:t>
      </w:r>
      <w:r w:rsidR="007D2F7E" w:rsidRPr="00921CAD">
        <w:rPr>
          <w:rFonts w:ascii="Palatino Linotype" w:hAnsi="Palatino Linotype"/>
          <w:color w:val="000000" w:themeColor="text1"/>
        </w:rPr>
        <w:t xml:space="preserve"> = 3.294, p = 0.193, CFI = 0.980).</w:t>
      </w:r>
    </w:p>
    <w:p w14:paraId="7E07F6D6" w14:textId="228687A2" w:rsidR="00481700" w:rsidRPr="00921CAD" w:rsidRDefault="007D2F7E" w:rsidP="00F90CF6">
      <w:pPr>
        <w:rPr>
          <w:rFonts w:ascii="Palatino Linotype" w:hAnsi="Palatino Linotype"/>
          <w:color w:val="000000" w:themeColor="text1"/>
        </w:rPr>
      </w:pPr>
      <w:r w:rsidRPr="00921CAD">
        <w:rPr>
          <w:rFonts w:ascii="Palatino Linotype" w:hAnsi="Palatino Linotype"/>
          <w:color w:val="000000" w:themeColor="text1"/>
        </w:rPr>
        <w:tab/>
      </w:r>
      <w:r w:rsidR="00481700" w:rsidRPr="00921CAD">
        <w:rPr>
          <w:rFonts w:ascii="Palatino Linotype" w:hAnsi="Palatino Linotype"/>
          <w:color w:val="000000" w:themeColor="text1"/>
        </w:rPr>
        <w:t xml:space="preserve">Spatial change in the community composition was visualized via a nonmetric multidimensional scaling ordination with Bray–Curtis similarities using the </w:t>
      </w:r>
      <w:r w:rsidR="00481700" w:rsidRPr="00921CAD">
        <w:rPr>
          <w:rFonts w:ascii="Palatino Linotype" w:hAnsi="Palatino Linotype"/>
          <w:i/>
          <w:color w:val="000000" w:themeColor="text1"/>
        </w:rPr>
        <w:t>phyloseq</w:t>
      </w:r>
      <w:r w:rsidR="00481700" w:rsidRPr="00921CAD">
        <w:rPr>
          <w:rFonts w:ascii="Palatino Linotype" w:hAnsi="Palatino Linotype"/>
          <w:color w:val="000000" w:themeColor="text1"/>
        </w:rPr>
        <w:t xml:space="preserve"> package </w:t>
      </w:r>
      <w:r w:rsidR="00481700" w:rsidRPr="00921CAD">
        <w:rPr>
          <w:rFonts w:ascii="Palatino Linotype" w:hAnsi="Palatino Linotype"/>
          <w:color w:val="000000" w:themeColor="text1"/>
        </w:rPr>
        <w:fldChar w:fldCharType="begin" w:fldLock="1"/>
      </w:r>
      <w:r w:rsidR="00481700" w:rsidRPr="00921CAD">
        <w:rPr>
          <w:rFonts w:ascii="Palatino Linotype" w:hAnsi="Palatino Linotype"/>
          <w:color w:val="000000" w:themeColor="text1"/>
        </w:rPr>
        <w:instrText>ADDIN CSL_CITATION {"citationItems":[{"id":"ITEM-1","itemData":{"DOI":"10.1371/journal.pone.0061217","ISBN":"1932-6203 (Electronic)\\r1932-6203 (Linking)","ISSN":"1932-6203","PMID":"23630581","abstract":"BACKGROUND: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ONE","editor":[{"dropping-particle":"","family":"Watson","given":"Michael","non-dropping-particle":"","parse-names":false,"suffix":""}],"id":"ITEM-1","issue":"4","issued":{"date-parts":[["2013","4","22"]]},"page":"e61217","title":"phyloseq: An R Package for Reproducible Interactive Analysis and Graphics of Microbiome Census Data","type":"article-journal","volume":"8"},"uris":["http://www.mendeley.com/documents/?uuid=a0b451cf-2677-4519-8e6b-9024abaa2245"]}],"mendeley":{"formattedCitation":"(McMurdie &amp; Holmes 2013)","plainTextFormattedCitation":"(McMurdie &amp; Holmes 2013)","previouslyFormattedCitation":"(McMurdie &amp; Holmes 2013)"},"properties":{"noteIndex":0},"schema":"https://github.com/citation-style-language/schema/raw/master/csl-citation.json"}</w:instrText>
      </w:r>
      <w:r w:rsidR="00481700" w:rsidRPr="00921CAD">
        <w:rPr>
          <w:rFonts w:ascii="Palatino Linotype" w:hAnsi="Palatino Linotype"/>
          <w:color w:val="000000" w:themeColor="text1"/>
        </w:rPr>
        <w:fldChar w:fldCharType="separate"/>
      </w:r>
      <w:r w:rsidR="00481700" w:rsidRPr="00921CAD">
        <w:rPr>
          <w:rFonts w:ascii="Palatino Linotype" w:hAnsi="Palatino Linotype"/>
          <w:noProof/>
          <w:color w:val="000000" w:themeColor="text1"/>
        </w:rPr>
        <w:t>(McMurdie &amp; Holmes 2013)</w:t>
      </w:r>
      <w:r w:rsidR="00481700" w:rsidRPr="00921CAD">
        <w:rPr>
          <w:rFonts w:ascii="Palatino Linotype" w:hAnsi="Palatino Linotype"/>
          <w:color w:val="000000" w:themeColor="text1"/>
        </w:rPr>
        <w:fldChar w:fldCharType="end"/>
      </w:r>
      <w:r w:rsidR="00481700" w:rsidRPr="00921CAD">
        <w:rPr>
          <w:rFonts w:ascii="Palatino Linotype" w:hAnsi="Palatino Linotype"/>
          <w:color w:val="000000" w:themeColor="text1"/>
        </w:rPr>
        <w:t xml:space="preserve">. Then, the community composition was statistically compared among the slope positions via a permutational multivariate analysis of variance (PERMANOVA) test using the “adonis” function in the </w:t>
      </w:r>
      <w:r w:rsidR="00481700" w:rsidRPr="00921CAD">
        <w:rPr>
          <w:rFonts w:ascii="Palatino Linotype" w:hAnsi="Palatino Linotype"/>
          <w:i/>
          <w:color w:val="000000" w:themeColor="text1"/>
        </w:rPr>
        <w:t>vegan</w:t>
      </w:r>
      <w:r w:rsidR="00481700" w:rsidRPr="00921CAD">
        <w:rPr>
          <w:rFonts w:ascii="Palatino Linotype" w:hAnsi="Palatino Linotype"/>
          <w:color w:val="000000" w:themeColor="text1"/>
        </w:rPr>
        <w:t xml:space="preserve"> </w:t>
      </w:r>
      <w:r w:rsidR="00481700" w:rsidRPr="00921CAD">
        <w:rPr>
          <w:rFonts w:ascii="Palatino Linotype" w:hAnsi="Palatino Linotype"/>
          <w:color w:val="000000" w:themeColor="text1"/>
        </w:rPr>
        <w:lastRenderedPageBreak/>
        <w:t xml:space="preserve">package </w:t>
      </w:r>
      <w:r w:rsidR="00481700" w:rsidRPr="00921CAD">
        <w:rPr>
          <w:rFonts w:ascii="Palatino Linotype" w:hAnsi="Palatino Linotype"/>
          <w:color w:val="000000" w:themeColor="text1"/>
        </w:rPr>
        <w:fldChar w:fldCharType="begin" w:fldLock="1"/>
      </w:r>
      <w:r w:rsidR="00481700" w:rsidRPr="00921CAD">
        <w:rPr>
          <w:rFonts w:ascii="Palatino Linotype" w:hAnsi="Palatino Linotype"/>
          <w:color w:val="000000" w:themeColor="text1"/>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R","non-dropping-particle":"","parse-names":false,"suffix":""},{"dropping-particle":"","family":"Hara","given":"R B O","non-dropping-particle":"","parse-names":false,"suffix":""},{"dropping-particle":"","family":"Simpson","given":"Gavin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H","non-dropping-particle":"","parse-names":false,"suffix":""}],"container-title":"Available at http://CRAN.R-project.org/package=vegan.","id":"ITEM-1","issued":{"date-parts":[["2017"]]},"title":"vegan: Community Ecology Package","type":"article-journal"},"uris":["http://www.mendeley.com/documents/?uuid=acacc2c9-b83d-409f-9a92-eb015903ad4b"]}],"mendeley":{"formattedCitation":"(Oksanen &lt;i&gt;et al.&lt;/i&gt; 2017)","plainTextFormattedCitation":"(Oksanen et al. 2017)","previouslyFormattedCitation":"(Oksanen &lt;i&gt;et al.&lt;/i&gt; 2017)"},"properties":{"noteIndex":0},"schema":"https://github.com/citation-style-language/schema/raw/master/csl-citation.json"}</w:instrText>
      </w:r>
      <w:r w:rsidR="00481700" w:rsidRPr="00921CAD">
        <w:rPr>
          <w:rFonts w:ascii="Palatino Linotype" w:hAnsi="Palatino Linotype"/>
          <w:color w:val="000000" w:themeColor="text1"/>
        </w:rPr>
        <w:fldChar w:fldCharType="separate"/>
      </w:r>
      <w:r w:rsidR="00481700" w:rsidRPr="00921CAD">
        <w:rPr>
          <w:rFonts w:ascii="Palatino Linotype" w:hAnsi="Palatino Linotype"/>
          <w:noProof/>
          <w:color w:val="000000" w:themeColor="text1"/>
        </w:rPr>
        <w:t xml:space="preserve">(Oksanen </w:t>
      </w:r>
      <w:r w:rsidR="00481700" w:rsidRPr="00921CAD">
        <w:rPr>
          <w:rFonts w:ascii="Palatino Linotype" w:hAnsi="Palatino Linotype"/>
          <w:i/>
          <w:noProof/>
          <w:color w:val="000000" w:themeColor="text1"/>
        </w:rPr>
        <w:t>et al.</w:t>
      </w:r>
      <w:r w:rsidR="00481700" w:rsidRPr="00921CAD">
        <w:rPr>
          <w:rFonts w:ascii="Palatino Linotype" w:hAnsi="Palatino Linotype"/>
          <w:noProof/>
          <w:color w:val="000000" w:themeColor="text1"/>
        </w:rPr>
        <w:t xml:space="preserve"> 2017)</w:t>
      </w:r>
      <w:r w:rsidR="00481700" w:rsidRPr="00921CAD">
        <w:rPr>
          <w:rFonts w:ascii="Palatino Linotype" w:hAnsi="Palatino Linotype"/>
          <w:color w:val="000000" w:themeColor="text1"/>
        </w:rPr>
        <w:fldChar w:fldCharType="end"/>
      </w:r>
      <w:r w:rsidR="00481700" w:rsidRPr="00921CAD">
        <w:rPr>
          <w:rFonts w:ascii="Palatino Linotype" w:hAnsi="Palatino Linotype"/>
          <w:color w:val="000000" w:themeColor="text1"/>
        </w:rPr>
        <w:t xml:space="preserve">. The Bray–Curtis similarity between two communities was statistically compared with the geographic distance between the communities via a Mantel test with 999 permutations using the “mantel” function in the </w:t>
      </w:r>
      <w:r w:rsidR="00481700" w:rsidRPr="00921CAD">
        <w:rPr>
          <w:rFonts w:ascii="Palatino Linotype" w:hAnsi="Palatino Linotype"/>
          <w:i/>
          <w:color w:val="000000" w:themeColor="text1"/>
        </w:rPr>
        <w:t>vegan</w:t>
      </w:r>
      <w:r w:rsidR="00481700" w:rsidRPr="00921CAD">
        <w:rPr>
          <w:rFonts w:ascii="Palatino Linotype" w:hAnsi="Palatino Linotype"/>
          <w:color w:val="000000" w:themeColor="text1"/>
        </w:rPr>
        <w:t xml:space="preserve"> package. The soil environmental variables that strongly correlated with the compositional similarity </w:t>
      </w:r>
      <w:r w:rsidR="002D2B99" w:rsidRPr="00921CAD">
        <w:rPr>
          <w:rFonts w:ascii="Palatino Linotype" w:hAnsi="Palatino Linotype"/>
          <w:color w:val="000000" w:themeColor="text1"/>
        </w:rPr>
        <w:t xml:space="preserve">were </w:t>
      </w:r>
      <w:r w:rsidR="00481700" w:rsidRPr="00921CAD">
        <w:rPr>
          <w:rFonts w:ascii="Palatino Linotype" w:hAnsi="Palatino Linotype"/>
          <w:color w:val="000000" w:themeColor="text1"/>
        </w:rPr>
        <w:t xml:space="preserve">explored using the “envfit” function </w:t>
      </w:r>
      <w:r w:rsidRPr="00921CAD">
        <w:rPr>
          <w:rFonts w:ascii="Palatino Linotype" w:hAnsi="Palatino Linotype"/>
          <w:color w:val="000000" w:themeColor="text1"/>
        </w:rPr>
        <w:t xml:space="preserve">with 999 permutations </w:t>
      </w:r>
      <w:r w:rsidR="00481700" w:rsidRPr="00921CAD">
        <w:rPr>
          <w:rFonts w:ascii="Palatino Linotype" w:hAnsi="Palatino Linotype"/>
          <w:color w:val="000000" w:themeColor="text1"/>
        </w:rPr>
        <w:t xml:space="preserve">in the </w:t>
      </w:r>
      <w:r w:rsidR="00481700" w:rsidRPr="00921CAD">
        <w:rPr>
          <w:rFonts w:ascii="Palatino Linotype" w:hAnsi="Palatino Linotype"/>
          <w:i/>
          <w:color w:val="000000" w:themeColor="text1"/>
        </w:rPr>
        <w:t>vegan</w:t>
      </w:r>
      <w:r w:rsidR="00481700" w:rsidRPr="00921CAD">
        <w:rPr>
          <w:rFonts w:ascii="Palatino Linotype" w:hAnsi="Palatino Linotype"/>
          <w:color w:val="000000" w:themeColor="text1"/>
        </w:rPr>
        <w:t xml:space="preserve"> package.</w:t>
      </w:r>
    </w:p>
    <w:p w14:paraId="6F351CC1" w14:textId="5F53ADEF" w:rsidR="009359B2" w:rsidRPr="00921CAD" w:rsidRDefault="009359B2" w:rsidP="00A60591">
      <w:pPr>
        <w:rPr>
          <w:rFonts w:ascii="Palatino Linotype" w:hAnsi="Palatino Linotype"/>
          <w:color w:val="000000" w:themeColor="text1"/>
        </w:rPr>
      </w:pPr>
    </w:p>
    <w:p w14:paraId="2844A588" w14:textId="77777777" w:rsidR="00F1568C" w:rsidRPr="00921CAD" w:rsidRDefault="00F1568C" w:rsidP="00757CD2">
      <w:pPr>
        <w:rPr>
          <w:rFonts w:ascii="Palatino Linotype" w:hAnsi="Palatino Linotype"/>
          <w:color w:val="000000" w:themeColor="text1"/>
        </w:rPr>
      </w:pPr>
    </w:p>
    <w:p w14:paraId="78A7FA6A" w14:textId="59C6262B" w:rsidR="008473AA" w:rsidRPr="00921CAD" w:rsidRDefault="008473AA">
      <w:pPr>
        <w:rPr>
          <w:rFonts w:ascii="Palatino Linotype" w:hAnsi="Palatino Linotype"/>
          <w:b/>
          <w:color w:val="000000" w:themeColor="text1"/>
        </w:rPr>
      </w:pPr>
      <w:r w:rsidRPr="00921CAD">
        <w:rPr>
          <w:rFonts w:ascii="Palatino Linotype" w:hAnsi="Palatino Linotype"/>
          <w:b/>
          <w:color w:val="000000" w:themeColor="text1"/>
        </w:rPr>
        <w:t>References</w:t>
      </w:r>
    </w:p>
    <w:p w14:paraId="5D90631B" w14:textId="5EFA4D59" w:rsidR="00B2028D" w:rsidRPr="00921CAD" w:rsidRDefault="009359B2"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fldChar w:fldCharType="begin" w:fldLock="1"/>
      </w:r>
      <w:r w:rsidRPr="00921CAD">
        <w:rPr>
          <w:rFonts w:ascii="Palatino Linotype" w:hAnsi="Palatino Linotype"/>
          <w:color w:val="000000" w:themeColor="text1"/>
        </w:rPr>
        <w:instrText xml:space="preserve">ADDIN Mendeley Bibliography CSL_BIBLIOGRAPHY </w:instrText>
      </w:r>
      <w:r w:rsidRPr="00921CAD">
        <w:rPr>
          <w:rFonts w:ascii="Palatino Linotype" w:hAnsi="Palatino Linotype"/>
          <w:color w:val="000000" w:themeColor="text1"/>
        </w:rPr>
        <w:fldChar w:fldCharType="separate"/>
      </w:r>
      <w:r w:rsidR="00B2028D" w:rsidRPr="00921CAD">
        <w:rPr>
          <w:rFonts w:ascii="Palatino Linotype" w:hAnsi="Palatino Linotype"/>
          <w:color w:val="000000" w:themeColor="text1"/>
        </w:rPr>
        <w:t xml:space="preserve">Caporaso, J.G., Lauber, C.L., Walters, W.A., Berg-Lyons, D., Lozupone, C.A., Turnbaugh, P.J., </w:t>
      </w:r>
      <w:r w:rsidR="00B2028D" w:rsidRPr="00921CAD">
        <w:rPr>
          <w:rFonts w:ascii="Palatino Linotype" w:hAnsi="Palatino Linotype"/>
          <w:i/>
          <w:color w:val="000000" w:themeColor="text1"/>
        </w:rPr>
        <w:t>et al.</w:t>
      </w:r>
      <w:r w:rsidR="00B2028D" w:rsidRPr="00921CAD">
        <w:rPr>
          <w:rFonts w:ascii="Palatino Linotype" w:hAnsi="Palatino Linotype"/>
          <w:color w:val="000000" w:themeColor="text1"/>
        </w:rPr>
        <w:t xml:space="preserve"> (2011). Global patterns of 16S rRNA diversity at a depth of millions of sequences per sample. </w:t>
      </w:r>
      <w:r w:rsidR="00B2028D" w:rsidRPr="00921CAD">
        <w:rPr>
          <w:rFonts w:ascii="Palatino Linotype" w:hAnsi="Palatino Linotype"/>
          <w:i/>
          <w:color w:val="000000" w:themeColor="text1"/>
        </w:rPr>
        <w:t>Proc. Natl. Acad. Sci.</w:t>
      </w:r>
      <w:r w:rsidR="00B2028D" w:rsidRPr="00921CAD">
        <w:rPr>
          <w:rFonts w:ascii="Palatino Linotype" w:hAnsi="Palatino Linotype"/>
          <w:color w:val="000000" w:themeColor="text1"/>
        </w:rPr>
        <w:t>, 108, 4516–4522.</w:t>
      </w:r>
    </w:p>
    <w:p w14:paraId="0736EDF6"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Edgar, R.C. (2013). UPARSE: highly accurate OTU sequences from microbial amplicon reads. </w:t>
      </w:r>
      <w:r w:rsidRPr="00921CAD">
        <w:rPr>
          <w:rFonts w:ascii="Palatino Linotype" w:hAnsi="Palatino Linotype"/>
          <w:i/>
          <w:iCs/>
          <w:noProof/>
          <w:color w:val="000000" w:themeColor="text1"/>
        </w:rPr>
        <w:t>Nat. Methods</w:t>
      </w:r>
      <w:r w:rsidRPr="00921CAD">
        <w:rPr>
          <w:rFonts w:ascii="Palatino Linotype" w:hAnsi="Palatino Linotype"/>
          <w:noProof/>
          <w:color w:val="000000" w:themeColor="text1"/>
        </w:rPr>
        <w:t>, 10, 996–8.</w:t>
      </w:r>
    </w:p>
    <w:p w14:paraId="6153A01A"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Eisenhauer, N., Bowker, M.A., Grace, J.B. &amp; Powell, J.R. (2015). From patterns to causal understanding: Structural equation modeling (SEM) in soil ecology. </w:t>
      </w:r>
      <w:r w:rsidRPr="00921CAD">
        <w:rPr>
          <w:rFonts w:ascii="Palatino Linotype" w:hAnsi="Palatino Linotype"/>
          <w:i/>
          <w:iCs/>
          <w:noProof/>
          <w:color w:val="000000" w:themeColor="text1"/>
        </w:rPr>
        <w:t>Pedobiologia (Jena).</w:t>
      </w:r>
      <w:r w:rsidRPr="00921CAD">
        <w:rPr>
          <w:rFonts w:ascii="Palatino Linotype" w:hAnsi="Palatino Linotype"/>
          <w:noProof/>
          <w:color w:val="000000" w:themeColor="text1"/>
        </w:rPr>
        <w:t>, 58, 65–72.</w:t>
      </w:r>
    </w:p>
    <w:p w14:paraId="6031E5F4"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Ewing, B., Ewing, B., Hillier, L., Hillier, L., Wendl, M.C., Wendl, M.C., </w:t>
      </w:r>
      <w:r w:rsidRPr="00921CAD">
        <w:rPr>
          <w:rFonts w:ascii="Palatino Linotype" w:hAnsi="Palatino Linotype"/>
          <w:i/>
          <w:iCs/>
          <w:noProof/>
          <w:color w:val="000000" w:themeColor="text1"/>
        </w:rPr>
        <w:t>et al.</w:t>
      </w:r>
      <w:r w:rsidRPr="00921CAD">
        <w:rPr>
          <w:rFonts w:ascii="Palatino Linotype" w:hAnsi="Palatino Linotype"/>
          <w:noProof/>
          <w:color w:val="000000" w:themeColor="text1"/>
        </w:rPr>
        <w:t xml:space="preserve"> (2005). Base-Calling of Automated Sequencer Traces Using. </w:t>
      </w:r>
      <w:r w:rsidRPr="00921CAD">
        <w:rPr>
          <w:rFonts w:ascii="Palatino Linotype" w:hAnsi="Palatino Linotype"/>
          <w:i/>
          <w:iCs/>
          <w:noProof/>
          <w:color w:val="000000" w:themeColor="text1"/>
        </w:rPr>
        <w:t>Genome Res.</w:t>
      </w:r>
      <w:r w:rsidRPr="00921CAD">
        <w:rPr>
          <w:rFonts w:ascii="Palatino Linotype" w:hAnsi="Palatino Linotype"/>
          <w:noProof/>
          <w:color w:val="000000" w:themeColor="text1"/>
        </w:rPr>
        <w:t>, 175–185.</w:t>
      </w:r>
    </w:p>
    <w:p w14:paraId="754F99AE"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Hart, S.C., Stark, J.M., Davidson, E.A. &amp; Firestone, M.K. (1994). Nitrogen mineralization, immobilization, and nitrification. In: </w:t>
      </w:r>
      <w:r w:rsidRPr="00921CAD">
        <w:rPr>
          <w:rFonts w:ascii="Palatino Linotype" w:hAnsi="Palatino Linotype"/>
          <w:i/>
          <w:color w:val="000000" w:themeColor="text1"/>
        </w:rPr>
        <w:t>Methods of Soil Analysis: Part 2—Microbiological and Biochemical Properties</w:t>
      </w:r>
      <w:r w:rsidRPr="00921CAD">
        <w:rPr>
          <w:rFonts w:ascii="Palatino Linotype" w:hAnsi="Palatino Linotype"/>
          <w:color w:val="000000" w:themeColor="text1"/>
        </w:rPr>
        <w:t>. Soil Science Society of America, pp. 985–1018.</w:t>
      </w:r>
    </w:p>
    <w:p w14:paraId="09C79277"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Isobe, K., Koba, K., Suwa, Y., Ikutani, J., Fang, Y., Yoh, M., </w:t>
      </w:r>
      <w:r w:rsidRPr="00921CAD">
        <w:rPr>
          <w:rFonts w:ascii="Palatino Linotype" w:hAnsi="Palatino Linotype"/>
          <w:i/>
          <w:color w:val="000000" w:themeColor="text1"/>
        </w:rPr>
        <w:t>et al.</w:t>
      </w:r>
      <w:r w:rsidRPr="00921CAD">
        <w:rPr>
          <w:rFonts w:ascii="Palatino Linotype" w:hAnsi="Palatino Linotype"/>
          <w:color w:val="000000" w:themeColor="text1"/>
        </w:rPr>
        <w:t xml:space="preserve"> (2012). High abundance of ammonia-oxidizing archaea in acidified subtropical forest soils in southern China after long-term N deposition. </w:t>
      </w:r>
      <w:r w:rsidRPr="00921CAD">
        <w:rPr>
          <w:rFonts w:ascii="Palatino Linotype" w:hAnsi="Palatino Linotype"/>
          <w:i/>
          <w:color w:val="000000" w:themeColor="text1"/>
        </w:rPr>
        <w:t>FEMS Microbiol. Ecol.</w:t>
      </w:r>
      <w:r w:rsidRPr="00921CAD">
        <w:rPr>
          <w:rFonts w:ascii="Palatino Linotype" w:hAnsi="Palatino Linotype"/>
          <w:color w:val="000000" w:themeColor="text1"/>
        </w:rPr>
        <w:t>, 80, 193–203.</w:t>
      </w:r>
    </w:p>
    <w:p w14:paraId="484A8239"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Isobe, K., Suwa, Y., Ikutani, J., Kuroiwa, M., Makita, T., Takebayashi, Y., </w:t>
      </w:r>
      <w:r w:rsidRPr="00921CAD">
        <w:rPr>
          <w:rFonts w:ascii="Palatino Linotype" w:hAnsi="Palatino Linotype"/>
          <w:i/>
          <w:color w:val="000000" w:themeColor="text1"/>
        </w:rPr>
        <w:t>et al.</w:t>
      </w:r>
      <w:r w:rsidRPr="00921CAD">
        <w:rPr>
          <w:rFonts w:ascii="Palatino Linotype" w:hAnsi="Palatino Linotype"/>
          <w:color w:val="000000" w:themeColor="text1"/>
        </w:rPr>
        <w:t xml:space="preserve"> (2011). Analytical Techniques for Quantifying 15N/14N of Nitrate, Nitrite, Total Dissolved Nitrogen and Ammonium in Environmental Samples Using a Gas Chromatograph Equipped with a Quadrupole Mass Spectrometer. </w:t>
      </w:r>
      <w:r w:rsidRPr="00921CAD">
        <w:rPr>
          <w:rFonts w:ascii="Palatino Linotype" w:hAnsi="Palatino Linotype"/>
          <w:i/>
          <w:color w:val="000000" w:themeColor="text1"/>
        </w:rPr>
        <w:t>Microbes Environ.</w:t>
      </w:r>
      <w:r w:rsidRPr="00921CAD">
        <w:rPr>
          <w:rFonts w:ascii="Palatino Linotype" w:hAnsi="Palatino Linotype"/>
          <w:color w:val="000000" w:themeColor="text1"/>
        </w:rPr>
        <w:t>, 26, 46–53.</w:t>
      </w:r>
    </w:p>
    <w:p w14:paraId="6D7297E0"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Kumar, S., Stecher, G., Li, M., Knyaz, C. &amp; Tamura, K. (2018). MEGA X: Molecular evolutionary genetics analysis across computing platforms. </w:t>
      </w:r>
      <w:r w:rsidRPr="00921CAD">
        <w:rPr>
          <w:rFonts w:ascii="Palatino Linotype" w:hAnsi="Palatino Linotype"/>
          <w:i/>
          <w:iCs/>
          <w:noProof/>
          <w:color w:val="000000" w:themeColor="text1"/>
        </w:rPr>
        <w:t>Mol. Biol. Evol.</w:t>
      </w:r>
      <w:r w:rsidRPr="00921CAD">
        <w:rPr>
          <w:rFonts w:ascii="Palatino Linotype" w:hAnsi="Palatino Linotype"/>
          <w:noProof/>
          <w:color w:val="000000" w:themeColor="text1"/>
        </w:rPr>
        <w:t>, 35, 1547–1549.</w:t>
      </w:r>
    </w:p>
    <w:p w14:paraId="60395E0A"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Langille, M., Zaneveld, J., Caporaso, J.G., McDonald, D., Knights, D., Reyes, J., </w:t>
      </w:r>
      <w:r w:rsidRPr="00921CAD">
        <w:rPr>
          <w:rFonts w:ascii="Palatino Linotype" w:hAnsi="Palatino Linotype"/>
          <w:i/>
          <w:color w:val="000000" w:themeColor="text1"/>
        </w:rPr>
        <w:t>et al.</w:t>
      </w:r>
      <w:r w:rsidRPr="00921CAD">
        <w:rPr>
          <w:rFonts w:ascii="Palatino Linotype" w:hAnsi="Palatino Linotype"/>
          <w:color w:val="000000" w:themeColor="text1"/>
        </w:rPr>
        <w:t xml:space="preserve"> (2013). Predictive functional profiling of microbial communities using 16S rRNA marker gene sequences. </w:t>
      </w:r>
      <w:r w:rsidRPr="00921CAD">
        <w:rPr>
          <w:rFonts w:ascii="Palatino Linotype" w:hAnsi="Palatino Linotype"/>
          <w:i/>
          <w:color w:val="000000" w:themeColor="text1"/>
        </w:rPr>
        <w:t>Nat. Biotechnol.</w:t>
      </w:r>
      <w:r w:rsidRPr="00921CAD">
        <w:rPr>
          <w:rFonts w:ascii="Palatino Linotype" w:hAnsi="Palatino Linotype"/>
          <w:color w:val="000000" w:themeColor="text1"/>
        </w:rPr>
        <w:t>, 31, 814–21.</w:t>
      </w:r>
    </w:p>
    <w:p w14:paraId="13D9949B"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Larjavaara, M. &amp; Muller-Landau, H.C. (2013). Measuring tree height: A quantitative comparison of two common field methods in a moist tropical forest. </w:t>
      </w:r>
      <w:r w:rsidRPr="00921CAD">
        <w:rPr>
          <w:rFonts w:ascii="Palatino Linotype" w:hAnsi="Palatino Linotype"/>
          <w:i/>
          <w:iCs/>
          <w:noProof/>
          <w:color w:val="000000" w:themeColor="text1"/>
        </w:rPr>
        <w:t>Methods Ecol. Evol.</w:t>
      </w:r>
      <w:r w:rsidRPr="00921CAD">
        <w:rPr>
          <w:rFonts w:ascii="Palatino Linotype" w:hAnsi="Palatino Linotype"/>
          <w:noProof/>
          <w:color w:val="000000" w:themeColor="text1"/>
        </w:rPr>
        <w:t>, 4, 793–801.</w:t>
      </w:r>
    </w:p>
    <w:p w14:paraId="1D26B229"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McMurdie, P.J. &amp; Holmes, S. (2013). phyloseq: An R Package for Reproducible Interactive Analysis and Graphics of Microbiome Census Data. </w:t>
      </w:r>
      <w:r w:rsidRPr="00921CAD">
        <w:rPr>
          <w:rFonts w:ascii="Palatino Linotype" w:hAnsi="Palatino Linotype"/>
          <w:i/>
          <w:color w:val="000000" w:themeColor="text1"/>
        </w:rPr>
        <w:t>PLoS One</w:t>
      </w:r>
      <w:r w:rsidRPr="00921CAD">
        <w:rPr>
          <w:rFonts w:ascii="Palatino Linotype" w:hAnsi="Palatino Linotype"/>
          <w:color w:val="000000" w:themeColor="text1"/>
        </w:rPr>
        <w:t>, 8, e61217.</w:t>
      </w:r>
    </w:p>
    <w:p w14:paraId="708D9D0B"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lastRenderedPageBreak/>
        <w:t xml:space="preserve">Nicol, G.W., Leininger, S., Schleper, C. &amp; Prosser, J.I. (2008). The influence of soil pH on the diversity, abundance and transcriptional activity of ammonia oxidizing archaea and bacteria. </w:t>
      </w:r>
      <w:r w:rsidRPr="00921CAD">
        <w:rPr>
          <w:rFonts w:ascii="Palatino Linotype" w:hAnsi="Palatino Linotype"/>
          <w:i/>
          <w:color w:val="000000" w:themeColor="text1"/>
        </w:rPr>
        <w:t>Environ. Microbiol.</w:t>
      </w:r>
      <w:r w:rsidRPr="00921CAD">
        <w:rPr>
          <w:rFonts w:ascii="Palatino Linotype" w:hAnsi="Palatino Linotype"/>
          <w:color w:val="000000" w:themeColor="text1"/>
        </w:rPr>
        <w:t>, 10, 2966–2978.</w:t>
      </w:r>
    </w:p>
    <w:p w14:paraId="03CE9A26"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Nishizono, T., Zushi, K., Hiroshima, T., Toyama, K., Kitahara, F., Terada, F., </w:t>
      </w:r>
      <w:r w:rsidRPr="00921CAD">
        <w:rPr>
          <w:rFonts w:ascii="Palatino Linotype" w:hAnsi="Palatino Linotype"/>
          <w:i/>
          <w:iCs/>
          <w:noProof/>
          <w:color w:val="000000" w:themeColor="text1"/>
        </w:rPr>
        <w:t>et al.</w:t>
      </w:r>
      <w:r w:rsidRPr="00921CAD">
        <w:rPr>
          <w:rFonts w:ascii="Palatino Linotype" w:hAnsi="Palatino Linotype"/>
          <w:noProof/>
          <w:color w:val="000000" w:themeColor="text1"/>
        </w:rPr>
        <w:t xml:space="preserve"> (2018). Latitudinal variation in radial growth phenology of Cryptomeria japonica D. Don trees in Japan. </w:t>
      </w:r>
      <w:r w:rsidRPr="00921CAD">
        <w:rPr>
          <w:rFonts w:ascii="Palatino Linotype" w:hAnsi="Palatino Linotype"/>
          <w:i/>
          <w:iCs/>
          <w:noProof/>
          <w:color w:val="000000" w:themeColor="text1"/>
        </w:rPr>
        <w:t>Forestry</w:t>
      </w:r>
      <w:r w:rsidRPr="00921CAD">
        <w:rPr>
          <w:rFonts w:ascii="Palatino Linotype" w:hAnsi="Palatino Linotype"/>
          <w:noProof/>
          <w:color w:val="000000" w:themeColor="text1"/>
        </w:rPr>
        <w:t>, 91, 206–216.</w:t>
      </w:r>
    </w:p>
    <w:p w14:paraId="27FC4DB1"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Noborio, K. (2001). Measurement of soil water content and electrical conductivity by time domain reflectometry: A review. </w:t>
      </w:r>
      <w:r w:rsidRPr="00921CAD">
        <w:rPr>
          <w:rFonts w:ascii="Palatino Linotype" w:hAnsi="Palatino Linotype"/>
          <w:i/>
          <w:iCs/>
          <w:noProof/>
          <w:color w:val="000000" w:themeColor="text1"/>
        </w:rPr>
        <w:t>Comput. Electron. Agric.</w:t>
      </w:r>
      <w:r w:rsidRPr="00921CAD">
        <w:rPr>
          <w:rFonts w:ascii="Palatino Linotype" w:hAnsi="Palatino Linotype"/>
          <w:noProof/>
          <w:color w:val="000000" w:themeColor="text1"/>
        </w:rPr>
        <w:t>, 31, 213–237.</w:t>
      </w:r>
    </w:p>
    <w:p w14:paraId="153D4762"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Oda, T., Imamura, N., Egusa, T. &amp; Ohte, N. (2019). The effects of canopy alteration–induced atmospheric deposition changes on stream chemistry in Japanese cedar forest. </w:t>
      </w:r>
      <w:r w:rsidRPr="00921CAD">
        <w:rPr>
          <w:rFonts w:ascii="Palatino Linotype" w:hAnsi="Palatino Linotype"/>
          <w:i/>
          <w:iCs/>
          <w:noProof/>
          <w:color w:val="000000" w:themeColor="text1"/>
        </w:rPr>
        <w:t>For. Ecol. Manage.</w:t>
      </w:r>
      <w:r w:rsidRPr="00921CAD">
        <w:rPr>
          <w:rFonts w:ascii="Palatino Linotype" w:hAnsi="Palatino Linotype"/>
          <w:noProof/>
          <w:color w:val="000000" w:themeColor="text1"/>
        </w:rPr>
        <w:t>, 448, 85–93.</w:t>
      </w:r>
    </w:p>
    <w:p w14:paraId="6AE84A66"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Oksanen, J., Blanchet, F.G., Kindt, R., Legendre, P., Minchin, P.R., Hara, R.B.O., </w:t>
      </w:r>
      <w:r w:rsidRPr="00921CAD">
        <w:rPr>
          <w:rFonts w:ascii="Palatino Linotype" w:hAnsi="Palatino Linotype"/>
          <w:i/>
          <w:color w:val="000000" w:themeColor="text1"/>
        </w:rPr>
        <w:t>et al.</w:t>
      </w:r>
      <w:r w:rsidRPr="00921CAD">
        <w:rPr>
          <w:rFonts w:ascii="Palatino Linotype" w:hAnsi="Palatino Linotype"/>
          <w:color w:val="000000" w:themeColor="text1"/>
        </w:rPr>
        <w:t xml:space="preserve"> (2017). vegan: Community Ecology Package. </w:t>
      </w:r>
      <w:r w:rsidRPr="00921CAD">
        <w:rPr>
          <w:rFonts w:ascii="Palatino Linotype" w:hAnsi="Palatino Linotype"/>
          <w:i/>
          <w:color w:val="000000" w:themeColor="text1"/>
        </w:rPr>
        <w:t>Available at http://CRAN.R-project.org/package=vegan.</w:t>
      </w:r>
    </w:p>
    <w:p w14:paraId="6C7B160D"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Petersen, D.G., Blazewicz, S.J., Firestone, M., Herman, D.J., Turetsky, M. &amp; Waldrop, M. (2012). Abundance of microbial genes associated with nitrogen cycling as indices of biogeochemical process rates across a vegetation gradient in Alaska. </w:t>
      </w:r>
      <w:r w:rsidRPr="00921CAD">
        <w:rPr>
          <w:rFonts w:ascii="Palatino Linotype" w:hAnsi="Palatino Linotype"/>
          <w:i/>
          <w:iCs/>
          <w:noProof/>
          <w:color w:val="000000" w:themeColor="text1"/>
        </w:rPr>
        <w:t>Environ. Microbiol.</w:t>
      </w:r>
      <w:r w:rsidRPr="00921CAD">
        <w:rPr>
          <w:rFonts w:ascii="Palatino Linotype" w:hAnsi="Palatino Linotype"/>
          <w:noProof/>
          <w:color w:val="000000" w:themeColor="text1"/>
        </w:rPr>
        <w:t>, 14, 993–1008.</w:t>
      </w:r>
    </w:p>
    <w:p w14:paraId="4909D93F"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bookmarkStart w:id="0" w:name="_GoBack"/>
      <w:r w:rsidRPr="00921CAD">
        <w:rPr>
          <w:rFonts w:ascii="Palatino Linotype" w:hAnsi="Palatino Linotype"/>
          <w:color w:val="000000" w:themeColor="text1"/>
        </w:rPr>
        <w:t xml:space="preserve">Rotthauwe, J., Witzel, K. &amp; Liesack, W. (1997). The Ammonia Monooxygenase </w:t>
      </w:r>
      <w:bookmarkEnd w:id="0"/>
      <w:r w:rsidRPr="00921CAD">
        <w:rPr>
          <w:rFonts w:ascii="Palatino Linotype" w:hAnsi="Palatino Linotype"/>
          <w:color w:val="000000" w:themeColor="text1"/>
        </w:rPr>
        <w:t>Structural Gene amoA as a Functional Marker</w:t>
      </w:r>
      <w:r w:rsidRPr="00921CAD">
        <w:rPr>
          <w:color w:val="000000" w:themeColor="text1"/>
        </w:rPr>
        <w:t> </w:t>
      </w:r>
      <w:r w:rsidRPr="00921CAD">
        <w:rPr>
          <w:rFonts w:ascii="Palatino Linotype" w:hAnsi="Palatino Linotype"/>
          <w:color w:val="000000" w:themeColor="text1"/>
        </w:rPr>
        <w:t>: Molecular Fine-Scale Analysis of Natural Ammonia-Oxidizing Populations, 63, 4704–4712.</w:t>
      </w:r>
    </w:p>
    <w:p w14:paraId="19E02EB7"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Schloss, P.D., Westcott, S.L., Ryabin, T., Hall, J.R., Hartmann, M., Hollister, E.B., </w:t>
      </w:r>
      <w:r w:rsidRPr="00921CAD">
        <w:rPr>
          <w:rFonts w:ascii="Palatino Linotype" w:hAnsi="Palatino Linotype"/>
          <w:i/>
          <w:iCs/>
          <w:noProof/>
          <w:color w:val="000000" w:themeColor="text1"/>
        </w:rPr>
        <w:t>et al.</w:t>
      </w:r>
      <w:r w:rsidRPr="00921CAD">
        <w:rPr>
          <w:rFonts w:ascii="Palatino Linotype" w:hAnsi="Palatino Linotype"/>
          <w:noProof/>
          <w:color w:val="000000" w:themeColor="text1"/>
        </w:rPr>
        <w:t xml:space="preserve"> (2009). Introducing mothur: Open-source, platform-independent, community-supported software for describing and comparing microbial communities. </w:t>
      </w:r>
      <w:r w:rsidRPr="00921CAD">
        <w:rPr>
          <w:rFonts w:ascii="Palatino Linotype" w:hAnsi="Palatino Linotype"/>
          <w:i/>
          <w:iCs/>
          <w:noProof/>
          <w:color w:val="000000" w:themeColor="text1"/>
        </w:rPr>
        <w:t>Appl. Environ. Microbiol.</w:t>
      </w:r>
      <w:r w:rsidRPr="00921CAD">
        <w:rPr>
          <w:rFonts w:ascii="Palatino Linotype" w:hAnsi="Palatino Linotype"/>
          <w:noProof/>
          <w:color w:val="000000" w:themeColor="text1"/>
        </w:rPr>
        <w:t>, 75, 7537–7541.</w:t>
      </w:r>
    </w:p>
    <w:p w14:paraId="486CDA60" w14:textId="77777777" w:rsidR="00B2028D" w:rsidRPr="00921CAD" w:rsidRDefault="00B2028D"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t xml:space="preserve">Wei, W., Isobe, K., Nishizawa, T., Zhu, L., Shiratori, Y., Ohte, N., </w:t>
      </w:r>
      <w:r w:rsidRPr="00921CAD">
        <w:rPr>
          <w:rFonts w:ascii="Palatino Linotype" w:hAnsi="Palatino Linotype"/>
          <w:i/>
          <w:color w:val="000000" w:themeColor="text1"/>
        </w:rPr>
        <w:t>et al.</w:t>
      </w:r>
      <w:r w:rsidRPr="00921CAD">
        <w:rPr>
          <w:rFonts w:ascii="Palatino Linotype" w:hAnsi="Palatino Linotype"/>
          <w:color w:val="000000" w:themeColor="text1"/>
        </w:rPr>
        <w:t xml:space="preserve"> (2015). Higher diversity and abundance of denitrifying microorganisms in environments than considered previously. </w:t>
      </w:r>
      <w:r w:rsidRPr="00921CAD">
        <w:rPr>
          <w:rFonts w:ascii="Palatino Linotype" w:hAnsi="Palatino Linotype"/>
          <w:i/>
          <w:color w:val="000000" w:themeColor="text1"/>
        </w:rPr>
        <w:t>ISME J.</w:t>
      </w:r>
      <w:r w:rsidRPr="00921CAD">
        <w:rPr>
          <w:rFonts w:ascii="Palatino Linotype" w:hAnsi="Palatino Linotype"/>
          <w:color w:val="000000" w:themeColor="text1"/>
        </w:rPr>
        <w:t>, 9.</w:t>
      </w:r>
    </w:p>
    <w:p w14:paraId="1302820C" w14:textId="77777777" w:rsidR="00B2028D" w:rsidRPr="00921CAD" w:rsidRDefault="00B2028D" w:rsidP="00B2028D">
      <w:pPr>
        <w:widowControl w:val="0"/>
        <w:autoSpaceDE w:val="0"/>
        <w:autoSpaceDN w:val="0"/>
        <w:adjustRightInd w:val="0"/>
        <w:ind w:left="480" w:hanging="480"/>
        <w:rPr>
          <w:rFonts w:ascii="Palatino Linotype" w:hAnsi="Palatino Linotype"/>
          <w:noProof/>
          <w:color w:val="000000" w:themeColor="text1"/>
        </w:rPr>
      </w:pPr>
      <w:r w:rsidRPr="00921CAD">
        <w:rPr>
          <w:rFonts w:ascii="Palatino Linotype" w:hAnsi="Palatino Linotype"/>
          <w:noProof/>
          <w:color w:val="000000" w:themeColor="text1"/>
        </w:rPr>
        <w:t xml:space="preserve">Zimmerman, A.E., Martiny, A.C. &amp; Allison, S.D. (2013). Microdiversity of extracellular enzyme genes among sequenced prokaryotic genomes. </w:t>
      </w:r>
      <w:r w:rsidRPr="00921CAD">
        <w:rPr>
          <w:rFonts w:ascii="Palatino Linotype" w:hAnsi="Palatino Linotype"/>
          <w:i/>
          <w:iCs/>
          <w:noProof/>
          <w:color w:val="000000" w:themeColor="text1"/>
        </w:rPr>
        <w:t>ISME J.</w:t>
      </w:r>
      <w:r w:rsidRPr="00921CAD">
        <w:rPr>
          <w:rFonts w:ascii="Palatino Linotype" w:hAnsi="Palatino Linotype"/>
          <w:noProof/>
          <w:color w:val="000000" w:themeColor="text1"/>
        </w:rPr>
        <w:t>, 7, 1187–1199.</w:t>
      </w:r>
    </w:p>
    <w:p w14:paraId="189BBC90" w14:textId="6ECF5E3C" w:rsidR="009359B2" w:rsidRPr="00921CAD" w:rsidRDefault="009359B2" w:rsidP="00B2028D">
      <w:pPr>
        <w:widowControl w:val="0"/>
        <w:autoSpaceDE w:val="0"/>
        <w:autoSpaceDN w:val="0"/>
        <w:adjustRightInd w:val="0"/>
        <w:ind w:left="480" w:hanging="480"/>
        <w:rPr>
          <w:rFonts w:ascii="Palatino Linotype" w:hAnsi="Palatino Linotype"/>
          <w:color w:val="000000" w:themeColor="text1"/>
        </w:rPr>
      </w:pPr>
      <w:r w:rsidRPr="00921CAD">
        <w:rPr>
          <w:rFonts w:ascii="Palatino Linotype" w:hAnsi="Palatino Linotype"/>
          <w:color w:val="000000" w:themeColor="text1"/>
        </w:rPr>
        <w:fldChar w:fldCharType="end"/>
      </w:r>
    </w:p>
    <w:p w14:paraId="5B5184DD" w14:textId="7EC9F285" w:rsidR="00481700" w:rsidRPr="00921CAD" w:rsidRDefault="00481700" w:rsidP="00A60591">
      <w:pPr>
        <w:rPr>
          <w:rFonts w:ascii="Palatino Linotype" w:hAnsi="Palatino Linotype"/>
          <w:color w:val="000000" w:themeColor="text1"/>
        </w:rPr>
      </w:pPr>
    </w:p>
    <w:sectPr w:rsidR="00481700" w:rsidRPr="00921CAD" w:rsidSect="00A60591">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3E96" w14:textId="77777777" w:rsidR="00B72948" w:rsidRDefault="00B72948" w:rsidP="008810CC">
      <w:r>
        <w:separator/>
      </w:r>
    </w:p>
  </w:endnote>
  <w:endnote w:type="continuationSeparator" w:id="0">
    <w:p w14:paraId="09B2D32D" w14:textId="77777777" w:rsidR="00B72948" w:rsidRDefault="00B72948" w:rsidP="008810CC">
      <w:r>
        <w:continuationSeparator/>
      </w:r>
    </w:p>
  </w:endnote>
  <w:endnote w:type="continuationNotice" w:id="1">
    <w:p w14:paraId="66D789CD" w14:textId="77777777" w:rsidR="00B72948" w:rsidRDefault="00B72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62294" w14:textId="77777777" w:rsidR="00B72948" w:rsidRDefault="00B72948" w:rsidP="008810CC">
      <w:r>
        <w:separator/>
      </w:r>
    </w:p>
  </w:footnote>
  <w:footnote w:type="continuationSeparator" w:id="0">
    <w:p w14:paraId="7F265171" w14:textId="77777777" w:rsidR="00B72948" w:rsidRDefault="00B72948" w:rsidP="008810CC">
      <w:r>
        <w:continuationSeparator/>
      </w:r>
    </w:p>
  </w:footnote>
  <w:footnote w:type="continuationNotice" w:id="1">
    <w:p w14:paraId="74335CB4" w14:textId="77777777" w:rsidR="00B72948" w:rsidRDefault="00B729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B392E"/>
    <w:multiLevelType w:val="hybridMultilevel"/>
    <w:tmpl w:val="10D2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56"/>
    <w:rsid w:val="000212C0"/>
    <w:rsid w:val="00031CF0"/>
    <w:rsid w:val="00036440"/>
    <w:rsid w:val="00057DC0"/>
    <w:rsid w:val="000936B5"/>
    <w:rsid w:val="000C5FF1"/>
    <w:rsid w:val="000E701C"/>
    <w:rsid w:val="00121DF7"/>
    <w:rsid w:val="00123B93"/>
    <w:rsid w:val="00132F0D"/>
    <w:rsid w:val="00174FC9"/>
    <w:rsid w:val="001824B8"/>
    <w:rsid w:val="001849A1"/>
    <w:rsid w:val="001D0A62"/>
    <w:rsid w:val="001D16CD"/>
    <w:rsid w:val="001E40D7"/>
    <w:rsid w:val="00204E48"/>
    <w:rsid w:val="002A6CE8"/>
    <w:rsid w:val="002B12BC"/>
    <w:rsid w:val="002C26C5"/>
    <w:rsid w:val="002C41BB"/>
    <w:rsid w:val="002C5E03"/>
    <w:rsid w:val="002D2B99"/>
    <w:rsid w:val="002D3253"/>
    <w:rsid w:val="00305934"/>
    <w:rsid w:val="00364D22"/>
    <w:rsid w:val="00377663"/>
    <w:rsid w:val="00380474"/>
    <w:rsid w:val="003A01E4"/>
    <w:rsid w:val="003B5356"/>
    <w:rsid w:val="003E704F"/>
    <w:rsid w:val="00417C9A"/>
    <w:rsid w:val="004521EA"/>
    <w:rsid w:val="00453D33"/>
    <w:rsid w:val="0047003A"/>
    <w:rsid w:val="004778F4"/>
    <w:rsid w:val="00481700"/>
    <w:rsid w:val="00484916"/>
    <w:rsid w:val="004D030D"/>
    <w:rsid w:val="004D64B4"/>
    <w:rsid w:val="004F5DE9"/>
    <w:rsid w:val="00511F0F"/>
    <w:rsid w:val="00512F5E"/>
    <w:rsid w:val="005170DD"/>
    <w:rsid w:val="00533956"/>
    <w:rsid w:val="0053405F"/>
    <w:rsid w:val="00550952"/>
    <w:rsid w:val="005835C3"/>
    <w:rsid w:val="00592A3F"/>
    <w:rsid w:val="00597D51"/>
    <w:rsid w:val="005A6EAA"/>
    <w:rsid w:val="005E2D1C"/>
    <w:rsid w:val="00670387"/>
    <w:rsid w:val="00682C12"/>
    <w:rsid w:val="006B25D1"/>
    <w:rsid w:val="006B4CD0"/>
    <w:rsid w:val="006B5FAD"/>
    <w:rsid w:val="006E6BA5"/>
    <w:rsid w:val="006F7C98"/>
    <w:rsid w:val="00757CD2"/>
    <w:rsid w:val="007B188C"/>
    <w:rsid w:val="007D2F7E"/>
    <w:rsid w:val="007E2FED"/>
    <w:rsid w:val="007E3C2C"/>
    <w:rsid w:val="0081245B"/>
    <w:rsid w:val="00823156"/>
    <w:rsid w:val="008473AA"/>
    <w:rsid w:val="008810CC"/>
    <w:rsid w:val="008858A4"/>
    <w:rsid w:val="008C46D4"/>
    <w:rsid w:val="008C6155"/>
    <w:rsid w:val="008F250E"/>
    <w:rsid w:val="0090716A"/>
    <w:rsid w:val="0091715C"/>
    <w:rsid w:val="00921CAD"/>
    <w:rsid w:val="009359B2"/>
    <w:rsid w:val="009424AB"/>
    <w:rsid w:val="0095123A"/>
    <w:rsid w:val="00963215"/>
    <w:rsid w:val="009744F7"/>
    <w:rsid w:val="009C5E98"/>
    <w:rsid w:val="009D7301"/>
    <w:rsid w:val="009D7910"/>
    <w:rsid w:val="009F4D69"/>
    <w:rsid w:val="009F66B5"/>
    <w:rsid w:val="00A0615E"/>
    <w:rsid w:val="00A24F0C"/>
    <w:rsid w:val="00A35F91"/>
    <w:rsid w:val="00A46877"/>
    <w:rsid w:val="00A60591"/>
    <w:rsid w:val="00A674F7"/>
    <w:rsid w:val="00AC1B52"/>
    <w:rsid w:val="00AC4DF7"/>
    <w:rsid w:val="00AC6C68"/>
    <w:rsid w:val="00AD1F21"/>
    <w:rsid w:val="00AE7D77"/>
    <w:rsid w:val="00B03ED6"/>
    <w:rsid w:val="00B0415B"/>
    <w:rsid w:val="00B1053A"/>
    <w:rsid w:val="00B2028D"/>
    <w:rsid w:val="00B54435"/>
    <w:rsid w:val="00B63FC3"/>
    <w:rsid w:val="00B72948"/>
    <w:rsid w:val="00B74001"/>
    <w:rsid w:val="00BC5CA9"/>
    <w:rsid w:val="00BE7A4F"/>
    <w:rsid w:val="00C17B6C"/>
    <w:rsid w:val="00C2727C"/>
    <w:rsid w:val="00C332C2"/>
    <w:rsid w:val="00C63937"/>
    <w:rsid w:val="00C70587"/>
    <w:rsid w:val="00C72135"/>
    <w:rsid w:val="00C81316"/>
    <w:rsid w:val="00C87F77"/>
    <w:rsid w:val="00CA376C"/>
    <w:rsid w:val="00CE12F9"/>
    <w:rsid w:val="00CF19ED"/>
    <w:rsid w:val="00D2149D"/>
    <w:rsid w:val="00D25C52"/>
    <w:rsid w:val="00D35B08"/>
    <w:rsid w:val="00D3764F"/>
    <w:rsid w:val="00D50507"/>
    <w:rsid w:val="00D65897"/>
    <w:rsid w:val="00D66917"/>
    <w:rsid w:val="00D71630"/>
    <w:rsid w:val="00D76C7A"/>
    <w:rsid w:val="00D876D8"/>
    <w:rsid w:val="00D96992"/>
    <w:rsid w:val="00DA7F26"/>
    <w:rsid w:val="00DB6282"/>
    <w:rsid w:val="00DF6D1F"/>
    <w:rsid w:val="00DF7A65"/>
    <w:rsid w:val="00E06A54"/>
    <w:rsid w:val="00E11332"/>
    <w:rsid w:val="00E149E6"/>
    <w:rsid w:val="00E422DA"/>
    <w:rsid w:val="00EA687C"/>
    <w:rsid w:val="00EE2B0B"/>
    <w:rsid w:val="00F02731"/>
    <w:rsid w:val="00F11F14"/>
    <w:rsid w:val="00F1568C"/>
    <w:rsid w:val="00F33B65"/>
    <w:rsid w:val="00F82499"/>
    <w:rsid w:val="00F86622"/>
    <w:rsid w:val="00F90CF6"/>
    <w:rsid w:val="00FE7C1C"/>
    <w:rsid w:val="00FF7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4256B1"/>
  <w15:docId w15:val="{57D75EDA-D3CF-2945-BBF7-24667075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9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6992"/>
    <w:rPr>
      <w:sz w:val="16"/>
      <w:szCs w:val="16"/>
    </w:rPr>
  </w:style>
  <w:style w:type="paragraph" w:styleId="CommentText">
    <w:name w:val="annotation text"/>
    <w:basedOn w:val="Normal"/>
    <w:link w:val="CommentTextChar"/>
    <w:uiPriority w:val="99"/>
    <w:semiHidden/>
    <w:unhideWhenUsed/>
    <w:rsid w:val="00D96992"/>
    <w:rPr>
      <w:sz w:val="20"/>
      <w:szCs w:val="20"/>
    </w:rPr>
  </w:style>
  <w:style w:type="character" w:customStyle="1" w:styleId="CommentTextChar">
    <w:name w:val="Comment Text Char"/>
    <w:basedOn w:val="DefaultParagraphFont"/>
    <w:link w:val="CommentText"/>
    <w:uiPriority w:val="99"/>
    <w:semiHidden/>
    <w:rsid w:val="00D9699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96992"/>
    <w:rPr>
      <w:b/>
      <w:bCs/>
    </w:rPr>
  </w:style>
  <w:style w:type="character" w:customStyle="1" w:styleId="CommentSubjectChar">
    <w:name w:val="Comment Subject Char"/>
    <w:basedOn w:val="CommentTextChar"/>
    <w:link w:val="CommentSubject"/>
    <w:uiPriority w:val="99"/>
    <w:semiHidden/>
    <w:rsid w:val="00D9699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96992"/>
    <w:rPr>
      <w:rFonts w:ascii="Tahoma" w:hAnsi="Tahoma" w:cs="Tahoma"/>
      <w:sz w:val="16"/>
      <w:szCs w:val="16"/>
    </w:rPr>
  </w:style>
  <w:style w:type="character" w:customStyle="1" w:styleId="BalloonTextChar">
    <w:name w:val="Balloon Text Char"/>
    <w:basedOn w:val="DefaultParagraphFont"/>
    <w:link w:val="BalloonText"/>
    <w:uiPriority w:val="99"/>
    <w:semiHidden/>
    <w:rsid w:val="00D96992"/>
    <w:rPr>
      <w:rFonts w:ascii="Tahoma" w:eastAsia="Times New Roman" w:hAnsi="Tahoma" w:cs="Tahoma"/>
      <w:sz w:val="16"/>
      <w:szCs w:val="16"/>
    </w:rPr>
  </w:style>
  <w:style w:type="paragraph" w:styleId="Revision">
    <w:name w:val="Revision"/>
    <w:hidden/>
    <w:uiPriority w:val="99"/>
    <w:semiHidden/>
    <w:rsid w:val="00CA376C"/>
    <w:rPr>
      <w:rFonts w:ascii="Times New Roman" w:eastAsia="Times New Roman" w:hAnsi="Times New Roman" w:cs="Times New Roman"/>
    </w:rPr>
  </w:style>
  <w:style w:type="character" w:styleId="LineNumber">
    <w:name w:val="line number"/>
    <w:basedOn w:val="DefaultParagraphFont"/>
    <w:uiPriority w:val="99"/>
    <w:semiHidden/>
    <w:unhideWhenUsed/>
    <w:rsid w:val="00031CF0"/>
  </w:style>
  <w:style w:type="paragraph" w:styleId="Header">
    <w:name w:val="header"/>
    <w:basedOn w:val="Normal"/>
    <w:link w:val="HeaderChar"/>
    <w:uiPriority w:val="99"/>
    <w:unhideWhenUsed/>
    <w:rsid w:val="008810CC"/>
    <w:pPr>
      <w:tabs>
        <w:tab w:val="center" w:pos="4680"/>
        <w:tab w:val="right" w:pos="9360"/>
      </w:tabs>
    </w:pPr>
  </w:style>
  <w:style w:type="character" w:customStyle="1" w:styleId="HeaderChar">
    <w:name w:val="Header Char"/>
    <w:basedOn w:val="DefaultParagraphFont"/>
    <w:link w:val="Header"/>
    <w:uiPriority w:val="99"/>
    <w:rsid w:val="008810CC"/>
    <w:rPr>
      <w:rFonts w:ascii="Times New Roman" w:eastAsia="Times New Roman" w:hAnsi="Times New Roman" w:cs="Times New Roman"/>
    </w:rPr>
  </w:style>
  <w:style w:type="paragraph" w:styleId="Footer">
    <w:name w:val="footer"/>
    <w:basedOn w:val="Normal"/>
    <w:link w:val="FooterChar"/>
    <w:uiPriority w:val="99"/>
    <w:unhideWhenUsed/>
    <w:rsid w:val="008810CC"/>
    <w:pPr>
      <w:tabs>
        <w:tab w:val="center" w:pos="4680"/>
        <w:tab w:val="right" w:pos="9360"/>
      </w:tabs>
    </w:pPr>
  </w:style>
  <w:style w:type="character" w:customStyle="1" w:styleId="FooterChar">
    <w:name w:val="Footer Char"/>
    <w:basedOn w:val="DefaultParagraphFont"/>
    <w:link w:val="Footer"/>
    <w:uiPriority w:val="99"/>
    <w:rsid w:val="008810CC"/>
    <w:rPr>
      <w:rFonts w:ascii="Times New Roman" w:eastAsia="Times New Roman" w:hAnsi="Times New Roman" w:cs="Times New Roman"/>
    </w:rPr>
  </w:style>
  <w:style w:type="paragraph" w:styleId="ListParagraph">
    <w:name w:val="List Paragraph"/>
    <w:basedOn w:val="Normal"/>
    <w:uiPriority w:val="34"/>
    <w:qFormat/>
    <w:rsid w:val="007B188C"/>
    <w:pPr>
      <w:ind w:left="720"/>
      <w:contextualSpacing/>
    </w:pPr>
  </w:style>
  <w:style w:type="character" w:styleId="Emphasis">
    <w:name w:val="Emphasis"/>
    <w:basedOn w:val="DefaultParagraphFont"/>
    <w:uiPriority w:val="20"/>
    <w:qFormat/>
    <w:rsid w:val="00E149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9310">
      <w:bodyDiv w:val="1"/>
      <w:marLeft w:val="0"/>
      <w:marRight w:val="0"/>
      <w:marTop w:val="0"/>
      <w:marBottom w:val="0"/>
      <w:divBdr>
        <w:top w:val="none" w:sz="0" w:space="0" w:color="auto"/>
        <w:left w:val="none" w:sz="0" w:space="0" w:color="auto"/>
        <w:bottom w:val="none" w:sz="0" w:space="0" w:color="auto"/>
        <w:right w:val="none" w:sz="0" w:space="0" w:color="auto"/>
      </w:divBdr>
    </w:div>
    <w:div w:id="52511548">
      <w:bodyDiv w:val="1"/>
      <w:marLeft w:val="0"/>
      <w:marRight w:val="0"/>
      <w:marTop w:val="0"/>
      <w:marBottom w:val="0"/>
      <w:divBdr>
        <w:top w:val="none" w:sz="0" w:space="0" w:color="auto"/>
        <w:left w:val="none" w:sz="0" w:space="0" w:color="auto"/>
        <w:bottom w:val="none" w:sz="0" w:space="0" w:color="auto"/>
        <w:right w:val="none" w:sz="0" w:space="0" w:color="auto"/>
      </w:divBdr>
    </w:div>
    <w:div w:id="288635133">
      <w:bodyDiv w:val="1"/>
      <w:marLeft w:val="0"/>
      <w:marRight w:val="0"/>
      <w:marTop w:val="0"/>
      <w:marBottom w:val="0"/>
      <w:divBdr>
        <w:top w:val="none" w:sz="0" w:space="0" w:color="auto"/>
        <w:left w:val="none" w:sz="0" w:space="0" w:color="auto"/>
        <w:bottom w:val="none" w:sz="0" w:space="0" w:color="auto"/>
        <w:right w:val="none" w:sz="0" w:space="0" w:color="auto"/>
      </w:divBdr>
    </w:div>
    <w:div w:id="317072420">
      <w:bodyDiv w:val="1"/>
      <w:marLeft w:val="0"/>
      <w:marRight w:val="0"/>
      <w:marTop w:val="0"/>
      <w:marBottom w:val="0"/>
      <w:divBdr>
        <w:top w:val="none" w:sz="0" w:space="0" w:color="auto"/>
        <w:left w:val="none" w:sz="0" w:space="0" w:color="auto"/>
        <w:bottom w:val="none" w:sz="0" w:space="0" w:color="auto"/>
        <w:right w:val="none" w:sz="0" w:space="0" w:color="auto"/>
      </w:divBdr>
    </w:div>
    <w:div w:id="360715853">
      <w:bodyDiv w:val="1"/>
      <w:marLeft w:val="0"/>
      <w:marRight w:val="0"/>
      <w:marTop w:val="0"/>
      <w:marBottom w:val="0"/>
      <w:divBdr>
        <w:top w:val="none" w:sz="0" w:space="0" w:color="auto"/>
        <w:left w:val="none" w:sz="0" w:space="0" w:color="auto"/>
        <w:bottom w:val="none" w:sz="0" w:space="0" w:color="auto"/>
        <w:right w:val="none" w:sz="0" w:space="0" w:color="auto"/>
      </w:divBdr>
    </w:div>
    <w:div w:id="459811355">
      <w:bodyDiv w:val="1"/>
      <w:marLeft w:val="0"/>
      <w:marRight w:val="0"/>
      <w:marTop w:val="0"/>
      <w:marBottom w:val="0"/>
      <w:divBdr>
        <w:top w:val="none" w:sz="0" w:space="0" w:color="auto"/>
        <w:left w:val="none" w:sz="0" w:space="0" w:color="auto"/>
        <w:bottom w:val="none" w:sz="0" w:space="0" w:color="auto"/>
        <w:right w:val="none" w:sz="0" w:space="0" w:color="auto"/>
      </w:divBdr>
    </w:div>
    <w:div w:id="485048441">
      <w:bodyDiv w:val="1"/>
      <w:marLeft w:val="0"/>
      <w:marRight w:val="0"/>
      <w:marTop w:val="0"/>
      <w:marBottom w:val="0"/>
      <w:divBdr>
        <w:top w:val="none" w:sz="0" w:space="0" w:color="auto"/>
        <w:left w:val="none" w:sz="0" w:space="0" w:color="auto"/>
        <w:bottom w:val="none" w:sz="0" w:space="0" w:color="auto"/>
        <w:right w:val="none" w:sz="0" w:space="0" w:color="auto"/>
      </w:divBdr>
    </w:div>
    <w:div w:id="595820134">
      <w:bodyDiv w:val="1"/>
      <w:marLeft w:val="0"/>
      <w:marRight w:val="0"/>
      <w:marTop w:val="0"/>
      <w:marBottom w:val="0"/>
      <w:divBdr>
        <w:top w:val="none" w:sz="0" w:space="0" w:color="auto"/>
        <w:left w:val="none" w:sz="0" w:space="0" w:color="auto"/>
        <w:bottom w:val="none" w:sz="0" w:space="0" w:color="auto"/>
        <w:right w:val="none" w:sz="0" w:space="0" w:color="auto"/>
      </w:divBdr>
    </w:div>
    <w:div w:id="619190296">
      <w:bodyDiv w:val="1"/>
      <w:marLeft w:val="0"/>
      <w:marRight w:val="0"/>
      <w:marTop w:val="0"/>
      <w:marBottom w:val="0"/>
      <w:divBdr>
        <w:top w:val="none" w:sz="0" w:space="0" w:color="auto"/>
        <w:left w:val="none" w:sz="0" w:space="0" w:color="auto"/>
        <w:bottom w:val="none" w:sz="0" w:space="0" w:color="auto"/>
        <w:right w:val="none" w:sz="0" w:space="0" w:color="auto"/>
      </w:divBdr>
    </w:div>
    <w:div w:id="633368821">
      <w:bodyDiv w:val="1"/>
      <w:marLeft w:val="0"/>
      <w:marRight w:val="0"/>
      <w:marTop w:val="0"/>
      <w:marBottom w:val="0"/>
      <w:divBdr>
        <w:top w:val="none" w:sz="0" w:space="0" w:color="auto"/>
        <w:left w:val="none" w:sz="0" w:space="0" w:color="auto"/>
        <w:bottom w:val="none" w:sz="0" w:space="0" w:color="auto"/>
        <w:right w:val="none" w:sz="0" w:space="0" w:color="auto"/>
      </w:divBdr>
    </w:div>
    <w:div w:id="774523509">
      <w:bodyDiv w:val="1"/>
      <w:marLeft w:val="0"/>
      <w:marRight w:val="0"/>
      <w:marTop w:val="0"/>
      <w:marBottom w:val="0"/>
      <w:divBdr>
        <w:top w:val="none" w:sz="0" w:space="0" w:color="auto"/>
        <w:left w:val="none" w:sz="0" w:space="0" w:color="auto"/>
        <w:bottom w:val="none" w:sz="0" w:space="0" w:color="auto"/>
        <w:right w:val="none" w:sz="0" w:space="0" w:color="auto"/>
      </w:divBdr>
    </w:div>
    <w:div w:id="785346041">
      <w:bodyDiv w:val="1"/>
      <w:marLeft w:val="0"/>
      <w:marRight w:val="0"/>
      <w:marTop w:val="0"/>
      <w:marBottom w:val="0"/>
      <w:divBdr>
        <w:top w:val="none" w:sz="0" w:space="0" w:color="auto"/>
        <w:left w:val="none" w:sz="0" w:space="0" w:color="auto"/>
        <w:bottom w:val="none" w:sz="0" w:space="0" w:color="auto"/>
        <w:right w:val="none" w:sz="0" w:space="0" w:color="auto"/>
      </w:divBdr>
    </w:div>
    <w:div w:id="805004308">
      <w:bodyDiv w:val="1"/>
      <w:marLeft w:val="0"/>
      <w:marRight w:val="0"/>
      <w:marTop w:val="0"/>
      <w:marBottom w:val="0"/>
      <w:divBdr>
        <w:top w:val="none" w:sz="0" w:space="0" w:color="auto"/>
        <w:left w:val="none" w:sz="0" w:space="0" w:color="auto"/>
        <w:bottom w:val="none" w:sz="0" w:space="0" w:color="auto"/>
        <w:right w:val="none" w:sz="0" w:space="0" w:color="auto"/>
      </w:divBdr>
    </w:div>
    <w:div w:id="836766822">
      <w:bodyDiv w:val="1"/>
      <w:marLeft w:val="0"/>
      <w:marRight w:val="0"/>
      <w:marTop w:val="0"/>
      <w:marBottom w:val="0"/>
      <w:divBdr>
        <w:top w:val="none" w:sz="0" w:space="0" w:color="auto"/>
        <w:left w:val="none" w:sz="0" w:space="0" w:color="auto"/>
        <w:bottom w:val="none" w:sz="0" w:space="0" w:color="auto"/>
        <w:right w:val="none" w:sz="0" w:space="0" w:color="auto"/>
      </w:divBdr>
    </w:div>
    <w:div w:id="898516189">
      <w:bodyDiv w:val="1"/>
      <w:marLeft w:val="0"/>
      <w:marRight w:val="0"/>
      <w:marTop w:val="0"/>
      <w:marBottom w:val="0"/>
      <w:divBdr>
        <w:top w:val="none" w:sz="0" w:space="0" w:color="auto"/>
        <w:left w:val="none" w:sz="0" w:space="0" w:color="auto"/>
        <w:bottom w:val="none" w:sz="0" w:space="0" w:color="auto"/>
        <w:right w:val="none" w:sz="0" w:space="0" w:color="auto"/>
      </w:divBdr>
    </w:div>
    <w:div w:id="1022247448">
      <w:bodyDiv w:val="1"/>
      <w:marLeft w:val="0"/>
      <w:marRight w:val="0"/>
      <w:marTop w:val="0"/>
      <w:marBottom w:val="0"/>
      <w:divBdr>
        <w:top w:val="none" w:sz="0" w:space="0" w:color="auto"/>
        <w:left w:val="none" w:sz="0" w:space="0" w:color="auto"/>
        <w:bottom w:val="none" w:sz="0" w:space="0" w:color="auto"/>
        <w:right w:val="none" w:sz="0" w:space="0" w:color="auto"/>
      </w:divBdr>
    </w:div>
    <w:div w:id="1096291380">
      <w:bodyDiv w:val="1"/>
      <w:marLeft w:val="0"/>
      <w:marRight w:val="0"/>
      <w:marTop w:val="0"/>
      <w:marBottom w:val="0"/>
      <w:divBdr>
        <w:top w:val="none" w:sz="0" w:space="0" w:color="auto"/>
        <w:left w:val="none" w:sz="0" w:space="0" w:color="auto"/>
        <w:bottom w:val="none" w:sz="0" w:space="0" w:color="auto"/>
        <w:right w:val="none" w:sz="0" w:space="0" w:color="auto"/>
      </w:divBdr>
    </w:div>
    <w:div w:id="1254624926">
      <w:bodyDiv w:val="1"/>
      <w:marLeft w:val="0"/>
      <w:marRight w:val="0"/>
      <w:marTop w:val="0"/>
      <w:marBottom w:val="0"/>
      <w:divBdr>
        <w:top w:val="none" w:sz="0" w:space="0" w:color="auto"/>
        <w:left w:val="none" w:sz="0" w:space="0" w:color="auto"/>
        <w:bottom w:val="none" w:sz="0" w:space="0" w:color="auto"/>
        <w:right w:val="none" w:sz="0" w:space="0" w:color="auto"/>
      </w:divBdr>
    </w:div>
    <w:div w:id="1391536166">
      <w:bodyDiv w:val="1"/>
      <w:marLeft w:val="0"/>
      <w:marRight w:val="0"/>
      <w:marTop w:val="0"/>
      <w:marBottom w:val="0"/>
      <w:divBdr>
        <w:top w:val="none" w:sz="0" w:space="0" w:color="auto"/>
        <w:left w:val="none" w:sz="0" w:space="0" w:color="auto"/>
        <w:bottom w:val="none" w:sz="0" w:space="0" w:color="auto"/>
        <w:right w:val="none" w:sz="0" w:space="0" w:color="auto"/>
      </w:divBdr>
    </w:div>
    <w:div w:id="1429740129">
      <w:bodyDiv w:val="1"/>
      <w:marLeft w:val="0"/>
      <w:marRight w:val="0"/>
      <w:marTop w:val="0"/>
      <w:marBottom w:val="0"/>
      <w:divBdr>
        <w:top w:val="none" w:sz="0" w:space="0" w:color="auto"/>
        <w:left w:val="none" w:sz="0" w:space="0" w:color="auto"/>
        <w:bottom w:val="none" w:sz="0" w:space="0" w:color="auto"/>
        <w:right w:val="none" w:sz="0" w:space="0" w:color="auto"/>
      </w:divBdr>
    </w:div>
    <w:div w:id="1650749488">
      <w:bodyDiv w:val="1"/>
      <w:marLeft w:val="0"/>
      <w:marRight w:val="0"/>
      <w:marTop w:val="0"/>
      <w:marBottom w:val="0"/>
      <w:divBdr>
        <w:top w:val="none" w:sz="0" w:space="0" w:color="auto"/>
        <w:left w:val="none" w:sz="0" w:space="0" w:color="auto"/>
        <w:bottom w:val="none" w:sz="0" w:space="0" w:color="auto"/>
        <w:right w:val="none" w:sz="0" w:space="0" w:color="auto"/>
      </w:divBdr>
    </w:div>
    <w:div w:id="1666862790">
      <w:bodyDiv w:val="1"/>
      <w:marLeft w:val="0"/>
      <w:marRight w:val="0"/>
      <w:marTop w:val="0"/>
      <w:marBottom w:val="0"/>
      <w:divBdr>
        <w:top w:val="none" w:sz="0" w:space="0" w:color="auto"/>
        <w:left w:val="none" w:sz="0" w:space="0" w:color="auto"/>
        <w:bottom w:val="none" w:sz="0" w:space="0" w:color="auto"/>
        <w:right w:val="none" w:sz="0" w:space="0" w:color="auto"/>
      </w:divBdr>
    </w:div>
    <w:div w:id="1684159965">
      <w:bodyDiv w:val="1"/>
      <w:marLeft w:val="0"/>
      <w:marRight w:val="0"/>
      <w:marTop w:val="0"/>
      <w:marBottom w:val="0"/>
      <w:divBdr>
        <w:top w:val="none" w:sz="0" w:space="0" w:color="auto"/>
        <w:left w:val="none" w:sz="0" w:space="0" w:color="auto"/>
        <w:bottom w:val="none" w:sz="0" w:space="0" w:color="auto"/>
        <w:right w:val="none" w:sz="0" w:space="0" w:color="auto"/>
      </w:divBdr>
    </w:div>
    <w:div w:id="1689284942">
      <w:bodyDiv w:val="1"/>
      <w:marLeft w:val="0"/>
      <w:marRight w:val="0"/>
      <w:marTop w:val="0"/>
      <w:marBottom w:val="0"/>
      <w:divBdr>
        <w:top w:val="none" w:sz="0" w:space="0" w:color="auto"/>
        <w:left w:val="none" w:sz="0" w:space="0" w:color="auto"/>
        <w:bottom w:val="none" w:sz="0" w:space="0" w:color="auto"/>
        <w:right w:val="none" w:sz="0" w:space="0" w:color="auto"/>
      </w:divBdr>
      <w:divsChild>
        <w:div w:id="1237857505">
          <w:marLeft w:val="0"/>
          <w:marRight w:val="0"/>
          <w:marTop w:val="0"/>
          <w:marBottom w:val="0"/>
          <w:divBdr>
            <w:top w:val="none" w:sz="0" w:space="0" w:color="auto"/>
            <w:left w:val="none" w:sz="0" w:space="0" w:color="auto"/>
            <w:bottom w:val="none" w:sz="0" w:space="0" w:color="auto"/>
            <w:right w:val="none" w:sz="0" w:space="0" w:color="auto"/>
          </w:divBdr>
        </w:div>
        <w:div w:id="737556454">
          <w:marLeft w:val="0"/>
          <w:marRight w:val="0"/>
          <w:marTop w:val="0"/>
          <w:marBottom w:val="0"/>
          <w:divBdr>
            <w:top w:val="none" w:sz="0" w:space="0" w:color="auto"/>
            <w:left w:val="none" w:sz="0" w:space="0" w:color="auto"/>
            <w:bottom w:val="none" w:sz="0" w:space="0" w:color="auto"/>
            <w:right w:val="none" w:sz="0" w:space="0" w:color="auto"/>
          </w:divBdr>
        </w:div>
        <w:div w:id="460269514">
          <w:marLeft w:val="0"/>
          <w:marRight w:val="0"/>
          <w:marTop w:val="0"/>
          <w:marBottom w:val="0"/>
          <w:divBdr>
            <w:top w:val="none" w:sz="0" w:space="0" w:color="auto"/>
            <w:left w:val="none" w:sz="0" w:space="0" w:color="auto"/>
            <w:bottom w:val="none" w:sz="0" w:space="0" w:color="auto"/>
            <w:right w:val="none" w:sz="0" w:space="0" w:color="auto"/>
          </w:divBdr>
        </w:div>
        <w:div w:id="99187502">
          <w:marLeft w:val="0"/>
          <w:marRight w:val="0"/>
          <w:marTop w:val="0"/>
          <w:marBottom w:val="0"/>
          <w:divBdr>
            <w:top w:val="none" w:sz="0" w:space="0" w:color="auto"/>
            <w:left w:val="none" w:sz="0" w:space="0" w:color="auto"/>
            <w:bottom w:val="none" w:sz="0" w:space="0" w:color="auto"/>
            <w:right w:val="none" w:sz="0" w:space="0" w:color="auto"/>
          </w:divBdr>
        </w:div>
        <w:div w:id="1285622590">
          <w:marLeft w:val="0"/>
          <w:marRight w:val="0"/>
          <w:marTop w:val="0"/>
          <w:marBottom w:val="0"/>
          <w:divBdr>
            <w:top w:val="none" w:sz="0" w:space="0" w:color="auto"/>
            <w:left w:val="none" w:sz="0" w:space="0" w:color="auto"/>
            <w:bottom w:val="none" w:sz="0" w:space="0" w:color="auto"/>
            <w:right w:val="none" w:sz="0" w:space="0" w:color="auto"/>
          </w:divBdr>
        </w:div>
        <w:div w:id="1254123823">
          <w:marLeft w:val="0"/>
          <w:marRight w:val="0"/>
          <w:marTop w:val="0"/>
          <w:marBottom w:val="0"/>
          <w:divBdr>
            <w:top w:val="none" w:sz="0" w:space="0" w:color="auto"/>
            <w:left w:val="none" w:sz="0" w:space="0" w:color="auto"/>
            <w:bottom w:val="none" w:sz="0" w:space="0" w:color="auto"/>
            <w:right w:val="none" w:sz="0" w:space="0" w:color="auto"/>
          </w:divBdr>
        </w:div>
        <w:div w:id="1624577694">
          <w:marLeft w:val="0"/>
          <w:marRight w:val="0"/>
          <w:marTop w:val="0"/>
          <w:marBottom w:val="0"/>
          <w:divBdr>
            <w:top w:val="none" w:sz="0" w:space="0" w:color="auto"/>
            <w:left w:val="none" w:sz="0" w:space="0" w:color="auto"/>
            <w:bottom w:val="none" w:sz="0" w:space="0" w:color="auto"/>
            <w:right w:val="none" w:sz="0" w:space="0" w:color="auto"/>
          </w:divBdr>
        </w:div>
        <w:div w:id="1158688880">
          <w:marLeft w:val="0"/>
          <w:marRight w:val="0"/>
          <w:marTop w:val="0"/>
          <w:marBottom w:val="0"/>
          <w:divBdr>
            <w:top w:val="none" w:sz="0" w:space="0" w:color="auto"/>
            <w:left w:val="none" w:sz="0" w:space="0" w:color="auto"/>
            <w:bottom w:val="none" w:sz="0" w:space="0" w:color="auto"/>
            <w:right w:val="none" w:sz="0" w:space="0" w:color="auto"/>
          </w:divBdr>
        </w:div>
        <w:div w:id="1141457747">
          <w:marLeft w:val="0"/>
          <w:marRight w:val="0"/>
          <w:marTop w:val="0"/>
          <w:marBottom w:val="0"/>
          <w:divBdr>
            <w:top w:val="none" w:sz="0" w:space="0" w:color="auto"/>
            <w:left w:val="none" w:sz="0" w:space="0" w:color="auto"/>
            <w:bottom w:val="none" w:sz="0" w:space="0" w:color="auto"/>
            <w:right w:val="none" w:sz="0" w:space="0" w:color="auto"/>
          </w:divBdr>
        </w:div>
        <w:div w:id="1823892360">
          <w:marLeft w:val="0"/>
          <w:marRight w:val="0"/>
          <w:marTop w:val="0"/>
          <w:marBottom w:val="0"/>
          <w:divBdr>
            <w:top w:val="none" w:sz="0" w:space="0" w:color="auto"/>
            <w:left w:val="none" w:sz="0" w:space="0" w:color="auto"/>
            <w:bottom w:val="none" w:sz="0" w:space="0" w:color="auto"/>
            <w:right w:val="none" w:sz="0" w:space="0" w:color="auto"/>
          </w:divBdr>
        </w:div>
        <w:div w:id="204486582">
          <w:marLeft w:val="0"/>
          <w:marRight w:val="0"/>
          <w:marTop w:val="0"/>
          <w:marBottom w:val="0"/>
          <w:divBdr>
            <w:top w:val="none" w:sz="0" w:space="0" w:color="auto"/>
            <w:left w:val="none" w:sz="0" w:space="0" w:color="auto"/>
            <w:bottom w:val="none" w:sz="0" w:space="0" w:color="auto"/>
            <w:right w:val="none" w:sz="0" w:space="0" w:color="auto"/>
          </w:divBdr>
        </w:div>
        <w:div w:id="1804731634">
          <w:marLeft w:val="0"/>
          <w:marRight w:val="0"/>
          <w:marTop w:val="0"/>
          <w:marBottom w:val="0"/>
          <w:divBdr>
            <w:top w:val="none" w:sz="0" w:space="0" w:color="auto"/>
            <w:left w:val="none" w:sz="0" w:space="0" w:color="auto"/>
            <w:bottom w:val="none" w:sz="0" w:space="0" w:color="auto"/>
            <w:right w:val="none" w:sz="0" w:space="0" w:color="auto"/>
          </w:divBdr>
        </w:div>
        <w:div w:id="1153914016">
          <w:marLeft w:val="0"/>
          <w:marRight w:val="0"/>
          <w:marTop w:val="0"/>
          <w:marBottom w:val="0"/>
          <w:divBdr>
            <w:top w:val="none" w:sz="0" w:space="0" w:color="auto"/>
            <w:left w:val="none" w:sz="0" w:space="0" w:color="auto"/>
            <w:bottom w:val="none" w:sz="0" w:space="0" w:color="auto"/>
            <w:right w:val="none" w:sz="0" w:space="0" w:color="auto"/>
          </w:divBdr>
        </w:div>
        <w:div w:id="499976485">
          <w:marLeft w:val="0"/>
          <w:marRight w:val="0"/>
          <w:marTop w:val="0"/>
          <w:marBottom w:val="0"/>
          <w:divBdr>
            <w:top w:val="none" w:sz="0" w:space="0" w:color="auto"/>
            <w:left w:val="none" w:sz="0" w:space="0" w:color="auto"/>
            <w:bottom w:val="none" w:sz="0" w:space="0" w:color="auto"/>
            <w:right w:val="none" w:sz="0" w:space="0" w:color="auto"/>
          </w:divBdr>
        </w:div>
        <w:div w:id="1659769466">
          <w:marLeft w:val="0"/>
          <w:marRight w:val="0"/>
          <w:marTop w:val="0"/>
          <w:marBottom w:val="0"/>
          <w:divBdr>
            <w:top w:val="none" w:sz="0" w:space="0" w:color="auto"/>
            <w:left w:val="none" w:sz="0" w:space="0" w:color="auto"/>
            <w:bottom w:val="none" w:sz="0" w:space="0" w:color="auto"/>
            <w:right w:val="none" w:sz="0" w:space="0" w:color="auto"/>
          </w:divBdr>
        </w:div>
        <w:div w:id="1321154790">
          <w:marLeft w:val="0"/>
          <w:marRight w:val="0"/>
          <w:marTop w:val="0"/>
          <w:marBottom w:val="0"/>
          <w:divBdr>
            <w:top w:val="none" w:sz="0" w:space="0" w:color="auto"/>
            <w:left w:val="none" w:sz="0" w:space="0" w:color="auto"/>
            <w:bottom w:val="none" w:sz="0" w:space="0" w:color="auto"/>
            <w:right w:val="none" w:sz="0" w:space="0" w:color="auto"/>
          </w:divBdr>
        </w:div>
      </w:divsChild>
    </w:div>
    <w:div w:id="1761682722">
      <w:bodyDiv w:val="1"/>
      <w:marLeft w:val="0"/>
      <w:marRight w:val="0"/>
      <w:marTop w:val="0"/>
      <w:marBottom w:val="0"/>
      <w:divBdr>
        <w:top w:val="none" w:sz="0" w:space="0" w:color="auto"/>
        <w:left w:val="none" w:sz="0" w:space="0" w:color="auto"/>
        <w:bottom w:val="none" w:sz="0" w:space="0" w:color="auto"/>
        <w:right w:val="none" w:sz="0" w:space="0" w:color="auto"/>
      </w:divBdr>
    </w:div>
    <w:div w:id="1782262300">
      <w:bodyDiv w:val="1"/>
      <w:marLeft w:val="0"/>
      <w:marRight w:val="0"/>
      <w:marTop w:val="0"/>
      <w:marBottom w:val="0"/>
      <w:divBdr>
        <w:top w:val="none" w:sz="0" w:space="0" w:color="auto"/>
        <w:left w:val="none" w:sz="0" w:space="0" w:color="auto"/>
        <w:bottom w:val="none" w:sz="0" w:space="0" w:color="auto"/>
        <w:right w:val="none" w:sz="0" w:space="0" w:color="auto"/>
      </w:divBdr>
    </w:div>
    <w:div w:id="1835603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ED6AEA-3445-1743-8486-FE8557EA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13710</Words>
  <Characters>78151</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Kazuo Isobe</dc:creator>
  <cp:lastModifiedBy>Kazuo Isobe</cp:lastModifiedBy>
  <cp:revision>3</cp:revision>
  <cp:lastPrinted>2019-07-31T08:23:00Z</cp:lastPrinted>
  <dcterms:created xsi:type="dcterms:W3CDTF">2019-08-01T08:33:00Z</dcterms:created>
  <dcterms:modified xsi:type="dcterms:W3CDTF">2019-08-07T00:20:00Z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c8141110-1847-3700-a162-a3dafd9f9fbc</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http://www.zotero.org/styles/the-isme-journal</vt:lpwstr>
  </property>
  <property fmtid="{D5CDD505-2E9C-101B-9397-08002B2CF9AE}" pid="24" name="Mendeley Recent Style Name 9_1">
    <vt:lpwstr>The ISME Journal</vt:lpwstr>
  </property>
  <property fmtid="{D5CDD505-2E9C-101B-9397-08002B2CF9AE}" pid="25" name="UniqueFileID">
    <vt:lpwstr>ec1DlSeD4AQo</vt:lpwstr>
  </property>
</Properties>
</file>