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Yu Gothic" w:cs="Yu Gothic" w:eastAsia="Yu Gothic" w:hAnsi="Yu Gothic"/>
          <w:b/>
          <w:bCs/>
          <w:color w:val="1F3864"/>
          <w:sz w:val="30"/>
          <w:szCs w:val="30"/>
        </w:rPr>
        <w:t xml:space="preserve">NDB第10回オープンデータを用いた</w:t>
      </w:r>
    </w:p>
    <w:p>
      <w:pPr>
        <w:spacing w:after="120"/>
        <w:jc w:val="center"/>
      </w:pPr>
      <w:r>
        <w:rPr>
          <w:rFonts w:ascii="Yu Gothic" w:cs="Yu Gothic" w:eastAsia="Yu Gothic" w:hAnsi="Yu Gothic"/>
          <w:b/>
          <w:bCs/>
          <w:color w:val="1F3864"/>
          <w:sz w:val="36"/>
          <w:szCs w:val="36"/>
        </w:rPr>
        <w:t xml:space="preserve">二次医療圏別 重症化予防ニーズマップの構築</w:t>
      </w:r>
    </w:p>
    <w:p>
      <w:pPr>
        <w:spacing w:after="1200" w:before="200"/>
        <w:jc w:val="center"/>
      </w:pPr>
      <w:r>
        <w:rPr>
          <w:rFonts w:ascii="Yu Gothic" w:cs="Yu Gothic" w:eastAsia="Yu Gothic" w:hAnsi="Yu Gothic"/>
          <w:color w:val="595959"/>
          <w:sz w:val="22"/>
          <w:szCs w:val="22"/>
        </w:rPr>
        <w:t xml:space="preserve">― 特定健診データに基づく地域別リスク層別化の試み ―</w:t>
      </w:r>
    </w:p>
    <w:p>
      <w:pPr>
        <w:spacing w:after="80"/>
        <w:jc w:val="center"/>
      </w:pPr>
      <w:r>
        <w:rPr>
          <w:rFonts w:ascii="Yu Gothic" w:cs="Yu Gothic" w:eastAsia="Yu Gothic" w:hAnsi="Yu Gothic"/>
          <w:sz w:val="22"/>
          <w:szCs w:val="22"/>
        </w:rPr>
        <w:t xml:space="preserve">データサイエンス分析レポート</w:t>
      </w:r>
    </w:p>
    <w:p>
      <w:pPr>
        <w:spacing w:after="80"/>
        <w:jc w:val="center"/>
      </w:pPr>
      <w:r>
        <w:rPr>
          <w:rFonts w:ascii="Yu Gothic" w:cs="Yu Gothic" w:eastAsia="Yu Gothic" w:hAnsi="Yu Gothic"/>
          <w:color w:val="595959"/>
          <w:sz w:val="20"/>
          <w:szCs w:val="20"/>
        </w:rPr>
        <w:t xml:space="preserve">2026年6月</w:t>
      </w:r>
    </w:p>
    <w:p>
      <w:r>
        <w:br w:type="page"/>
      </w:r>
    </w:p>
    <w:p>
      <w:pPr>
        <w:spacing w:after="160"/>
      </w:pPr>
      <w:r>
        <w:rPr>
          <w:rFonts w:ascii="Yu Gothic" w:cs="Yu Gothic" w:eastAsia="Yu Gothic" w:hAnsi="Yu Gothic"/>
          <w:b/>
          <w:bCs/>
          <w:color w:val="1F3864"/>
          <w:sz w:val="28"/>
          <w:szCs w:val="28"/>
        </w:rP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rPr>
          <w:rFonts w:ascii="Yu Gothic" w:cs="Yu Gothic" w:eastAsia="Yu Gothic" w:hAnsi="Yu Gothic"/>
          <w:b/>
          <w:bCs/>
          <w:color w:val="1F3864"/>
          <w:sz w:val="28"/>
          <w:szCs w:val="28"/>
        </w:rPr>
        <w:t xml:space="preserve">1. 背景</w:t>
      </w:r>
    </w:p>
    <w:p>
      <w:pPr>
        <w:spacing w:after="120" w:line="300"/>
        <w:jc w:val="both"/>
      </w:pPr>
      <w:r>
        <w:rPr>
          <w:rFonts w:ascii="Yu Gothic" w:cs="Yu Gothic" w:eastAsia="Yu Gothic" w:hAnsi="Yu Gothic"/>
          <w:sz w:val="21"/>
          <w:szCs w:val="21"/>
        </w:rPr>
        <w:t xml:space="preserve">生活習慣病の重症化予防は、わが国の医療費適正化と健康寿命延伸における中核的な政策課題である。特に糖尿病性腎症の重症化による人工透析導入、高血圧・脂質異常症を背景とした心血管イベントは、患者のQOLを著しく損なうとともに医療費を大きく押し上げる。これらの多くは特定健診で捕捉される検査値異常の段階で介入可能であり、ハイリスク者を早期に同定し保健指導につなげる疾病管理プログラム（DMP）の意義は大きい。</w:t>
      </w:r>
    </w:p>
    <w:p>
      <w:pPr>
        <w:spacing w:after="120" w:line="300"/>
        <w:jc w:val="both"/>
      </w:pPr>
      <w:r>
        <w:rPr>
          <w:rFonts w:ascii="Yu Gothic" w:cs="Yu Gothic" w:eastAsia="Yu Gothic" w:hAnsi="Yu Gothic"/>
          <w:sz w:val="21"/>
          <w:szCs w:val="21"/>
        </w:rPr>
        <w:t xml:space="preserve">一方で、生活習慣病リスクの分布には大きな地域差が存在することが知られている。食習慣・運動習慣・受診行動・人口構成・医療資源は地域によって異なり、画一的な介入では効率が上がりにくい。限られた保健事業リソースを最大限に活用するには、「どの地域で・どの疾患領域のリスクが高いか」をエビデンスに基づいて可視化し、介入の優先順位づけを行うことが求められる。</w:t>
      </w:r>
    </w:p>
    <w:p>
      <w:pPr>
        <w:spacing w:after="120" w:line="300"/>
        <w:jc w:val="both"/>
      </w:pPr>
      <w:r>
        <w:rPr>
          <w:rFonts w:ascii="Yu Gothic" w:cs="Yu Gothic" w:eastAsia="Yu Gothic" w:hAnsi="Yu Gothic"/>
          <w:sz w:val="21"/>
          <w:szCs w:val="21"/>
        </w:rPr>
        <w:t xml:space="preserve">厚生労働省が公表するNDB（レセプト情報・特定健診等情報データベース）オープンデータは、悉皆性の高い全国規模の特定健診集計値を二次医療圏単位で提供しており、こうした地域診断の基盤として有用である。本分析では、第10回NDBオープンデータ（2022年度特定健診）を用いて、全国335二次医療圏の重症化リスクを糖尿病・慢性腎臓病（CKD）・心血管の3疾患領域で複合的にスコア化し、地域別の重症化予防ニーズを可視化する「ニーズマップ」の構築を試みた。</w:t>
      </w:r>
    </w:p>
    <w:p>
      <w:pPr>
        <w:spacing w:after="120" w:before="80"/>
      </w:pPr>
      <w:r>
        <w:rPr>
          <w:rFonts w:ascii="Yu Gothic" w:cs="Yu Gothic" w:eastAsia="Yu Gothic" w:hAnsi="Yu Gothic"/>
          <w:b/>
          <w:bCs/>
          <w:sz w:val="21"/>
          <w:szCs w:val="21"/>
        </w:rPr>
        <w:t xml:space="preserve">本分析の目的</w:t>
      </w:r>
    </w:p>
    <w:p>
      <w:pPr>
        <w:pStyle w:val="ListParagraph"/>
        <w:numPr>
          <w:ilvl w:val="0"/>
          <w:numId w:val="2"/>
        </w:numPr>
        <w:spacing w:after="80" w:line="290"/>
      </w:pPr>
      <w:r>
        <w:rPr>
          <w:rFonts w:ascii="Yu Gothic" w:cs="Yu Gothic" w:eastAsia="Yu Gothic" w:hAnsi="Yu Gothic"/>
          <w:sz w:val="21"/>
          <w:szCs w:val="21"/>
        </w:rPr>
        <w:t xml:space="preserve">特定健診検査値から、二次医療圏別の重症化リスクを定量的に層別化する指標を設計する</w:t>
      </w:r>
    </w:p>
    <w:p>
      <w:pPr>
        <w:pStyle w:val="ListParagraph"/>
        <w:numPr>
          <w:ilvl w:val="0"/>
          <w:numId w:val="2"/>
        </w:numPr>
        <w:spacing w:after="80" w:line="290"/>
      </w:pPr>
      <w:r>
        <w:rPr>
          <w:rFonts w:ascii="Yu Gothic" w:cs="Yu Gothic" w:eastAsia="Yu Gothic" w:hAnsi="Yu Gothic"/>
          <w:sz w:val="21"/>
          <w:szCs w:val="21"/>
        </w:rPr>
        <w:t xml:space="preserve">糖尿病・CKD・心血管の3領域それぞれと、それらを統合した複合スコアを算出する</w:t>
      </w:r>
    </w:p>
    <w:p>
      <w:pPr>
        <w:pStyle w:val="ListParagraph"/>
        <w:numPr>
          <w:ilvl w:val="0"/>
          <w:numId w:val="2"/>
        </w:numPr>
        <w:spacing w:after="80" w:line="290"/>
      </w:pPr>
      <w:r>
        <w:rPr>
          <w:rFonts w:ascii="Yu Gothic" w:cs="Yu Gothic" w:eastAsia="Yu Gothic" w:hAnsi="Yu Gothic"/>
          <w:sz w:val="21"/>
          <w:szCs w:val="21"/>
        </w:rPr>
        <w:t xml:space="preserve">地域ごとのリスクプロファイルの差異を明らかにし、保健事業の優先度判断に資する基礎情報を提供する</w:t>
      </w:r>
    </w:p>
    <w:p>
      <w:pPr>
        <w:pStyle w:val="Heading1"/>
        <w:spacing w:after="160" w:before="280"/>
      </w:pPr>
      <w:r>
        <w:rPr>
          <w:rFonts w:ascii="Yu Gothic" w:cs="Yu Gothic" w:eastAsia="Yu Gothic" w:hAnsi="Yu Gothic"/>
          <w:b/>
          <w:bCs/>
          <w:color w:val="1F3864"/>
          <w:sz w:val="28"/>
          <w:szCs w:val="28"/>
        </w:rPr>
        <w:t xml:space="preserve">2. 方法</w:t>
      </w:r>
    </w:p>
    <w:p>
      <w:pPr>
        <w:pStyle w:val="Heading2"/>
        <w:spacing w:after="120" w:before="220"/>
      </w:pPr>
      <w:r>
        <w:rPr>
          <w:rFonts w:ascii="Yu Gothic" w:cs="Yu Gothic" w:eastAsia="Yu Gothic" w:hAnsi="Yu Gothic"/>
          <w:b/>
          <w:bCs/>
          <w:color w:val="2E5496"/>
          <w:sz w:val="24"/>
          <w:szCs w:val="24"/>
        </w:rPr>
        <w:t xml:space="preserve">2.1 データソース</w:t>
      </w:r>
    </w:p>
    <w:p>
      <w:pPr>
        <w:spacing w:after="120" w:line="300"/>
        <w:jc w:val="both"/>
      </w:pPr>
      <w:r>
        <w:rPr>
          <w:rFonts w:ascii="Yu Gothic" w:cs="Yu Gothic" w:eastAsia="Yu Gothic" w:hAnsi="Yu Gothic"/>
          <w:sz w:val="21"/>
          <w:szCs w:val="21"/>
        </w:rPr>
        <w:t xml:space="preserve">厚生労働省「第10回NDBオープンデータ」のうち、特定健診検査項目（2022年度実施分）の集計表を使用した。対象は特定健診の受診者（原則40〜74歳）であり、検査項目別に「都道府県×二次医療圏×性×5歳階級×検査値階層」のクロス集計人数が公表されている。本分析では二次医療圏単位（全335圏域）の集計表を用いた。最大の対象指標であるHbA1cで約2,292万人の受診者が集計対象に含まれる。</w:t>
      </w:r>
    </w:p>
    <w:p>
      <w:pPr>
        <w:pStyle w:val="Heading2"/>
        <w:spacing w:after="120" w:before="220"/>
      </w:pPr>
      <w:r>
        <w:rPr>
          <w:rFonts w:ascii="Yu Gothic" w:cs="Yu Gothic" w:eastAsia="Yu Gothic" w:hAnsi="Yu Gothic"/>
          <w:b/>
          <w:bCs/>
          <w:color w:val="2E5496"/>
          <w:sz w:val="24"/>
          <w:szCs w:val="24"/>
        </w:rPr>
        <w:t xml:space="preserve">2.2 対象指標とリスク定義</w:t>
      </w:r>
    </w:p>
    <w:p>
      <w:pPr>
        <w:spacing w:after="120" w:line="300"/>
        <w:jc w:val="both"/>
      </w:pPr>
      <w:r>
        <w:rPr>
          <w:rFonts w:ascii="Yu Gothic" w:cs="Yu Gothic" w:eastAsia="Yu Gothic" w:hAnsi="Yu Gothic"/>
          <w:sz w:val="21"/>
          <w:szCs w:val="21"/>
        </w:rPr>
        <w:t xml:space="preserve">3つの疾患領域に対し、計8つの検査項目を選定した。各項目について、臨床的に保健指導・受診勧奨の対象となりうる検査値階層を「リスク該当」と定義し、二次医療圏ごとに受診者全体に占めるリスク該当者の割合（リスク該当率）を算出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疾患領域</w:t>
            </w:r>
          </w:p>
        </w:tc>
        <w:tc>
          <w:tcPr>
            <w:tcW w:type="dxa" w:w="30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検査項目</w:t>
            </w:r>
          </w:p>
        </w:tc>
        <w:tc>
          <w:tcPr>
            <w:tcW w:type="dxa" w:w="48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リスク該当と定義した階層</w:t>
            </w:r>
          </w:p>
        </w:tc>
      </w:tr>
      <w:tr>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bCs/>
                <w:color w:val="000000"/>
                <w:sz w:val="19"/>
                <w:szCs w:val="19"/>
              </w:rPr>
              <w:t xml:space="preserve">糖尿病</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HbA1c</w:t>
            </w:r>
          </w:p>
        </w:tc>
        <w:tc>
          <w:tcPr>
            <w:tcW w:type="dxa" w:w="4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6.5%以上（NGSP値）</w:t>
            </w:r>
          </w:p>
        </w:tc>
      </w:tr>
      <w:tr>
        <w:tc>
          <w:tcPr>
            <w:tcW w:type="dxa" w:w="15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
            </w:r>
          </w:p>
        </w:tc>
        <w:tc>
          <w:tcPr>
            <w:tcW w:type="dxa" w:w="3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空腹時血糖</w:t>
            </w:r>
          </w:p>
        </w:tc>
        <w:tc>
          <w:tcPr>
            <w:tcW w:type="dxa" w:w="4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126 mg/dL以上</w:t>
            </w:r>
          </w:p>
        </w:tc>
      </w:tr>
      <w:tr>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bCs/>
                <w:color w:val="000000"/>
                <w:sz w:val="19"/>
                <w:szCs w:val="19"/>
              </w:rPr>
              <w:t xml:space="preserve">CKD</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eGFR</w:t>
            </w:r>
          </w:p>
        </w:tc>
        <w:tc>
          <w:tcPr>
            <w:tcW w:type="dxa" w:w="4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60 mL/min/1.73㎡未満</w:t>
            </w:r>
          </w:p>
        </w:tc>
      </w:tr>
      <w:tr>
        <w:tc>
          <w:tcPr>
            <w:tcW w:type="dxa" w:w="15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
            </w:r>
          </w:p>
        </w:tc>
        <w:tc>
          <w:tcPr>
            <w:tcW w:type="dxa" w:w="3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尿蛋白</w:t>
            </w:r>
          </w:p>
        </w:tc>
        <w:tc>
          <w:tcPr>
            <w:tcW w:type="dxa" w:w="4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（＋）以上</w:t>
            </w:r>
          </w:p>
        </w:tc>
      </w:tr>
      <w:tr>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bCs/>
                <w:color w:val="000000"/>
                <w:sz w:val="19"/>
                <w:szCs w:val="19"/>
              </w:rPr>
              <w:t xml:space="preserve">心血管</w:t>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収縮期血圧</w:t>
            </w:r>
          </w:p>
        </w:tc>
        <w:tc>
          <w:tcPr>
            <w:tcW w:type="dxa" w:w="4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140 mmHg以上</w:t>
            </w:r>
          </w:p>
        </w:tc>
      </w:tr>
      <w:tr>
        <w:tc>
          <w:tcPr>
            <w:tcW w:type="dxa" w:w="15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
            </w:r>
          </w:p>
        </w:tc>
        <w:tc>
          <w:tcPr>
            <w:tcW w:type="dxa" w:w="3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LDLコレステロール</w:t>
            </w:r>
          </w:p>
        </w:tc>
        <w:tc>
          <w:tcPr>
            <w:tcW w:type="dxa" w:w="4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140 mg/dL以上</w:t>
            </w:r>
          </w:p>
        </w:tc>
      </w:tr>
      <w:tr>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
            </w:r>
          </w:p>
        </w:tc>
        <w:tc>
          <w:tcPr>
            <w:tcW w:type="dxa" w:w="30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中性脂肪</w:t>
            </w:r>
          </w:p>
        </w:tc>
        <w:tc>
          <w:tcPr>
            <w:tcW w:type="dxa" w:w="48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150 mg/dL以上</w:t>
            </w:r>
          </w:p>
        </w:tc>
      </w:tr>
      <w:tr>
        <w:tc>
          <w:tcPr>
            <w:tcW w:type="dxa" w:w="15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
            </w:r>
          </w:p>
        </w:tc>
        <w:tc>
          <w:tcPr>
            <w:tcW w:type="dxa" w:w="30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心電図</w:t>
            </w:r>
          </w:p>
        </w:tc>
        <w:tc>
          <w:tcPr>
            <w:tcW w:type="dxa" w:w="48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所見あり</w:t>
            </w:r>
          </w:p>
        </w:tc>
      </w:tr>
    </w:tbl>
    <w:p>
      <w:pPr>
        <w:spacing w:after="200" w:before="60"/>
        <w:jc w:val="center"/>
      </w:pPr>
      <w:r>
        <w:rPr>
          <w:rFonts w:ascii="Yu Gothic" w:cs="Yu Gothic" w:eastAsia="Yu Gothic" w:hAnsi="Yu Gothic"/>
          <w:i/>
          <w:iCs/>
          <w:color w:val="595959"/>
          <w:sz w:val="18"/>
          <w:szCs w:val="18"/>
        </w:rPr>
        <w:t xml:space="preserve">表1. 疾患領域別の対象指標とリスク定義</w:t>
      </w:r>
    </w:p>
    <w:p>
      <w:pPr>
        <w:pStyle w:val="Heading2"/>
        <w:spacing w:after="120" w:before="220"/>
      </w:pPr>
      <w:r>
        <w:rPr>
          <w:rFonts w:ascii="Yu Gothic" w:cs="Yu Gothic" w:eastAsia="Yu Gothic" w:hAnsi="Yu Gothic"/>
          <w:b/>
          <w:bCs/>
          <w:color w:val="2E5496"/>
          <w:sz w:val="24"/>
          <w:szCs w:val="24"/>
        </w:rPr>
        <w:t xml:space="preserve">2.3 スコアリング手法</w:t>
      </w:r>
    </w:p>
    <w:p>
      <w:pPr>
        <w:spacing w:after="120" w:line="300"/>
        <w:jc w:val="both"/>
      </w:pPr>
      <w:r>
        <w:rPr>
          <w:rFonts w:ascii="Yu Gothic" w:cs="Yu Gothic" w:eastAsia="Yu Gothic" w:hAnsi="Yu Gothic"/>
          <w:sz w:val="21"/>
          <w:szCs w:val="21"/>
        </w:rPr>
        <w:t xml:space="preserve">地域間比較を可能にするため、以下の手順で標準化スコアを算出した。</w:t>
      </w:r>
    </w:p>
    <w:p>
      <w:pPr>
        <w:pStyle w:val="ListParagraph"/>
        <w:numPr>
          <w:ilvl w:val="0"/>
          <w:numId w:val="2"/>
        </w:numPr>
        <w:spacing w:after="80" w:line="290"/>
      </w:pPr>
      <w:r>
        <w:rPr>
          <w:rFonts w:ascii="Yu Gothic" w:cs="Yu Gothic" w:eastAsia="Yu Gothic" w:hAnsi="Yu Gothic"/>
          <w:sz w:val="21"/>
          <w:szCs w:val="21"/>
        </w:rPr>
        <w:t xml:space="preserve">① 各指標のリスク該当率を、全335圏域における分布をもとに標準化（Zスコア化）し、偏差値（平均50・標準偏差10）に変換した。値が高いほどリスクが高いことを示す。</w:t>
      </w:r>
    </w:p>
    <w:p>
      <w:pPr>
        <w:pStyle w:val="ListParagraph"/>
        <w:numPr>
          <w:ilvl w:val="0"/>
          <w:numId w:val="2"/>
        </w:numPr>
        <w:spacing w:after="80" w:line="290"/>
      </w:pPr>
      <w:r>
        <w:rPr>
          <w:rFonts w:ascii="Yu Gothic" w:cs="Yu Gothic" w:eastAsia="Yu Gothic" w:hAnsi="Yu Gothic"/>
          <w:sz w:val="21"/>
          <w:szCs w:val="21"/>
        </w:rPr>
        <w:t xml:space="preserve">② 疾患領域ごとに、当該領域に属する指標の偏差値を平均し「領域スコア」（糖尿病・CKD・心血管）とした。</w:t>
      </w:r>
    </w:p>
    <w:p>
      <w:pPr>
        <w:pStyle w:val="ListParagraph"/>
        <w:numPr>
          <w:ilvl w:val="0"/>
          <w:numId w:val="2"/>
        </w:numPr>
        <w:spacing w:after="80" w:line="290"/>
      </w:pPr>
      <w:r>
        <w:rPr>
          <w:rFonts w:ascii="Yu Gothic" w:cs="Yu Gothic" w:eastAsia="Yu Gothic" w:hAnsi="Yu Gothic"/>
          <w:sz w:val="21"/>
          <w:szCs w:val="21"/>
        </w:rPr>
        <w:t xml:space="preserve">③ 3つの領域スコアの平均を「複合スコア」とし、二次医療圏の総合的な重症化リスクの指標とした。</w:t>
      </w:r>
    </w:p>
    <w:p>
      <w:pPr>
        <w:pStyle w:val="ListParagraph"/>
        <w:numPr>
          <w:ilvl w:val="0"/>
          <w:numId w:val="2"/>
        </w:numPr>
        <w:spacing w:after="80" w:line="290"/>
      </w:pPr>
      <w:r>
        <w:rPr>
          <w:rFonts w:ascii="Yu Gothic" w:cs="Yu Gothic" w:eastAsia="Yu Gothic" w:hAnsi="Yu Gothic"/>
          <w:sz w:val="21"/>
          <w:szCs w:val="21"/>
        </w:rPr>
        <w:t xml:space="preserve">④ 複合スコアにより335圏域を5段階（高リスク〜低リスク、各20%）のリスクティアに分類した。</w:t>
      </w:r>
    </w:p>
    <w:p>
      <w:pPr>
        <w:spacing w:after="120" w:line="300"/>
        <w:jc w:val="left"/>
      </w:pPr>
      <w:r>
        <w:rPr>
          <w:rFonts w:ascii="Yu Gothic" w:cs="Yu Gothic" w:eastAsia="Yu Gothic" w:hAnsi="Yu Gothic"/>
          <w:sz w:val="21"/>
          <w:szCs w:val="21"/>
        </w:rPr>
        <w:t xml:space="preserve">さらに、地域間の年齢構成の違いによる交絡を除去するため、年齢（7階級）×性別（2区分）の14層について直接法による標準化を行った。基準集団には全国の特定健診受診者の年齢・性別構成を用い、各圏域の層別リスク率を基準集団の重みで加重平均して「年齢・性別調整リスク率」を算出し、同じ手順で調整版の複合スコアを得た。本レポートでは粗スコアと調整スコアの両方を提示する。</w:t>
      </w:r>
    </w:p>
    <w:p>
      <w:pPr>
        <w:spacing w:after="120" w:line="300"/>
        <w:jc w:val="left"/>
      </w:pPr>
      <w:r>
        <w:rPr>
          <w:rFonts w:ascii="Yu Gothic" w:cs="Yu Gothic" w:eastAsia="Yu Gothic" w:hAnsi="Yu Gothic"/>
          <w:sz w:val="21"/>
          <w:szCs w:val="21"/>
        </w:rPr>
        <w:t xml:space="preserve">なお、集計値が10未満のセルはNDBの秘匿処理により非公開（「‐」表示）であり、本分析では0として扱った。</w:t>
      </w:r>
    </w:p>
    <w:p>
      <w:pPr>
        <w:pStyle w:val="Heading2"/>
        <w:spacing w:after="120" w:before="220"/>
      </w:pPr>
      <w:r>
        <w:rPr>
          <w:rFonts w:ascii="Yu Gothic" w:cs="Yu Gothic" w:eastAsia="Yu Gothic" w:hAnsi="Yu Gothic"/>
          <w:b/>
          <w:bCs/>
          <w:color w:val="2E5496"/>
          <w:sz w:val="24"/>
          <w:szCs w:val="24"/>
        </w:rPr>
        <w:t xml:space="preserve">2.4 使用環境</w:t>
      </w:r>
    </w:p>
    <w:p>
      <w:pPr>
        <w:spacing w:after="120" w:line="300"/>
        <w:jc w:val="both"/>
      </w:pPr>
      <w:r>
        <w:rPr>
          <w:rFonts w:ascii="Yu Gothic" w:cs="Yu Gothic" w:eastAsia="Yu Gothic" w:hAnsi="Yu Gothic"/>
          <w:sz w:val="21"/>
          <w:szCs w:val="21"/>
        </w:rPr>
        <w:t xml:space="preserve">データ処理・集計はPython（pandas, openpyxl）で実装し、ETL・スコアリング・可視化用データ加工をパイプライン化した。出力はTableau / Superset接続用のCSVおよびコロプレスマップ用JSONとして整備し、コードはGitHubでバージョン管理した。</w:t>
      </w:r>
    </w:p>
    <w:p>
      <w:r>
        <w:br w:type="page"/>
      </w:r>
    </w:p>
    <w:p>
      <w:pPr>
        <w:pStyle w:val="Heading1"/>
        <w:spacing w:after="160" w:before="280"/>
      </w:pPr>
      <w:r>
        <w:rPr>
          <w:rFonts w:ascii="Yu Gothic" w:cs="Yu Gothic" w:eastAsia="Yu Gothic" w:hAnsi="Yu Gothic"/>
          <w:b/>
          <w:bCs/>
          <w:color w:val="1F3864"/>
          <w:sz w:val="28"/>
          <w:szCs w:val="28"/>
        </w:rPr>
        <w:t xml:space="preserve">3. 結果</w:t>
      </w:r>
    </w:p>
    <w:p>
      <w:pPr>
        <w:pStyle w:val="Heading2"/>
        <w:spacing w:after="120" w:before="220"/>
      </w:pPr>
      <w:r>
        <w:rPr>
          <w:rFonts w:ascii="Yu Gothic" w:cs="Yu Gothic" w:eastAsia="Yu Gothic" w:hAnsi="Yu Gothic"/>
          <w:b/>
          <w:bCs/>
          <w:color w:val="2E5496"/>
          <w:sz w:val="24"/>
          <w:szCs w:val="24"/>
        </w:rPr>
        <w:t xml:space="preserve">3.1 検査項目別の全国リスク該当率</w:t>
      </w:r>
    </w:p>
    <w:p>
      <w:pPr>
        <w:spacing w:after="120" w:line="300"/>
        <w:jc w:val="both"/>
      </w:pPr>
      <w:r>
        <w:rPr>
          <w:rFonts w:ascii="Yu Gothic" w:cs="Yu Gothic" w:eastAsia="Yu Gothic" w:hAnsi="Yu Gothic"/>
          <w:sz w:val="21"/>
          <w:szCs w:val="21"/>
        </w:rPr>
        <w:t xml:space="preserve">8指標の全国リスク該当率（圏域平均）を表2に示す。心電図所見あり（30.6%）、LDL高値（27.7%）、収縮期血圧高値（20.6%）の順に高く、尿蛋白陽性（3.4%）が最も低かった。圏域間のばらつき（標準偏差）はeGFR低下（SD 2.9）と収縮期血圧高値（SD 3.4）で比較的大きく、これらの指標で地域差が顕著であることが示された。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50"/>
        <w:gridCol w:w="1550"/>
        <w:gridCol w:w="3060"/>
      </w:tblGrid>
      <w:tr>
        <w:trPr>
          <w:tblHeader/>
        </w:trPr>
        <w:tc>
          <w:tcPr>
            <w:tcW w:type="dxa" w:w="3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検査項目</w:t>
            </w:r>
          </w:p>
        </w:tc>
        <w:tc>
          <w:tcPr>
            <w:tcW w:type="dxa" w:w="155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該当率(平均)</w:t>
            </w:r>
          </w:p>
        </w:tc>
        <w:tc>
          <w:tcPr>
            <w:tcW w:type="dxa" w:w="155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圏域間SD</w:t>
            </w:r>
          </w:p>
        </w:tc>
        <w:tc>
          <w:tcPr>
            <w:tcW w:type="dxa" w:w="30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対象者数</w:t>
            </w:r>
          </w:p>
        </w:tc>
      </w:tr>
      <w:t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心電図 所見あり</w:t>
            </w:r>
          </w:p>
        </w:tc>
        <w:tc>
          <w:tcPr>
            <w:tcW w:type="dxa" w:w="1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30.6%</w:t>
            </w:r>
          </w:p>
        </w:tc>
        <w:tc>
          <w:tcPr>
            <w:tcW w:type="dxa" w:w="1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12.8</w:t>
            </w:r>
          </w:p>
        </w:tc>
        <w:tc>
          <w:tcPr>
            <w:tcW w:type="dxa" w:w="3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364,256</w:t>
            </w:r>
          </w:p>
        </w:tc>
      </w:tr>
      <w:tr>
        <w:tc>
          <w:tcPr>
            <w:tcW w:type="dxa" w:w="3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LDL 140以上</w:t>
            </w:r>
          </w:p>
        </w:tc>
        <w:tc>
          <w:tcPr>
            <w:tcW w:type="dxa" w:w="15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27.7%</w:t>
            </w:r>
          </w:p>
        </w:tc>
        <w:tc>
          <w:tcPr>
            <w:tcW w:type="dxa" w:w="15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1.8</w:t>
            </w:r>
          </w:p>
        </w:tc>
        <w:tc>
          <w:tcPr>
            <w:tcW w:type="dxa" w:w="3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29,013,858</w:t>
            </w:r>
          </w:p>
        </w:tc>
      </w:tr>
      <w:t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収縮期血圧 140以上</w:t>
            </w:r>
          </w:p>
        </w:tc>
        <w:tc>
          <w:tcPr>
            <w:tcW w:type="dxa" w:w="1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20.6%</w:t>
            </w:r>
          </w:p>
        </w:tc>
        <w:tc>
          <w:tcPr>
            <w:tcW w:type="dxa" w:w="1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3.4</w:t>
            </w:r>
          </w:p>
        </w:tc>
        <w:tc>
          <w:tcPr>
            <w:tcW w:type="dxa" w:w="3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29,117,980</w:t>
            </w:r>
          </w:p>
        </w:tc>
      </w:tr>
      <w:tr>
        <w:tc>
          <w:tcPr>
            <w:tcW w:type="dxa" w:w="3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中性脂肪 150以上</w:t>
            </w:r>
          </w:p>
        </w:tc>
        <w:tc>
          <w:tcPr>
            <w:tcW w:type="dxa" w:w="15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17.0%</w:t>
            </w:r>
          </w:p>
        </w:tc>
        <w:tc>
          <w:tcPr>
            <w:tcW w:type="dxa" w:w="15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1.6</w:t>
            </w:r>
          </w:p>
        </w:tc>
        <w:tc>
          <w:tcPr>
            <w:tcW w:type="dxa" w:w="3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29,063,398</w:t>
            </w:r>
          </w:p>
        </w:tc>
      </w:tr>
      <w:t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eGFR 60未満</w:t>
            </w:r>
          </w:p>
        </w:tc>
        <w:tc>
          <w:tcPr>
            <w:tcW w:type="dxa" w:w="1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11.2%</w:t>
            </w:r>
          </w:p>
        </w:tc>
        <w:tc>
          <w:tcPr>
            <w:tcW w:type="dxa" w:w="1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2.9</w:t>
            </w:r>
          </w:p>
        </w:tc>
        <w:tc>
          <w:tcPr>
            <w:tcW w:type="dxa" w:w="3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2,538,415</w:t>
            </w:r>
          </w:p>
        </w:tc>
      </w:tr>
      <w:tr>
        <w:tc>
          <w:tcPr>
            <w:tcW w:type="dxa" w:w="3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HbA1c 6.5以上</w:t>
            </w:r>
          </w:p>
        </w:tc>
        <w:tc>
          <w:tcPr>
            <w:tcW w:type="dxa" w:w="15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8.0%</w:t>
            </w:r>
          </w:p>
        </w:tc>
        <w:tc>
          <w:tcPr>
            <w:tcW w:type="dxa" w:w="15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1.2</w:t>
            </w:r>
          </w:p>
        </w:tc>
        <w:tc>
          <w:tcPr>
            <w:tcW w:type="dxa" w:w="3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22,918,781</w:t>
            </w:r>
          </w:p>
        </w:tc>
      </w:tr>
      <w:tr>
        <w:tc>
          <w:tcPr>
            <w:tcW w:type="dxa" w:w="32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空腹時血糖 126以上</w:t>
            </w:r>
          </w:p>
        </w:tc>
        <w:tc>
          <w:tcPr>
            <w:tcW w:type="dxa" w:w="1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6.4%</w:t>
            </w:r>
          </w:p>
        </w:tc>
        <w:tc>
          <w:tcPr>
            <w:tcW w:type="dxa" w:w="1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1.0</w:t>
            </w:r>
          </w:p>
        </w:tc>
        <w:tc>
          <w:tcPr>
            <w:tcW w:type="dxa" w:w="3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24,160,772</w:t>
            </w:r>
          </w:p>
        </w:tc>
      </w:tr>
      <w:tr>
        <w:tc>
          <w:tcPr>
            <w:tcW w:type="dxa" w:w="32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尿蛋白 (＋)以上</w:t>
            </w:r>
          </w:p>
        </w:tc>
        <w:tc>
          <w:tcPr>
            <w:tcW w:type="dxa" w:w="15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3.4%</w:t>
            </w:r>
          </w:p>
        </w:tc>
        <w:tc>
          <w:tcPr>
            <w:tcW w:type="dxa" w:w="15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0.8</w:t>
            </w:r>
          </w:p>
        </w:tc>
        <w:tc>
          <w:tcPr>
            <w:tcW w:type="dxa" w:w="3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28,960,047</w:t>
            </w:r>
          </w:p>
        </w:tc>
      </w:tr>
    </w:tbl>
    <w:p>
      <w:pPr>
        <w:spacing w:after="200" w:before="60"/>
        <w:jc w:val="center"/>
      </w:pPr>
      <w:r>
        <w:rPr>
          <w:rFonts w:ascii="Yu Gothic" w:cs="Yu Gothic" w:eastAsia="Yu Gothic" w:hAnsi="Yu Gothic"/>
          <w:i/>
          <w:iCs/>
          <w:color w:val="595959"/>
          <w:sz w:val="18"/>
          <w:szCs w:val="18"/>
        </w:rPr>
        <w:t xml:space="preserve">表2. 検査項目別の全国リスク該当率（335二次医療圏の平均）</w:t>
      </w:r>
    </w:p>
    <w:p>
      <w:pPr>
        <w:spacing w:before="120"/>
        <w:jc w:val="center"/>
      </w:pPr>
      <w:r>
        <w:drawing>
          <wp:inline distT="0" distB="0" distL="0" distR="0">
            <wp:extent cx="5143500" cy="2857500"/>
            <wp:effectExtent t="0" r="0" b="0" l="0"/>
            <wp:docPr id="1" name="fig2_indicator_rates.png" descr="fig2_indicator_rates.png" title="fig2_indicator_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57500"/>
                    </a:xfrm>
                    <a:prstGeom prst="rect">
                      <a:avLst/>
                    </a:prstGeom>
                  </pic:spPr>
                </pic:pic>
              </a:graphicData>
            </a:graphic>
          </wp:inline>
        </w:drawing>
      </w:r>
    </w:p>
    <w:p>
      <w:pPr>
        <w:spacing w:after="200" w:before="60"/>
        <w:jc w:val="center"/>
      </w:pPr>
      <w:r>
        <w:rPr>
          <w:rFonts w:ascii="Yu Gothic" w:cs="Yu Gothic" w:eastAsia="Yu Gothic" w:hAnsi="Yu Gothic"/>
          <w:i/>
          <w:iCs/>
          <w:color w:val="595959"/>
          <w:sz w:val="18"/>
          <w:szCs w:val="18"/>
        </w:rPr>
        <w:t xml:space="preserve">図1. 検査項目別 全国リスク該当率（エラーバーは圏域間の標準偏差）</w:t>
      </w:r>
    </w:p>
    <w:p>
      <w:pPr>
        <w:pStyle w:val="Heading2"/>
        <w:spacing w:after="120" w:before="220"/>
      </w:pPr>
      <w:r>
        <w:rPr>
          <w:rFonts w:ascii="Yu Gothic" w:cs="Yu Gothic" w:eastAsia="Yu Gothic" w:hAnsi="Yu Gothic"/>
          <w:b/>
          <w:bCs/>
          <w:color w:val="2E5496"/>
          <w:sz w:val="24"/>
          <w:szCs w:val="24"/>
        </w:rPr>
        <w:t xml:space="preserve">3.2 複合スコアによる地域層別化</w:t>
      </w:r>
    </w:p>
    <w:p>
      <w:pPr>
        <w:spacing w:after="120" w:line="300"/>
        <w:jc w:val="both"/>
      </w:pPr>
      <w:r>
        <w:rPr>
          <w:rFonts w:ascii="Yu Gothic" w:cs="Yu Gothic" w:eastAsia="Yu Gothic" w:hAnsi="Yu Gothic"/>
          <w:sz w:val="21"/>
          <w:szCs w:val="21"/>
        </w:rPr>
        <w:t xml:space="preserve">複合スコアは平均50.0・標準偏差4.8、範囲は36.5〜70.2であった。スコア上位（高リスク）の二次医療圏を表3に示す。新潟県・佐渡（70.2）、沖縄県・宮古（68.9）、高知県・安芸（65.6）が上位を占め、離島・地方圏が目立っ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15"/>
        <w:gridCol w:w="1515"/>
        <w:gridCol w:w="1515"/>
        <w:gridCol w:w="1515"/>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順位</w:t>
            </w:r>
          </w:p>
        </w:tc>
        <w:tc>
          <w:tcPr>
            <w:tcW w:type="dxa" w:w="2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二次医療圏</w:t>
            </w:r>
          </w:p>
        </w:tc>
        <w:tc>
          <w:tcPr>
            <w:tcW w:type="dxa" w:w="1515"/>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複合</w:t>
            </w:r>
          </w:p>
        </w:tc>
        <w:tc>
          <w:tcPr>
            <w:tcW w:type="dxa" w:w="1515"/>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糖尿病</w:t>
            </w:r>
          </w:p>
        </w:tc>
        <w:tc>
          <w:tcPr>
            <w:tcW w:type="dxa" w:w="1515"/>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CKD</w:t>
            </w:r>
          </w:p>
        </w:tc>
        <w:tc>
          <w:tcPr>
            <w:tcW w:type="dxa" w:w="1515"/>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心血管</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1</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新潟県 佐渡</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bCs/>
                <w:color w:val="A32D2D"/>
                <w:sz w:val="19"/>
                <w:szCs w:val="19"/>
              </w:rPr>
              <w:t xml:space="preserve">70.2</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64.0</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A32D2D"/>
                <w:sz w:val="19"/>
                <w:szCs w:val="19"/>
              </w:rPr>
              <w:t xml:space="preserve">87.5</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59.1</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2</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沖縄県 宮古</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bCs/>
                <w:color w:val="A32D2D"/>
                <w:sz w:val="19"/>
                <w:szCs w:val="19"/>
              </w:rPr>
              <w:t xml:space="preserve">68.9</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66.2</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A32D2D"/>
                <w:sz w:val="19"/>
                <w:szCs w:val="19"/>
              </w:rPr>
              <w:t xml:space="preserve">83.2</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57.4</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3</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高知県 安芸</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bCs/>
                <w:color w:val="A32D2D"/>
                <w:sz w:val="19"/>
                <w:szCs w:val="19"/>
              </w:rPr>
              <w:t xml:space="preserve">65.6</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70.5</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57.7</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68.5</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4</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青森県 八戸地域</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bCs/>
                <w:color w:val="A32D2D"/>
                <w:sz w:val="19"/>
                <w:szCs w:val="19"/>
              </w:rPr>
              <w:t xml:space="preserve">63.3</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A32D2D"/>
                <w:sz w:val="19"/>
                <w:szCs w:val="19"/>
              </w:rPr>
              <w:t xml:space="preserve">76.2</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57.6</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56.1</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5</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鹿児島県 曽於</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bCs/>
                <w:color w:val="A32D2D"/>
                <w:sz w:val="19"/>
                <w:szCs w:val="19"/>
              </w:rPr>
              <w:t xml:space="preserve">62.4</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A32D2D"/>
                <w:sz w:val="19"/>
                <w:szCs w:val="19"/>
              </w:rPr>
              <w:t xml:space="preserve">77.2</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61.8</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48.1</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6</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沖縄県 八重山</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bCs/>
                <w:color w:val="000000"/>
                <w:sz w:val="19"/>
                <w:szCs w:val="19"/>
              </w:rPr>
              <w:t xml:space="preserve">62.3</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65.2</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69.7</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52.1</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7</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鹿児島県 奄美</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bCs/>
                <w:color w:val="000000"/>
                <w:sz w:val="19"/>
                <w:szCs w:val="19"/>
              </w:rPr>
              <w:t xml:space="preserve">62.1</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59.6</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72.7</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54.0</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8</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北海道 留萌</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bCs/>
                <w:color w:val="000000"/>
                <w:sz w:val="19"/>
                <w:szCs w:val="19"/>
              </w:rPr>
              <w:t xml:space="preserve">62.1</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74.4</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57.8</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54.1</w:t>
            </w:r>
          </w:p>
        </w:tc>
      </w:tr>
      <w:tr>
        <w:tc>
          <w:tcPr>
            <w:tcW w:type="dxa" w:w="9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9</w:t>
            </w:r>
          </w:p>
        </w:tc>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茨城県 日立</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bCs/>
                <w:color w:val="000000"/>
                <w:sz w:val="19"/>
                <w:szCs w:val="19"/>
              </w:rPr>
              <w:t xml:space="preserve">61.6</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67.6</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53.3</w:t>
            </w:r>
          </w:p>
        </w:tc>
        <w:tc>
          <w:tcPr>
            <w:tcW w:type="dxa" w:w="1515"/>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64.0</w:t>
            </w:r>
          </w:p>
        </w:tc>
      </w:tr>
      <w:tr>
        <w:tc>
          <w:tcPr>
            <w:tcW w:type="dxa" w:w="9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10</w:t>
            </w:r>
          </w:p>
        </w:tc>
        <w:tc>
          <w:tcPr>
            <w:tcW w:type="dxa" w:w="240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石川県 能登北部</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bCs/>
                <w:color w:val="000000"/>
                <w:sz w:val="19"/>
                <w:szCs w:val="19"/>
              </w:rPr>
              <w:t xml:space="preserve">60.9</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65.3</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56.6</w:t>
            </w:r>
          </w:p>
        </w:tc>
        <w:tc>
          <w:tcPr>
            <w:tcW w:type="dxa" w:w="1515"/>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60.7</w:t>
            </w:r>
          </w:p>
        </w:tc>
      </w:tr>
    </w:tbl>
    <w:p>
      <w:pPr>
        <w:spacing w:after="200" w:before="60"/>
        <w:jc w:val="center"/>
      </w:pPr>
      <w:r>
        <w:rPr>
          <w:rFonts w:ascii="Yu Gothic" w:cs="Yu Gothic" w:eastAsia="Yu Gothic" w:hAnsi="Yu Gothic"/>
          <w:i/>
          <w:iCs/>
          <w:color w:val="595959"/>
          <w:sz w:val="18"/>
          <w:szCs w:val="18"/>
        </w:rPr>
        <w:t xml:space="preserve">表3. 重症化リスク複合スコア上位10二次医療圏</w:t>
      </w:r>
    </w:p>
    <w:p>
      <w:pPr>
        <w:pStyle w:val="Heading2"/>
        <w:spacing w:after="120" w:before="220"/>
      </w:pPr>
      <w:r>
        <w:rPr>
          <w:rFonts w:ascii="Yu Gothic" w:cs="Yu Gothic" w:eastAsia="Yu Gothic" w:hAnsi="Yu Gothic"/>
          <w:b/>
          <w:bCs/>
          <w:color w:val="2E5496"/>
          <w:sz w:val="24"/>
          <w:szCs w:val="24"/>
        </w:rPr>
        <w:t xml:space="preserve">3.3 都道府県・地方ブロック別の傾向</w:t>
      </w:r>
    </w:p>
    <w:p>
      <w:pPr>
        <w:spacing w:after="120" w:line="300"/>
        <w:jc w:val="both"/>
      </w:pPr>
      <w:r>
        <w:rPr>
          <w:rFonts w:ascii="Yu Gothic" w:cs="Yu Gothic" w:eastAsia="Yu Gothic" w:hAnsi="Yu Gothic"/>
          <w:sz w:val="21"/>
          <w:szCs w:val="21"/>
        </w:rPr>
        <w:t xml:space="preserve">都道府県別に集約すると、沖縄県（59.1）、高知県（57.1）、鹿児島県（56.6）が高く、東京都（42.2）、鳥取県（42.7）、滋賀県（43.7）が低かった。地方ブロック別では北海道・四国・九州で高く、関東・近畿で低い「西高東低かつ大都市低リスク」の傾向がみられ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地方ブロック</w:t>
            </w:r>
          </w:p>
        </w:tc>
        <w:tc>
          <w:tcPr>
            <w:tcW w:type="dxa" w:w="312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平均複合スコア</w:t>
            </w:r>
          </w:p>
        </w:tc>
        <w:tc>
          <w:tcPr>
            <w:tcW w:type="dxa" w:w="312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含まれる県数</w:t>
            </w:r>
          </w:p>
        </w:tc>
      </w:tr>
      <w:tr>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北海道</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53.1</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w:t>
            </w:r>
          </w:p>
        </w:tc>
      </w:tr>
      <w:tr>
        <w:tc>
          <w:tcPr>
            <w:tcW w:type="dxa" w:w="312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四国</w:t>
            </w:r>
          </w:p>
        </w:tc>
        <w:tc>
          <w:tcPr>
            <w:tcW w:type="dxa" w:w="312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53.1</w:t>
            </w:r>
          </w:p>
        </w:tc>
        <w:tc>
          <w:tcPr>
            <w:tcW w:type="dxa" w:w="312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4</w:t>
            </w:r>
          </w:p>
        </w:tc>
      </w:tr>
      <w:tr>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九州</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52.1</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8</w:t>
            </w:r>
          </w:p>
        </w:tc>
      </w:tr>
      <w:tr>
        <w:tc>
          <w:tcPr>
            <w:tcW w:type="dxa" w:w="312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東北</w:t>
            </w:r>
          </w:p>
        </w:tc>
        <w:tc>
          <w:tcPr>
            <w:tcW w:type="dxa" w:w="312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51.3</w:t>
            </w:r>
          </w:p>
        </w:tc>
        <w:tc>
          <w:tcPr>
            <w:tcW w:type="dxa" w:w="312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6</w:t>
            </w:r>
          </w:p>
        </w:tc>
      </w:tr>
      <w:tr>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中部</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49.8</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9</w:t>
            </w:r>
          </w:p>
        </w:tc>
      </w:tr>
      <w:tr>
        <w:tc>
          <w:tcPr>
            <w:tcW w:type="dxa" w:w="312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中国</w:t>
            </w:r>
          </w:p>
        </w:tc>
        <w:tc>
          <w:tcPr>
            <w:tcW w:type="dxa" w:w="312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49.1</w:t>
            </w:r>
          </w:p>
        </w:tc>
        <w:tc>
          <w:tcPr>
            <w:tcW w:type="dxa" w:w="312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w:t>
            </w:r>
          </w:p>
        </w:tc>
      </w:tr>
      <w:tr>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関東</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48.0</w:t>
            </w:r>
          </w:p>
        </w:tc>
        <w:tc>
          <w:tcPr>
            <w:tcW w:type="dxa" w:w="312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7</w:t>
            </w:r>
          </w:p>
        </w:tc>
      </w:tr>
      <w:tr>
        <w:tc>
          <w:tcPr>
            <w:tcW w:type="dxa" w:w="312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近畿</w:t>
            </w:r>
          </w:p>
        </w:tc>
        <w:tc>
          <w:tcPr>
            <w:tcW w:type="dxa" w:w="312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48.0</w:t>
            </w:r>
          </w:p>
        </w:tc>
        <w:tc>
          <w:tcPr>
            <w:tcW w:type="dxa" w:w="312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7</w:t>
            </w:r>
          </w:p>
        </w:tc>
      </w:tr>
    </w:tbl>
    <w:p>
      <w:pPr>
        <w:spacing w:after="200" w:before="60"/>
        <w:jc w:val="center"/>
      </w:pPr>
      <w:r>
        <w:rPr>
          <w:rFonts w:ascii="Yu Gothic" w:cs="Yu Gothic" w:eastAsia="Yu Gothic" w:hAnsi="Yu Gothic"/>
          <w:i/>
          <w:iCs/>
          <w:color w:val="595959"/>
          <w:sz w:val="18"/>
          <w:szCs w:val="18"/>
        </w:rPr>
        <w:t xml:space="preserve">表4. 地方ブロック別 平均複合スコア</w:t>
      </w:r>
    </w:p>
    <w:p>
      <w:pPr>
        <w:spacing w:before="120"/>
        <w:jc w:val="center"/>
      </w:pPr>
      <w:r>
        <w:drawing>
          <wp:inline distT="0" distB="0" distL="0" distR="0">
            <wp:extent cx="5334000" cy="3552825"/>
            <wp:effectExtent t="0" r="0" b="0" l="0"/>
            <wp:docPr id="1" name="fig1_domain_bars.png" descr="fig1_domain_bars.png" title="fig1_domain_ba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200" w:before="60"/>
        <w:jc w:val="center"/>
      </w:pPr>
      <w:r>
        <w:rPr>
          <w:rFonts w:ascii="Yu Gothic" w:cs="Yu Gothic" w:eastAsia="Yu Gothic" w:hAnsi="Yu Gothic"/>
          <w:i/>
          <w:iCs/>
          <w:color w:val="595959"/>
          <w:sz w:val="18"/>
          <w:szCs w:val="18"/>
        </w:rPr>
        <w:t xml:space="preserve">図2. 都道府県別 3ドメインスコア（複合スコア上位15県）</w:t>
      </w:r>
    </w:p>
    <w:p>
      <w:pPr>
        <w:pStyle w:val="Heading2"/>
        <w:spacing w:after="120" w:before="220"/>
      </w:pPr>
      <w:r>
        <w:rPr>
          <w:rFonts w:ascii="Yu Gothic" w:cs="Yu Gothic" w:eastAsia="Yu Gothic" w:hAnsi="Yu Gothic"/>
          <w:b/>
          <w:bCs/>
          <w:color w:val="2E5496"/>
          <w:sz w:val="24"/>
          <w:szCs w:val="24"/>
        </w:rPr>
        <w:t xml:space="preserve">3.4 疾患領域は相互に独立</w:t>
      </w:r>
    </w:p>
    <w:p>
      <w:pPr>
        <w:spacing w:after="120" w:line="300"/>
        <w:jc w:val="both"/>
      </w:pPr>
      <w:r>
        <w:rPr>
          <w:rFonts w:ascii="Yu Gothic" w:cs="Yu Gothic" w:eastAsia="Yu Gothic" w:hAnsi="Yu Gothic"/>
          <w:sz w:val="21"/>
          <w:szCs w:val="21"/>
        </w:rPr>
        <w:t xml:space="preserve">3つの領域スコア間の相関係数は、糖尿病×心血管でr=0.39（中程度）、糖尿病×CKDおよびCKD×心血管でいずれもr=0.10（弱い）であった。すなわち、複合スコアが同程度の地域でも、その内訳となるリスク構造は地域ごとに大きく異なる。たとえば徳島県・西部はCKDが突出（62.0）する一方で糖尿病は平均的（49.6）であり、青森県・八戸地域は糖尿病が突出（76.2）する。この独立性は、複合スコア単独ではなく領域別スコアを併せて見る必要があることを示している。</w:t>
      </w:r>
    </w:p>
    <w:p>
      <w:pPr>
        <w:spacing w:before="120"/>
        <w:jc w:val="center"/>
      </w:pPr>
      <w:r>
        <w:drawing>
          <wp:inline distT="0" distB="0" distL="0" distR="0">
            <wp:extent cx="5715000" cy="2495550"/>
            <wp:effectExtent t="0" r="0" b="0" l="0"/>
            <wp:docPr id="1" name="fig3_domain_scatter.png" descr="fig3_domain_scatter.png" title="fig3_domain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95550"/>
                    </a:xfrm>
                    <a:prstGeom prst="rect">
                      <a:avLst/>
                    </a:prstGeom>
                  </pic:spPr>
                </pic:pic>
              </a:graphicData>
            </a:graphic>
          </wp:inline>
        </w:drawing>
      </w:r>
    </w:p>
    <w:p>
      <w:pPr>
        <w:spacing w:after="200" w:before="60"/>
        <w:jc w:val="center"/>
      </w:pPr>
      <w:r>
        <w:rPr>
          <w:rFonts w:ascii="Yu Gothic" w:cs="Yu Gothic" w:eastAsia="Yu Gothic" w:hAnsi="Yu Gothic"/>
          <w:i/>
          <w:iCs/>
          <w:color w:val="595959"/>
          <w:sz w:val="18"/>
          <w:szCs w:val="18"/>
        </w:rPr>
        <w:t xml:space="preserve">図3. 領域スコア間の散布図（各点=二次医療圏）。点が広く散らばり、領域間の相関が弱いことを示す</w:t>
      </w:r>
    </w:p>
    <w:p>
      <w:pPr>
        <w:pStyle w:val="Heading2"/>
        <w:spacing w:after="120" w:before="220"/>
      </w:pPr>
      <w:r>
        <w:rPr>
          <w:rFonts w:ascii="Yu Gothic" w:cs="Yu Gothic" w:eastAsia="Yu Gothic" w:hAnsi="Yu Gothic"/>
          <w:b/>
          <w:bCs/>
          <w:color w:val="2E5496"/>
          <w:sz w:val="24"/>
          <w:szCs w:val="24"/>
        </w:rPr>
        <w:t xml:space="preserve">3.5 性差</w:t>
      </w:r>
    </w:p>
    <w:p>
      <w:pPr>
        <w:spacing w:after="120" w:line="300"/>
        <w:jc w:val="both"/>
      </w:pPr>
      <w:r>
        <w:rPr>
          <w:rFonts w:ascii="Yu Gothic" w:cs="Yu Gothic" w:eastAsia="Yu Gothic" w:hAnsi="Yu Gothic"/>
          <w:sz w:val="21"/>
          <w:szCs w:val="21"/>
        </w:rPr>
        <w:t xml:space="preserve">主要指標のリスク該当率は一貫して男性で高かった（HbA1c高値：男性9.6% vs 女性4.6%、収縮期血圧高値：男性20.2% vs 女性15.9%、eGFR低下：男性13.0% vs 女性9.9%）。LDL高値のみ男女差がほぼなかった（男性28.4% vs 女性28.2%）。男性で一貫して高いことは、性別の交絡を調整する必要性を示している。</w:t>
      </w:r>
    </w:p>
    <w:p>
      <w:r>
        <w:br w:type="page"/>
      </w:r>
    </w:p>
    <w:p>
      <w:pPr>
        <w:pStyle w:val="Heading2"/>
        <w:spacing w:after="120" w:before="220"/>
      </w:pPr>
      <w:r>
        <w:rPr>
          <w:rFonts w:ascii="Yu Gothic" w:cs="Yu Gothic" w:eastAsia="Yu Gothic" w:hAnsi="Yu Gothic"/>
          <w:b/>
          <w:bCs/>
          <w:color w:val="2E5496"/>
          <w:sz w:val="24"/>
          <w:szCs w:val="24"/>
        </w:rPr>
        <w:t xml:space="preserve">3.6 年齢・性別調整スコアと地理的分布</w:t>
      </w:r>
    </w:p>
    <w:p>
      <w:pPr>
        <w:spacing w:after="120" w:line="300"/>
        <w:jc w:val="both"/>
      </w:pPr>
      <w:r>
        <w:rPr>
          <w:rFonts w:ascii="Yu Gothic" w:cs="Yu Gothic" w:eastAsia="Yu Gothic" w:hAnsi="Yu Gothic"/>
          <w:sz w:val="21"/>
          <w:szCs w:val="21"/>
        </w:rPr>
        <w:t xml:space="preserve">年齢・性別調整後の複合スコアと粗スコアの順位相関はSpearman ρ=0.62であり、調整によって順位が大きく変動した。図4の左（粗スコア）と右（年齢・性別調整スコア）の地図を比較すると、四国・九州南部・北海道などの高齢化が進んだ地方圏で色が薄まる一方、関東・近畿の大都市部では相対的に色が濃くなる。すなわち、粗スコアでみられた「西高東低」の地域差の一部は、地域の年齢構成の違い（高齢者割合の差）による交絡を反映していたことが分かる。</w:t>
      </w:r>
    </w:p>
    <w:p>
      <w:pPr>
        <w:spacing w:before="120"/>
        <w:jc w:val="center"/>
      </w:pPr>
      <w:r>
        <w:drawing>
          <wp:inline distT="0" distB="0" distL="0" distR="0">
            <wp:extent cx="5715000" cy="2857500"/>
            <wp:effectExtent t="0" r="0" b="0" l="0"/>
            <wp:docPr id="1" name="fig4_choropleth_compare.png" descr="fig4_choropleth_compare.png" title="fig4_choropleth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00" w:before="60"/>
        <w:jc w:val="center"/>
      </w:pPr>
      <w:r>
        <w:rPr>
          <w:rFonts w:ascii="Yu Gothic" w:cs="Yu Gothic" w:eastAsia="Yu Gothic" w:hAnsi="Yu Gothic"/>
          <w:i/>
          <w:iCs/>
          <w:color w:val="595959"/>
          <w:sz w:val="18"/>
          <w:szCs w:val="18"/>
        </w:rPr>
        <w:t xml:space="preserve">図4. 都道府県別 複合スコアの地図（左：粗スコア／右：年齢・性別調整スコア）。色が濃いほど高リスク</w:t>
      </w:r>
    </w:p>
    <w:p>
      <w:pPr>
        <w:spacing w:after="120" w:line="300"/>
        <w:jc w:val="both"/>
      </w:pPr>
      <w:r>
        <w:rPr>
          <w:rFonts w:ascii="Yu Gothic" w:cs="Yu Gothic" w:eastAsia="Yu Gothic" w:hAnsi="Yu Gothic"/>
          <w:sz w:val="21"/>
          <w:szCs w:val="21"/>
        </w:rPr>
        <w:t xml:space="preserve">圏域単位での変動を図5に示す。対角線から上方に外れる圏域は調整により順位が上昇（粗スコアが年齢構成により過小評価されていた）、下方に外れる圏域は順位が下落（過大評価されていた）したことを意味する。</w:t>
      </w:r>
    </w:p>
    <w:p>
      <w:pPr>
        <w:spacing w:before="120"/>
        <w:jc w:val="center"/>
      </w:pPr>
      <w:r>
        <w:drawing>
          <wp:inline distT="0" distB="0" distL="0" distR="0">
            <wp:extent cx="3429000" cy="3200400"/>
            <wp:effectExtent t="0" r="0" b="0" l="0"/>
            <wp:docPr id="1" name="fig6_crude_vs_adjusted.png" descr="fig6_crude_vs_adjusted.png" title="fig6_crude_vs_adju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3200400"/>
                    </a:xfrm>
                    <a:prstGeom prst="rect">
                      <a:avLst/>
                    </a:prstGeom>
                  </pic:spPr>
                </pic:pic>
              </a:graphicData>
            </a:graphic>
          </wp:inline>
        </w:drawing>
      </w:r>
    </w:p>
    <w:p>
      <w:pPr>
        <w:spacing w:after="200" w:before="60"/>
        <w:jc w:val="center"/>
      </w:pPr>
      <w:r>
        <w:rPr>
          <w:rFonts w:ascii="Yu Gothic" w:cs="Yu Gothic" w:eastAsia="Yu Gothic" w:hAnsi="Yu Gothic"/>
          <w:i/>
          <w:iCs/>
          <w:color w:val="595959"/>
          <w:sz w:val="18"/>
          <w:szCs w:val="18"/>
        </w:rPr>
        <w:t xml:space="preserve">図5. 粗スコアと年齢・性別調整スコアの散布図（各点=二次医療圏 n=335）</w:t>
      </w:r>
    </w:p>
    <w:p>
      <w:pPr>
        <w:spacing w:after="120" w:line="300"/>
        <w:jc w:val="both"/>
      </w:pPr>
      <w:r>
        <w:rPr>
          <w:rFonts w:ascii="Yu Gothic" w:cs="Yu Gothic" w:eastAsia="Yu Gothic" w:hAnsi="Yu Gothic"/>
          <w:sz w:val="21"/>
          <w:szCs w:val="21"/>
        </w:rPr>
        <w:t xml:space="preserve">順位変動の大きい代表的な圏域を表5に示す。熱海伊東・萩・南檜山・沼田といった高齢化の進む地方圏は、粗スコアでは上位だが調整により大きく順位を下げた。逆につくば・大阪市・仙台などの大都市圏は、若年層の多い人口構成によって粗スコアでは低く見えていたが、調整後に順位が上昇した。一方で青森県・八戸地域や茨城県・日立は調整後も上位を維持しており、年齢構成では説明できない真に高いリスクを抱える地域と考えら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1450"/>
        <w:gridCol w:w="1450"/>
        <w:gridCol w:w="4060"/>
      </w:tblGrid>
      <w:tr>
        <w:trPr>
          <w:tblHeader/>
        </w:trPr>
        <w:tc>
          <w:tcPr>
            <w:tcW w:type="dxa" w:w="255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二次医療圏</w:t>
            </w:r>
          </w:p>
        </w:tc>
        <w:tc>
          <w:tcPr>
            <w:tcW w:type="dxa" w:w="145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粗順位</w:t>
            </w:r>
          </w:p>
        </w:tc>
        <w:tc>
          <w:tcPr>
            <w:tcW w:type="dxa" w:w="145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調整順位</w:t>
            </w:r>
          </w:p>
        </w:tc>
        <w:tc>
          <w:tcPr>
            <w:tcW w:type="dxa" w:w="40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vAlign w:val="center"/>
          </w:tcPr>
          <w:p>
            <w:pPr>
              <w:jc w:val="center"/>
            </w:pPr>
            <w:r>
              <w:rPr>
                <w:rFonts w:ascii="Yu Gothic" w:cs="Yu Gothic" w:eastAsia="Yu Gothic" w:hAnsi="Yu Gothic"/>
                <w:b/>
                <w:bCs/>
                <w:color w:val="FFFFFF"/>
                <w:sz w:val="19"/>
                <w:szCs w:val="19"/>
              </w:rPr>
              <w:t xml:space="preserve">解釈</w:t>
            </w:r>
          </w:p>
        </w:tc>
      </w:tr>
      <w:tr>
        <w:tc>
          <w:tcPr>
            <w:tcW w:type="dxa" w:w="2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bCs/>
                <w:color w:val="000000"/>
                <w:sz w:val="19"/>
                <w:szCs w:val="19"/>
              </w:rPr>
              <w:t xml:space="preserve">青森県 八戸地域</w:t>
            </w:r>
          </w:p>
        </w:tc>
        <w:tc>
          <w:tcPr>
            <w:tcW w:type="dxa" w:w="14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4</w:t>
            </w:r>
          </w:p>
        </w:tc>
        <w:tc>
          <w:tcPr>
            <w:tcW w:type="dxa" w:w="14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bCs/>
                <w:color w:val="A32D2D"/>
                <w:sz w:val="19"/>
                <w:szCs w:val="19"/>
              </w:rPr>
              <w:t xml:space="preserve">1</w:t>
            </w:r>
          </w:p>
        </w:tc>
        <w:tc>
          <w:tcPr>
            <w:tcW w:type="dxa" w:w="4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調整後も最上位＝真のリスク高</w:t>
            </w:r>
          </w:p>
        </w:tc>
      </w:tr>
      <w:tr>
        <w:tc>
          <w:tcPr>
            <w:tcW w:type="dxa" w:w="25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bCs/>
                <w:color w:val="000000"/>
                <w:sz w:val="19"/>
                <w:szCs w:val="19"/>
              </w:rPr>
              <w:t xml:space="preserve">茨城県 日立</w:t>
            </w:r>
          </w:p>
        </w:tc>
        <w:tc>
          <w:tcPr>
            <w:tcW w:type="dxa" w:w="14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9</w:t>
            </w:r>
          </w:p>
        </w:tc>
        <w:tc>
          <w:tcPr>
            <w:tcW w:type="dxa" w:w="14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bCs/>
                <w:color w:val="A32D2D"/>
                <w:sz w:val="19"/>
                <w:szCs w:val="19"/>
              </w:rPr>
              <w:t xml:space="preserve">2</w:t>
            </w:r>
          </w:p>
        </w:tc>
        <w:tc>
          <w:tcPr>
            <w:tcW w:type="dxa" w:w="4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調整後も上位＝真のリスク高</w:t>
            </w:r>
          </w:p>
        </w:tc>
      </w:tr>
      <w:tr>
        <w:tc>
          <w:tcPr>
            <w:tcW w:type="dxa" w:w="2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000000"/>
                <w:sz w:val="19"/>
                <w:szCs w:val="19"/>
              </w:rPr>
              <w:t xml:space="preserve">新潟県 佐渡</w:t>
            </w:r>
          </w:p>
        </w:tc>
        <w:tc>
          <w:tcPr>
            <w:tcW w:type="dxa" w:w="14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w:t>
            </w:r>
          </w:p>
        </w:tc>
        <w:tc>
          <w:tcPr>
            <w:tcW w:type="dxa" w:w="14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3</w:t>
            </w:r>
          </w:p>
        </w:tc>
        <w:tc>
          <w:tcPr>
            <w:tcW w:type="dxa" w:w="4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高齢構成を補正しても高位</w:t>
            </w:r>
          </w:p>
        </w:tc>
      </w:tr>
      <w:tr>
        <w:tc>
          <w:tcPr>
            <w:tcW w:type="dxa" w:w="25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185FA5"/>
                <w:sz w:val="19"/>
                <w:szCs w:val="19"/>
              </w:rPr>
              <w:t xml:space="preserve">静岡県 熱海伊東</w:t>
            </w:r>
          </w:p>
        </w:tc>
        <w:tc>
          <w:tcPr>
            <w:tcW w:type="dxa" w:w="14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20</w:t>
            </w:r>
          </w:p>
        </w:tc>
        <w:tc>
          <w:tcPr>
            <w:tcW w:type="dxa" w:w="14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185FA5"/>
                <w:sz w:val="19"/>
                <w:szCs w:val="19"/>
              </w:rPr>
              <w:t xml:space="preserve">298</w:t>
            </w:r>
          </w:p>
        </w:tc>
        <w:tc>
          <w:tcPr>
            <w:tcW w:type="dxa" w:w="4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高齢構成による過大評価</w:t>
            </w:r>
          </w:p>
        </w:tc>
      </w:tr>
      <w:tr>
        <w:tc>
          <w:tcPr>
            <w:tcW w:type="dxa" w:w="2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185FA5"/>
                <w:sz w:val="19"/>
                <w:szCs w:val="19"/>
              </w:rPr>
              <w:t xml:space="preserve">山口県 萩</w:t>
            </w:r>
          </w:p>
        </w:tc>
        <w:tc>
          <w:tcPr>
            <w:tcW w:type="dxa" w:w="14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51</w:t>
            </w:r>
          </w:p>
        </w:tc>
        <w:tc>
          <w:tcPr>
            <w:tcW w:type="dxa" w:w="14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185FA5"/>
                <w:sz w:val="19"/>
                <w:szCs w:val="19"/>
              </w:rPr>
              <w:t xml:space="preserve">316</w:t>
            </w:r>
          </w:p>
        </w:tc>
        <w:tc>
          <w:tcPr>
            <w:tcW w:type="dxa" w:w="4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高齢構成による過大評価</w:t>
            </w:r>
          </w:p>
        </w:tc>
      </w:tr>
      <w:tr>
        <w:tc>
          <w:tcPr>
            <w:tcW w:type="dxa" w:w="25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185FA5"/>
                <w:sz w:val="19"/>
                <w:szCs w:val="19"/>
              </w:rPr>
              <w:t xml:space="preserve">群馬県 沼田</w:t>
            </w:r>
          </w:p>
        </w:tc>
        <w:tc>
          <w:tcPr>
            <w:tcW w:type="dxa" w:w="14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18</w:t>
            </w:r>
          </w:p>
        </w:tc>
        <w:tc>
          <w:tcPr>
            <w:tcW w:type="dxa" w:w="14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185FA5"/>
                <w:sz w:val="19"/>
                <w:szCs w:val="19"/>
              </w:rPr>
              <w:t xml:space="preserve">257</w:t>
            </w:r>
          </w:p>
        </w:tc>
        <w:tc>
          <w:tcPr>
            <w:tcW w:type="dxa" w:w="4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高齢構成による過大評価</w:t>
            </w:r>
          </w:p>
        </w:tc>
      </w:tr>
      <w:tr>
        <w:tc>
          <w:tcPr>
            <w:tcW w:type="dxa" w:w="2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1D9E75"/>
                <w:sz w:val="19"/>
                <w:szCs w:val="19"/>
              </w:rPr>
              <w:t xml:space="preserve">茨城県 つくば</w:t>
            </w:r>
          </w:p>
        </w:tc>
        <w:tc>
          <w:tcPr>
            <w:tcW w:type="dxa" w:w="14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280</w:t>
            </w:r>
          </w:p>
        </w:tc>
        <w:tc>
          <w:tcPr>
            <w:tcW w:type="dxa" w:w="14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1D9E75"/>
                <w:sz w:val="19"/>
                <w:szCs w:val="19"/>
              </w:rPr>
              <w:t xml:space="preserve">125</w:t>
            </w:r>
          </w:p>
        </w:tc>
        <w:tc>
          <w:tcPr>
            <w:tcW w:type="dxa" w:w="4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若年構成による過小評価が顕在化</w:t>
            </w:r>
          </w:p>
        </w:tc>
      </w:tr>
      <w:tr>
        <w:tc>
          <w:tcPr>
            <w:tcW w:type="dxa" w:w="25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1D9E75"/>
                <w:sz w:val="19"/>
                <w:szCs w:val="19"/>
              </w:rPr>
              <w:t xml:space="preserve">大阪府 大阪市</w:t>
            </w:r>
          </w:p>
        </w:tc>
        <w:tc>
          <w:tcPr>
            <w:tcW w:type="dxa" w:w="14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271</w:t>
            </w:r>
          </w:p>
        </w:tc>
        <w:tc>
          <w:tcPr>
            <w:tcW w:type="dxa" w:w="145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left"/>
            </w:pPr>
            <w:r>
              <w:rPr>
                <w:rFonts w:ascii="Yu Gothic" w:cs="Yu Gothic" w:eastAsia="Yu Gothic" w:hAnsi="Yu Gothic"/>
                <w:b w:val="false"/>
                <w:bCs w:val="false"/>
                <w:color w:val="1D9E75"/>
                <w:sz w:val="19"/>
                <w:szCs w:val="19"/>
              </w:rPr>
              <w:t xml:space="preserve">117</w:t>
            </w:r>
          </w:p>
        </w:tc>
        <w:tc>
          <w:tcPr>
            <w:tcW w:type="dxa" w:w="4060"/>
            <w:tcBorders>
              <w:top w:val="single" w:color="BFBFBF" w:sz="1"/>
              <w:left w:val="single" w:color="BFBFBF" w:sz="1"/>
              <w:bottom w:val="single" w:color="BFBFBF" w:sz="1"/>
              <w:right w:val="single" w:color="BFBFBF" w:sz="1"/>
            </w:tcBorders>
            <w:shd w:fill="F2F5FA" w:val="clear"/>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若年構成による過小評価が顕在化</w:t>
            </w:r>
          </w:p>
        </w:tc>
      </w:tr>
      <w:tr>
        <w:tc>
          <w:tcPr>
            <w:tcW w:type="dxa" w:w="25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1D9E75"/>
                <w:sz w:val="19"/>
                <w:szCs w:val="19"/>
              </w:rPr>
              <w:t xml:space="preserve">宮城県 仙台</w:t>
            </w:r>
          </w:p>
        </w:tc>
        <w:tc>
          <w:tcPr>
            <w:tcW w:type="dxa" w:w="14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236</w:t>
            </w:r>
          </w:p>
        </w:tc>
        <w:tc>
          <w:tcPr>
            <w:tcW w:type="dxa" w:w="145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left"/>
            </w:pPr>
            <w:r>
              <w:rPr>
                <w:rFonts w:ascii="Yu Gothic" w:cs="Yu Gothic" w:eastAsia="Yu Gothic" w:hAnsi="Yu Gothic"/>
                <w:b w:val="false"/>
                <w:bCs w:val="false"/>
                <w:color w:val="1D9E75"/>
                <w:sz w:val="19"/>
                <w:szCs w:val="19"/>
              </w:rPr>
              <w:t xml:space="preserve">87</w:t>
            </w:r>
          </w:p>
        </w:tc>
        <w:tc>
          <w:tcPr>
            <w:tcW w:type="dxa" w:w="4060"/>
            <w:tcBorders>
              <w:top w:val="single" w:color="BFBFBF" w:sz="1"/>
              <w:left w:val="single" w:color="BFBFBF" w:sz="1"/>
              <w:bottom w:val="single" w:color="BFBFBF" w:sz="1"/>
              <w:right w:val="single" w:color="BFBFBF" w:sz="1"/>
            </w:tcBorders>
            <w:tcMar>
              <w:top w:type="dxa" w:w="60"/>
              <w:left w:type="dxa" w:w="120"/>
              <w:bottom w:type="dxa" w:w="60"/>
              <w:right w:type="dxa" w:w="120"/>
            </w:tcMar>
            <w:vAlign w:val="center"/>
          </w:tcPr>
          <w:p>
            <w:pPr>
              <w:jc w:val="center"/>
            </w:pPr>
            <w:r>
              <w:rPr>
                <w:rFonts w:ascii="Yu Gothic" w:cs="Yu Gothic" w:eastAsia="Yu Gothic" w:hAnsi="Yu Gothic"/>
                <w:b w:val="false"/>
                <w:bCs w:val="false"/>
                <w:color w:val="000000"/>
                <w:sz w:val="19"/>
                <w:szCs w:val="19"/>
              </w:rPr>
              <w:t xml:space="preserve">若年構成による過小評価が顕在化</w:t>
            </w:r>
          </w:p>
        </w:tc>
      </w:tr>
    </w:tbl>
    <w:p>
      <w:pPr>
        <w:spacing w:after="200" w:before="60"/>
        <w:jc w:val="center"/>
      </w:pPr>
      <w:r>
        <w:rPr>
          <w:rFonts w:ascii="Yu Gothic" w:cs="Yu Gothic" w:eastAsia="Yu Gothic" w:hAnsi="Yu Gothic"/>
          <w:i/>
          <w:iCs/>
          <w:color w:val="595959"/>
          <w:sz w:val="18"/>
          <w:szCs w:val="18"/>
        </w:rPr>
        <w:t xml:space="preserve">表5. 年齢・性別調整による順位変動が大きい二次医療圏</w:t>
      </w:r>
    </w:p>
    <w:p>
      <w:r>
        <w:br w:type="page"/>
      </w:r>
    </w:p>
    <w:p>
      <w:pPr>
        <w:pStyle w:val="Heading1"/>
        <w:spacing w:after="160" w:before="280"/>
      </w:pPr>
      <w:r>
        <w:rPr>
          <w:rFonts w:ascii="Yu Gothic" w:cs="Yu Gothic" w:eastAsia="Yu Gothic" w:hAnsi="Yu Gothic"/>
          <w:b/>
          <w:bCs/>
          <w:color w:val="1F3864"/>
          <w:sz w:val="28"/>
          <w:szCs w:val="28"/>
        </w:rPr>
        <w:t xml:space="preserve">4. 考察</w:t>
      </w:r>
    </w:p>
    <w:p>
      <w:pPr>
        <w:pStyle w:val="Heading2"/>
        <w:spacing w:after="120" w:before="220"/>
      </w:pPr>
      <w:r>
        <w:rPr>
          <w:rFonts w:ascii="Yu Gothic" w:cs="Yu Gothic" w:eastAsia="Yu Gothic" w:hAnsi="Yu Gothic"/>
          <w:b/>
          <w:bCs/>
          <w:color w:val="2E5496"/>
          <w:sz w:val="24"/>
          <w:szCs w:val="24"/>
        </w:rPr>
        <w:t xml:space="preserve">4.1 主要な知見</w:t>
      </w:r>
    </w:p>
    <w:p>
      <w:pPr>
        <w:spacing w:after="120" w:line="300"/>
        <w:jc w:val="both"/>
      </w:pPr>
      <w:r>
        <w:rPr>
          <w:rFonts w:ascii="Yu Gothic" w:cs="Yu Gothic" w:eastAsia="Yu Gothic" w:hAnsi="Yu Gothic"/>
          <w:sz w:val="21"/>
          <w:szCs w:val="21"/>
        </w:rPr>
        <w:t xml:space="preserve">本分析により、全国335二次医療圏の重症化リスクを3疾患領域で定量化し、地域間で大きな差があることを示した。複合スコア上位には離島・地方圏が集中し、大都市部（特に東京都内圏域）が低リスク側に集まった。ただし年齢・性別調整を行うと順位は大きく変動し（ρ=0.62）、この地域差の相当部分が地域の年齢構成の違いを反映していたことが明らかになった。一方で八戸地域・日立のように調整後も上位を維持する圏域は、年齢構成では説明できない真に高いリスクを抱えており、優先的な介入対象として特定できる。</w:t>
      </w:r>
    </w:p>
    <w:p>
      <w:pPr>
        <w:spacing w:after="120" w:line="300"/>
        <w:jc w:val="both"/>
      </w:pPr>
      <w:r>
        <w:rPr>
          <w:rFonts w:ascii="Yu Gothic" w:cs="Yu Gothic" w:eastAsia="Yu Gothic" w:hAnsi="Yu Gothic"/>
          <w:sz w:val="21"/>
          <w:szCs w:val="21"/>
        </w:rPr>
        <w:t xml:space="preserve">最も重要な知見は、3つの疾患領域が相互にほぼ独立していた点である（相関r=0.10〜0.39）。これは、地域の重症化予防ニーズが「総合的に高い/低い」という一次元では捉えられず、地域ごとに異なるリスク構造（糖尿病優位型・CKD優位型・心血管優位型）を持つことを意味する。画一的なプログラムではなく、地域のリスクプロファイルに応じた介入メニューの出し分けが効率的であることを、データが支持している。</w:t>
      </w:r>
    </w:p>
    <w:p>
      <w:pPr>
        <w:pStyle w:val="Heading2"/>
        <w:spacing w:after="120" w:before="220"/>
      </w:pPr>
      <w:r>
        <w:rPr>
          <w:rFonts w:ascii="Yu Gothic" w:cs="Yu Gothic" w:eastAsia="Yu Gothic" w:hAnsi="Yu Gothic"/>
          <w:b/>
          <w:bCs/>
          <w:color w:val="2E5496"/>
          <w:sz w:val="24"/>
          <w:szCs w:val="24"/>
        </w:rPr>
        <w:t xml:space="preserve">4.2 実務への示唆</w:t>
      </w:r>
    </w:p>
    <w:p>
      <w:pPr>
        <w:pStyle w:val="ListParagraph"/>
        <w:numPr>
          <w:ilvl w:val="0"/>
          <w:numId w:val="2"/>
        </w:numPr>
        <w:spacing w:after="80" w:line="290"/>
      </w:pPr>
      <w:r>
        <w:rPr>
          <w:rFonts w:ascii="Yu Gothic" w:cs="Yu Gothic" w:eastAsia="Yu Gothic" w:hAnsi="Yu Gothic"/>
          <w:sz w:val="21"/>
          <w:szCs w:val="21"/>
        </w:rPr>
        <w:t xml:space="preserve">ターゲティング：複合スコア上位かつ特定領域が突出する圏域（例：CKD優位の佐渡・宮古、糖尿病優位の曽於・八戸）は、領域特化型プログラムの優先導入候補となる。</w:t>
      </w:r>
    </w:p>
    <w:p>
      <w:pPr>
        <w:pStyle w:val="ListParagraph"/>
        <w:numPr>
          <w:ilvl w:val="0"/>
          <w:numId w:val="2"/>
        </w:numPr>
        <w:spacing w:after="80" w:line="290"/>
      </w:pPr>
      <w:r>
        <w:rPr>
          <w:rFonts w:ascii="Yu Gothic" w:cs="Yu Gothic" w:eastAsia="Yu Gothic" w:hAnsi="Yu Gothic"/>
          <w:sz w:val="21"/>
          <w:szCs w:val="21"/>
        </w:rPr>
        <w:t xml:space="preserve">提案の定量化：自治体・健保組合への保健事業提案において、「貴地域はeGFR低下が全国上位」といった偏差値ベースの客観的根拠を提示できる。</w:t>
      </w:r>
    </w:p>
    <w:p>
      <w:pPr>
        <w:pStyle w:val="ListParagraph"/>
        <w:numPr>
          <w:ilvl w:val="0"/>
          <w:numId w:val="2"/>
        </w:numPr>
        <w:spacing w:after="80" w:line="290"/>
      </w:pPr>
      <w:r>
        <w:rPr>
          <w:rFonts w:ascii="Yu Gothic" w:cs="Yu Gothic" w:eastAsia="Yu Gothic" w:hAnsi="Yu Gothic"/>
          <w:sz w:val="21"/>
          <w:szCs w:val="21"/>
        </w:rPr>
        <w:t xml:space="preserve">資源配分：圏域間SDの大きいeGFR・収縮期血圧は地域差が大きく、地域選定による事業効率の改善余地が大きい領域といえる。</w:t>
      </w:r>
    </w:p>
    <w:p>
      <w:pPr>
        <w:pStyle w:val="Heading2"/>
        <w:spacing w:after="120" w:before="220"/>
      </w:pPr>
      <w:r>
        <w:rPr>
          <w:rFonts w:ascii="Yu Gothic" w:cs="Yu Gothic" w:eastAsia="Yu Gothic" w:hAnsi="Yu Gothic"/>
          <w:b/>
          <w:bCs/>
          <w:color w:val="2E5496"/>
          <w:sz w:val="24"/>
          <w:szCs w:val="24"/>
        </w:rPr>
        <w:t xml:space="preserve">4.3 限界</w:t>
      </w:r>
    </w:p>
    <w:p>
      <w:pPr>
        <w:spacing w:after="120" w:line="300"/>
        <w:jc w:val="both"/>
      </w:pPr>
      <w:r>
        <w:rPr>
          <w:rFonts w:ascii="Yu Gothic" w:cs="Yu Gothic" w:eastAsia="Yu Gothic" w:hAnsi="Yu Gothic"/>
          <w:sz w:val="21"/>
          <w:szCs w:val="21"/>
        </w:rPr>
        <w:t xml:space="preserve">本分析の解釈には以下の限界に留意する必要がある。</w:t>
      </w:r>
    </w:p>
    <w:p>
      <w:pPr>
        <w:pStyle w:val="ListParagraph"/>
        <w:numPr>
          <w:ilvl w:val="0"/>
          <w:numId w:val="2"/>
        </w:numPr>
        <w:spacing w:after="80" w:line="290"/>
      </w:pPr>
      <w:r>
        <w:rPr>
          <w:rFonts w:ascii="Yu Gothic" w:cs="Yu Gothic" w:eastAsia="Yu Gothic" w:hAnsi="Yu Gothic"/>
          <w:sz w:val="21"/>
          <w:szCs w:val="21"/>
        </w:rPr>
        <w:t xml:space="preserve">① 受診者バイアス：対象は特定健診受診者に限られ、未受診者は含まれない。健診受診率は地域差が大きく、受診率の低い地域では健康意識の高い層に偏る（リスクが過小評価される）可能性がある。大都市の低スコアはこのバイアスを部分的に含みうる。</w:t>
      </w:r>
    </w:p>
    <w:p>
      <w:pPr>
        <w:pStyle w:val="ListParagraph"/>
        <w:numPr>
          <w:ilvl w:val="0"/>
          <w:numId w:val="2"/>
        </w:numPr>
        <w:spacing w:after="80" w:line="290"/>
      </w:pPr>
      <w:r>
        <w:rPr>
          <w:rFonts w:ascii="Yu Gothic" w:cs="Yu Gothic" w:eastAsia="Yu Gothic" w:hAnsi="Yu Gothic"/>
          <w:sz w:val="21"/>
          <w:szCs w:val="21"/>
        </w:rPr>
        <w:t xml:space="preserve">② 検査実施率の偏り：心電図やeGFR（血清クレアチニン）は全受診者に実施されるわけではなく、対象者数が他指標より大幅に少ない（心電図36万人、eGFR254万人 vs 他指標2,300〜2,900万人）。心電図の圏域間SDが極端に大きい（12.8、最大88.5%）のは、実施基準・対象選定の地域差を反映したものであり、真のリスク差とは限らない。心電図スコアは慎重に解釈すべきである。</w:t>
      </w:r>
    </w:p>
    <w:p>
      <w:pPr>
        <w:pStyle w:val="ListParagraph"/>
        <w:numPr>
          <w:ilvl w:val="0"/>
          <w:numId w:val="2"/>
        </w:numPr>
        <w:spacing w:after="80" w:line="290"/>
      </w:pPr>
      <w:r>
        <w:rPr>
          <w:rFonts w:ascii="Yu Gothic" w:cs="Yu Gothic" w:eastAsia="Yu Gothic" w:hAnsi="Yu Gothic"/>
          <w:sz w:val="21"/>
          <w:szCs w:val="21"/>
        </w:rPr>
        <w:t xml:space="preserve">③ 秘匿セルの扱い：集計10未満のセルを0としたため、人口の小さい圏域（離島等）ではリスク該当者数が過小に集計され、リスク該当率が不安定になりうる。佐渡・宮古等の小規模圏域の高スコアには、分母・分子の小ささに起因する変動が含まれる可能性がある。</w:t>
      </w:r>
    </w:p>
    <w:p>
      <w:pPr>
        <w:pStyle w:val="ListParagraph"/>
        <w:numPr>
          <w:ilvl w:val="0"/>
          <w:numId w:val="2"/>
        </w:numPr>
        <w:spacing w:after="80" w:line="290"/>
      </w:pPr>
      <w:r>
        <w:rPr>
          <w:rFonts w:ascii="Yu Gothic" w:cs="Yu Gothic" w:eastAsia="Yu Gothic" w:hAnsi="Yu Gothic"/>
          <w:sz w:val="21"/>
          <w:szCs w:val="21"/>
        </w:rPr>
        <w:t xml:space="preserve">④ 年齢・性別調整の残存課題：本分析では直接法により年齢・性別を調整した（3.6）が、基準集団に全国の受診者構成を用いているため、他の集計（外部基準人口）との直接比較には注意を要する。また年齢を7階級の離散区分で扱っており、階級内の構成差は調整できていない。</w:t>
      </w:r>
    </w:p>
    <w:p>
      <w:pPr>
        <w:pStyle w:val="ListParagraph"/>
        <w:numPr>
          <w:ilvl w:val="0"/>
          <w:numId w:val="2"/>
        </w:numPr>
        <w:spacing w:after="80" w:line="290"/>
      </w:pPr>
      <w:r>
        <w:rPr>
          <w:rFonts w:ascii="Yu Gothic" w:cs="Yu Gothic" w:eastAsia="Yu Gothic" w:hAnsi="Yu Gothic"/>
          <w:sz w:val="21"/>
          <w:szCs w:val="21"/>
        </w:rPr>
        <w:t xml:space="preserve">⑤ 断面データ：2022年度単年の横断データであり、因果関係や経時変化は評価できない。</w:t>
      </w:r>
    </w:p>
    <w:p>
      <w:pPr>
        <w:pStyle w:val="ListParagraph"/>
        <w:numPr>
          <w:ilvl w:val="0"/>
          <w:numId w:val="2"/>
        </w:numPr>
        <w:spacing w:after="80" w:line="290"/>
      </w:pPr>
      <w:r>
        <w:rPr>
          <w:rFonts w:ascii="Yu Gothic" w:cs="Yu Gothic" w:eastAsia="Yu Gothic" w:hAnsi="Yu Gothic"/>
          <w:sz w:val="21"/>
          <w:szCs w:val="21"/>
        </w:rPr>
        <w:t xml:space="preserve">⑥ スコア設計の任意性：領域スコアを構成指標の単純平均としており、指標間の重みづけや臨床的重要度は反映していない。閾値設定やリスク定義により結果は変動しうる。</w:t>
      </w:r>
    </w:p>
    <w:p>
      <w:pPr>
        <w:pStyle w:val="Heading1"/>
        <w:spacing w:after="160" w:before="280"/>
      </w:pPr>
      <w:r>
        <w:rPr>
          <w:rFonts w:ascii="Yu Gothic" w:cs="Yu Gothic" w:eastAsia="Yu Gothic" w:hAnsi="Yu Gothic"/>
          <w:b/>
          <w:bCs/>
          <w:color w:val="1F3864"/>
          <w:sz w:val="28"/>
          <w:szCs w:val="28"/>
        </w:rPr>
        <w:t xml:space="preserve">5. 結論</w:t>
      </w:r>
    </w:p>
    <w:p>
      <w:pPr>
        <w:spacing w:after="120" w:line="300"/>
        <w:jc w:val="both"/>
      </w:pPr>
      <w:r>
        <w:rPr>
          <w:rFonts w:ascii="Yu Gothic" w:cs="Yu Gothic" w:eastAsia="Yu Gothic" w:hAnsi="Yu Gothic"/>
          <w:sz w:val="21"/>
          <w:szCs w:val="21"/>
        </w:rPr>
        <w:t xml:space="preserve">第10回NDBオープンデータ（2022年度特定健診）を用い、全国335二次医療圏の重症化リスクを糖尿病・CKD・心血管の3領域で複合スコア化する地域診断の枠組みを構築した。重症化リスクには明瞭な地域差があり、粗スコアでは離島・地方圏で高く大都市部で低い傾向が認められたが、年齢・性別調整によりその相当部分が地域の年齢構成の違いに起因することを示した。調整後も上位を維持する圏域（八戸地域・日立など）は、真に介入優先度の高い地域として特定できる。</w:t>
      </w:r>
    </w:p>
    <w:p>
      <w:pPr>
        <w:spacing w:after="120" w:line="300"/>
        <w:jc w:val="both"/>
      </w:pPr>
      <w:r>
        <w:rPr>
          <w:rFonts w:ascii="Yu Gothic" w:cs="Yu Gothic" w:eastAsia="Yu Gothic" w:hAnsi="Yu Gothic"/>
          <w:sz w:val="21"/>
          <w:szCs w:val="21"/>
        </w:rPr>
        <w:t xml:space="preserve">もう一つの重要な知見は、3つの疾患領域が相互に独立しており、地域ごとに固有のリスク構造を持つという点である。これは、重症化予防の保健事業を地域のリスクプロファイルに応じて設計・出し分けることの有効性を示唆する。年齢・性別調整を組み込んだ本枠組みは、受診率の併用といったさらなる精緻化を加えることで、自治体・健保組合向けの保健事業の優先順位づけや、データに基づく提案（EBPM）の実務的な基盤となりうる。</w:t>
      </w:r>
    </w:p>
    <w:p>
      <w:pPr>
        <w:pBdr>
          <w:top w:val="single" w:color="1F3864" w:sz="4" w:space="8"/>
        </w:pBdr>
        <w:spacing w:after="80" w:before="320"/>
      </w:pPr>
      <w:r>
        <w:rPr>
          <w:rFonts w:ascii="Yu Gothic" w:cs="Yu Gothic" w:eastAsia="Yu Gothic" w:hAnsi="Yu Gothic"/>
          <w:b/>
          <w:bCs/>
          <w:sz w:val="19"/>
          <w:szCs w:val="19"/>
        </w:rPr>
        <w:t xml:space="preserve">データ出典</w:t>
      </w:r>
    </w:p>
    <w:p>
      <w:pPr>
        <w:spacing w:after="60"/>
      </w:pPr>
      <w:r>
        <w:rPr>
          <w:rFonts w:ascii="Yu Gothic" w:cs="Yu Gothic" w:eastAsia="Yu Gothic" w:hAnsi="Yu Gothic"/>
          <w:color w:val="595959"/>
          <w:sz w:val="18"/>
          <w:szCs w:val="18"/>
        </w:rPr>
        <w:t xml:space="preserve">厚生労働省「第10回NDBオープンデータ」（2022年度 特定健診検査項目集計）</w:t>
      </w:r>
    </w:p>
    <w:p>
      <w:r>
        <w:rPr>
          <w:rFonts w:ascii="Yu Gothic" w:cs="Yu Gothic" w:eastAsia="Yu Gothic" w:hAnsi="Yu Gothic"/>
          <w:color w:val="595959"/>
          <w:sz w:val="18"/>
          <w:szCs w:val="18"/>
        </w:rPr>
        <w:t xml:space="preserve">分析コード・出力データ：GitHubリポジトリ ndb-severity-risk-map（非公開）にて管理</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8"/>
        <w:szCs w:val="18"/>
      </w:rPr>
      <w:t xml:space="preserve"/>
    </w:r>
    <w:r>
      <w:rPr>
        <w:rFonts w:ascii="Yu Gothic" w:cs="Yu Gothic" w:eastAsia="Yu Gothic" w:hAnsi="Yu Gothic"/>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Yu Gothic" w:cs="Yu Gothic" w:eastAsia="Yu Gothic" w:hAnsi="Yu Gothic"/>
      <w:b/>
      <w:bCs/>
      <w:color w:val="1F3864"/>
      <w:sz w:val="28"/>
      <w:szCs w:val="28"/>
    </w:rPr>
  </w:style>
  <w:style w:type="paragraph" w:styleId="Heading2">
    <w:name w:val="Heading 2"/>
    <w:basedOn w:val="Normal"/>
    <w:next w:val="Normal"/>
    <w:qFormat/>
    <w:pPr>
      <w:spacing w:after="120" w:before="220"/>
      <w:outlineLvl w:val="1"/>
    </w:pPr>
    <w:rPr>
      <w:rFonts w:ascii="Yu Gothic" w:cs="Yu Gothic" w:eastAsia="Yu Gothic" w:hAnsi="Yu Gothic"/>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5aa1d86e044febb530b8029dccd94914cead19.png"/><Relationship Id="rId9" Type="http://schemas.openxmlformats.org/officeDocument/2006/relationships/image" Target="media/677cbd65f6c018089b7dc1cdb00173e06d746ac7.png"/><Relationship Id="rId10" Type="http://schemas.openxmlformats.org/officeDocument/2006/relationships/image" Target="media/0d176c4d1289d6d73e908e6ee55458acc8099ab9.png"/><Relationship Id="rId11" Type="http://schemas.openxmlformats.org/officeDocument/2006/relationships/image" Target="media/fe5fe8078720f5e447410a6ac2407d1774b2a949.png"/><Relationship Id="rId12" Type="http://schemas.openxmlformats.org/officeDocument/2006/relationships/image" Target="media/e8d433c8f6db2ba97dd86bd2bd06b606c44be51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2026-06-13T13:41:40.486Z</dcterms:created>
  <dcterms:modified xsi:type="dcterms:W3CDTF">2026-06-13T13:41:40.487Z</dcterms:modified>
</cp:coreProperties>
</file>

<file path=docProps/custom.xml><?xml version="1.0" encoding="utf-8"?>
<Properties xmlns="http://schemas.openxmlformats.org/officeDocument/2006/custom-properties" xmlns:vt="http://schemas.openxmlformats.org/officeDocument/2006/docPropsVTypes"/>
</file>