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72"/>
        </w:rPr>
        <w:t>DisasterFusion</w:t>
      </w:r>
    </w:p>
    <w:p>
      <w:pPr>
        <w:jc w:val="center"/>
      </w:pPr>
      <w:r>
        <w:rPr>
          <w:b/>
          <w:color w:val="335577"/>
          <w:sz w:val="40"/>
        </w:rPr>
        <w:t>Intelligence Product Examples</w:t>
      </w:r>
    </w:p>
    <w:p>
      <w:pPr>
        <w:jc w:val="center"/>
      </w:pPr>
      <w:r>
        <w:rPr>
          <w:i/>
          <w:color w:val="555555"/>
          <w:sz w:val="24"/>
        </w:rPr>
        <w:t>Five analytical products · evidence chains · single-source comparison · confidence scoring</w:t>
      </w:r>
    </w:p>
    <w:p/>
    <w:p/>
    <w:p>
      <w:pPr>
        <w:jc w:val="center"/>
      </w:pPr>
      <w:r>
        <w:rPr>
          <w:color w:val="555555"/>
          <w:sz w:val="22"/>
        </w:rPr>
        <w:t>Geospatial Video Intelligence Hackathon · Track 03</w:t>
        <w:br/>
        <w:t>Worked test case: Grafton EF-1 Tornado, March 11, 2026</w:t>
      </w:r>
    </w:p>
    <w:p>
      <w:r>
        <w:br w:type="page"/>
      </w:r>
    </w:p>
    <w:p>
      <w:pPr>
        <w:pStyle w:val="Heading1"/>
      </w:pPr>
      <w:r>
        <w:t>1. Overview</w:t>
      </w:r>
    </w:p>
    <w:p>
      <w:pPr>
        <w:spacing w:after="80"/>
      </w:pPr>
      <w:r>
        <w:rPr>
          <w:b w:val="0"/>
          <w:i w:val="0"/>
          <w:sz w:val="22"/>
        </w:rPr>
        <w:t>DisasterFusion ships five distinct analytical products from a single pipeline run, covering the three artefact categories the Track 03 brief names — reports, visualisations, and alerts. Each product is built from the same canonical fused-finding stream, so they remain mutually consistent: any conclusion shown on the map is the same conclusion stored in the JSON report, surfaced in the alert stream, and citable via the natural-language query API.</w:t>
      </w:r>
    </w:p>
    <w:tbl>
      <w:tblPr>
        <w:tblStyle w:val="LightGrid-Accent1"/>
        <w:tblW w:type="auto" w:w="0"/>
        <w:tblLook w:firstColumn="1" w:firstRow="1" w:lastColumn="0" w:lastRow="0" w:noHBand="0" w:noVBand="1" w:val="04A0"/>
      </w:tblPr>
      <w:tblGrid>
        <w:gridCol w:w="2436"/>
        <w:gridCol w:w="2436"/>
        <w:gridCol w:w="2436"/>
        <w:gridCol w:w="2436"/>
      </w:tblGrid>
      <w:tr>
        <w:tc>
          <w:tcPr>
            <w:tcW w:type="dxa" w:w="432"/>
            <w:shd w:val="clear" w:color="auto" w:fill="1A3A5C"/>
          </w:tcPr>
          <w:p>
            <w:r/>
            <w:r>
              <w:rPr>
                <w:b/>
                <w:color w:val="FFFFFF"/>
                <w:sz w:val="20"/>
              </w:rPr>
              <w:t>#</w:t>
            </w:r>
          </w:p>
        </w:tc>
        <w:tc>
          <w:tcPr>
            <w:tcW w:type="dxa" w:w="3744"/>
            <w:shd w:val="clear" w:color="auto" w:fill="1A3A5C"/>
          </w:tcPr>
          <w:p>
            <w:r/>
            <w:r>
              <w:rPr>
                <w:b/>
                <w:color w:val="FFFFFF"/>
                <w:sz w:val="20"/>
              </w:rPr>
              <w:t>Product</w:t>
            </w:r>
          </w:p>
        </w:tc>
        <w:tc>
          <w:tcPr>
            <w:tcW w:type="dxa" w:w="2016"/>
            <w:shd w:val="clear" w:color="auto" w:fill="1A3A5C"/>
          </w:tcPr>
          <w:p>
            <w:r/>
            <w:r>
              <w:rPr>
                <w:b/>
                <w:color w:val="FFFFFF"/>
                <w:sz w:val="20"/>
              </w:rPr>
              <w:t>Category</w:t>
            </w:r>
          </w:p>
        </w:tc>
        <w:tc>
          <w:tcPr>
            <w:tcW w:type="dxa" w:w="3888"/>
            <w:shd w:val="clear" w:color="auto" w:fill="1A3A5C"/>
          </w:tcPr>
          <w:p>
            <w:r/>
            <w:r>
              <w:rPr>
                <w:b/>
                <w:color w:val="FFFFFF"/>
                <w:sz w:val="20"/>
              </w:rPr>
              <w:t>Consumer</w:t>
            </w:r>
          </w:p>
        </w:tc>
      </w:tr>
      <w:tr>
        <w:tc>
          <w:tcPr>
            <w:tcW w:type="dxa" w:w="432"/>
          </w:tcPr>
          <w:p>
            <w:r>
              <w:rPr>
                <w:sz w:val="20"/>
              </w:rPr>
              <w:t>1</w:t>
            </w:r>
          </w:p>
        </w:tc>
        <w:tc>
          <w:tcPr>
            <w:tcW w:type="dxa" w:w="3744"/>
          </w:tcPr>
          <w:p>
            <w:r>
              <w:rPr>
                <w:sz w:val="20"/>
              </w:rPr>
              <w:t>Master Findings (JSON)</w:t>
            </w:r>
          </w:p>
        </w:tc>
        <w:tc>
          <w:tcPr>
            <w:tcW w:type="dxa" w:w="2016"/>
          </w:tcPr>
          <w:p>
            <w:r>
              <w:rPr>
                <w:sz w:val="20"/>
              </w:rPr>
              <w:t>Report</w:t>
            </w:r>
          </w:p>
        </w:tc>
        <w:tc>
          <w:tcPr>
            <w:tcW w:type="dxa" w:w="3888"/>
          </w:tcPr>
          <w:p>
            <w:r>
              <w:rPr>
                <w:sz w:val="20"/>
              </w:rPr>
              <w:t>Downstream tools, machine consumers, audit</w:t>
            </w:r>
          </w:p>
        </w:tc>
      </w:tr>
      <w:tr>
        <w:tc>
          <w:tcPr>
            <w:tcW w:type="dxa" w:w="432"/>
          </w:tcPr>
          <w:p>
            <w:r>
              <w:rPr>
                <w:sz w:val="20"/>
              </w:rPr>
              <w:t>2</w:t>
            </w:r>
          </w:p>
        </w:tc>
        <w:tc>
          <w:tcPr>
            <w:tcW w:type="dxa" w:w="3744"/>
          </w:tcPr>
          <w:p>
            <w:r>
              <w:rPr>
                <w:sz w:val="20"/>
              </w:rPr>
              <w:t>Folium Map Dashboard (HTML)</w:t>
            </w:r>
          </w:p>
        </w:tc>
        <w:tc>
          <w:tcPr>
            <w:tcW w:type="dxa" w:w="2016"/>
          </w:tcPr>
          <w:p>
            <w:r>
              <w:rPr>
                <w:sz w:val="20"/>
              </w:rPr>
              <w:t>Visualisation</w:t>
            </w:r>
          </w:p>
        </w:tc>
        <w:tc>
          <w:tcPr>
            <w:tcW w:type="dxa" w:w="3888"/>
          </w:tcPr>
          <w:p>
            <w:r>
              <w:rPr>
                <w:sz w:val="20"/>
              </w:rPr>
              <w:t>Analysts at a desk, executive briefings</w:t>
            </w:r>
          </w:p>
        </w:tc>
      </w:tr>
      <w:tr>
        <w:tc>
          <w:tcPr>
            <w:tcW w:type="dxa" w:w="432"/>
          </w:tcPr>
          <w:p>
            <w:r>
              <w:rPr>
                <w:sz w:val="20"/>
              </w:rPr>
              <w:t>3</w:t>
            </w:r>
          </w:p>
        </w:tc>
        <w:tc>
          <w:tcPr>
            <w:tcW w:type="dxa" w:w="3744"/>
          </w:tcPr>
          <w:p>
            <w:r>
              <w:rPr>
                <w:sz w:val="20"/>
              </w:rPr>
              <w:t>Overture-aligned GeoJSON Export</w:t>
            </w:r>
          </w:p>
        </w:tc>
        <w:tc>
          <w:tcPr>
            <w:tcW w:type="dxa" w:w="2016"/>
          </w:tcPr>
          <w:p>
            <w:r>
              <w:rPr>
                <w:sz w:val="20"/>
              </w:rPr>
              <w:t>Visualisation</w:t>
            </w:r>
          </w:p>
        </w:tc>
        <w:tc>
          <w:tcPr>
            <w:tcW w:type="dxa" w:w="3888"/>
          </w:tcPr>
          <w:p>
            <w:r>
              <w:rPr>
                <w:sz w:val="20"/>
              </w:rPr>
              <w:t>GIS analysts using ArcGIS / QGIS / Mapbox</w:t>
            </w:r>
          </w:p>
        </w:tc>
      </w:tr>
      <w:tr>
        <w:tc>
          <w:tcPr>
            <w:tcW w:type="dxa" w:w="432"/>
          </w:tcPr>
          <w:p>
            <w:r>
              <w:rPr>
                <w:sz w:val="20"/>
              </w:rPr>
              <w:t>4</w:t>
            </w:r>
          </w:p>
        </w:tc>
        <w:tc>
          <w:tcPr>
            <w:tcW w:type="dxa" w:w="3744"/>
          </w:tcPr>
          <w:p>
            <w:r>
              <w:rPr>
                <w:sz w:val="20"/>
              </w:rPr>
              <w:t>SNS Alert Stream</w:t>
            </w:r>
          </w:p>
        </w:tc>
        <w:tc>
          <w:tcPr>
            <w:tcW w:type="dxa" w:w="2016"/>
          </w:tcPr>
          <w:p>
            <w:r>
              <w:rPr>
                <w:sz w:val="20"/>
              </w:rPr>
              <w:t>Alert</w:t>
            </w:r>
          </w:p>
        </w:tc>
        <w:tc>
          <w:tcPr>
            <w:tcW w:type="dxa" w:w="3888"/>
          </w:tcPr>
          <w:p>
            <w:r>
              <w:rPr>
                <w:sz w:val="20"/>
              </w:rPr>
              <w:t>On-call operators, EOC duty officers</w:t>
            </w:r>
          </w:p>
        </w:tc>
      </w:tr>
      <w:tr>
        <w:tc>
          <w:tcPr>
            <w:tcW w:type="dxa" w:w="432"/>
          </w:tcPr>
          <w:p>
            <w:r>
              <w:rPr>
                <w:sz w:val="20"/>
              </w:rPr>
              <w:t>5</w:t>
            </w:r>
          </w:p>
        </w:tc>
        <w:tc>
          <w:tcPr>
            <w:tcW w:type="dxa" w:w="3744"/>
          </w:tcPr>
          <w:p>
            <w:r>
              <w:rPr>
                <w:sz w:val="20"/>
              </w:rPr>
              <w:t>Natural-Language Query API</w:t>
            </w:r>
          </w:p>
        </w:tc>
        <w:tc>
          <w:tcPr>
            <w:tcW w:type="dxa" w:w="2016"/>
          </w:tcPr>
          <w:p>
            <w:r>
              <w:rPr>
                <w:sz w:val="20"/>
              </w:rPr>
              <w:t>Interactive</w:t>
            </w:r>
          </w:p>
        </w:tc>
        <w:tc>
          <w:tcPr>
            <w:tcW w:type="dxa" w:w="3888"/>
          </w:tcPr>
          <w:p>
            <w:r>
              <w:rPr>
                <w:sz w:val="20"/>
              </w:rPr>
              <w:t>Analysts asking ad-hoc questions</w:t>
            </w:r>
          </w:p>
        </w:tc>
      </w:tr>
    </w:tbl>
    <w:p>
      <w:pPr>
        <w:spacing w:before="80" w:after="160"/>
        <w:shd w:val="clear" w:color="auto" w:fill="EAF1F8"/>
      </w:pPr>
      <w:r>
        <w:rPr>
          <w:i/>
          <w:sz w:val="21"/>
        </w:rPr>
        <w:t>Common backbone: every product reads the same FusedFinding records. The evidence chain (source video clip + report excerpt + geocoding trail + confidence breakdown) attaches to every record once and is presented differently in each product.</w:t>
      </w:r>
    </w:p>
    <w:p>
      <w:r>
        <w:br w:type="page"/>
      </w:r>
    </w:p>
    <w:p>
      <w:pPr>
        <w:pStyle w:val="Heading1"/>
      </w:pPr>
      <w:r>
        <w:t>2. Product 1 — Master Findings (JSON Report)</w:t>
      </w:r>
    </w:p>
    <w:p>
      <w:pPr>
        <w:spacing w:after="80"/>
      </w:pPr>
      <w:r>
        <w:rPr>
          <w:b w:val="0"/>
          <w:i w:val="0"/>
          <w:sz w:val="22"/>
        </w:rPr>
        <w:t>The master findings document is the canonical analytical product. It is what the API returns from /jobs/{job_id}/results, what the frontend consumes, and what gets archived to disk for audit.</w:t>
      </w:r>
    </w:p>
    <w:p>
      <w:pPr>
        <w:pStyle w:val="Heading2"/>
      </w:pPr>
      <w:r>
        <w:t>2.1 Document shape</w:t>
      </w:r>
    </w:p>
    <w:p>
      <w:pPr>
        <w:pStyle w:val="CodeBlock"/>
        <w:spacing w:before="40" w:after="160"/>
        <w:ind w:left="360"/>
        <w:shd w:val="clear" w:color="auto" w:fill="F4F4F0"/>
      </w:pPr>
      <w:r>
        <w:rPr>
          <w:rFonts w:ascii="Consolas" w:hAnsi="Consolas"/>
          <w:sz w:val="18"/>
        </w:rPr>
        <w:t>{</w:t>
        <w:br/>
        <w:t xml:space="preserve">  "center":  [38.969, -90.435],</w:t>
        <w:br/>
        <w:t xml:space="preserve">  "zoom":    15,</w:t>
        <w:br/>
        <w:t xml:space="preserve">  "findings": [ &lt;FrontendFinding&gt;, ... ]   // 28 in the Grafton run</w:t>
        <w:br/>
        <w:t>}</w:t>
      </w:r>
    </w:p>
    <w:p>
      <w:pPr>
        <w:spacing w:after="80"/>
      </w:pPr>
      <w:r>
        <w:rPr>
          <w:b w:val="0"/>
          <w:i/>
          <w:sz w:val="22"/>
        </w:rPr>
        <w:t>Each finding carries its full evidence chain in a single object:</w:t>
      </w:r>
    </w:p>
    <w:p>
      <w:pPr>
        <w:pStyle w:val="CodeBlock"/>
        <w:spacing w:before="40" w:after="160"/>
        <w:ind w:left="360"/>
        <w:shd w:val="clear" w:color="auto" w:fill="F4F4F0"/>
      </w:pPr>
      <w:r>
        <w:rPr>
          <w:rFonts w:ascii="Consolas" w:hAnsi="Consolas"/>
          <w:sz w:val="18"/>
        </w:rPr>
        <w:t>{</w:t>
        <w:br/>
        <w:t xml:space="preserve">  "id":             "ff-7ea73a1e",</w:t>
        <w:br/>
        <w:t xml:space="preserve">  "entity_name":    "Drifters Eats and Drinks",</w:t>
        <w:br/>
        <w:t xml:space="preserve">  "facility_type":  "commercial_plaza",</w:t>
        <w:br/>
        <w:t xml:space="preserve">  "address":        "Main Street, Grafton, Jersey County, Illinois",</w:t>
        <w:br/>
        <w:t xml:space="preserve">  "lat": 38.971, "lon": -90.434,</w:t>
        <w:br/>
        <w:t xml:space="preserve">  "event_date":     "2026-03-11",</w:t>
        <w:br/>
        <w:t xml:space="preserve">  "final_severity": "severe",</w:t>
        <w:br/>
        <w:t xml:space="preserve">  "fusion_status":  "confirmed",</w:t>
        <w:br/>
        <w:t xml:space="preserve">  "confidence":     0.904,</w:t>
        <w:br/>
        <w:br/>
        <w:t xml:space="preserve">  "video": {</w:t>
        <w:br/>
        <w:t xml:space="preserve">    "source":    "grafton_tornado_ef1.mp4",</w:t>
        <w:br/>
        <w:t xml:space="preserve">    "timestamp": [73.0, 78.0],</w:t>
        <w:br/>
        <w:t xml:space="preserve">    "summary":   "The back and other side of the roof are completely off, ...",</w:t>
        <w:br/>
        <w:t xml:space="preserve">    "urls":      ["https://...s3...presigned...#t=73,78"],</w:t>
        <w:br/>
        <w:t xml:space="preserve">    "queries":   ["damaged commercial roof", "debris in parking lot"]</w:t>
        <w:br/>
        <w:t xml:space="preserve">  },</w:t>
        <w:br/>
        <w:t xml:space="preserve">  "pdf": {</w:t>
        <w:br/>
        <w:t xml:space="preserve">    "source":           "grafton_news_first_alert.html",</w:t>
        <w:br/>
        <w:t xml:space="preserve">    "page":             null,</w:t>
        <w:br/>
        <w:t xml:space="preserve">    "excerpt":          "Back roof completely removed. Second roof section ...",</w:t>
        <w:br/>
        <w:t xml:space="preserve">    "claimed_severity": "severe"</w:t>
        <w:br/>
        <w:t xml:space="preserve">  },</w:t>
        <w:br/>
        <w:t xml:space="preserve">  "overture": {</w:t>
        <w:br/>
        <w:t xml:space="preserve">    "id":            "ovt-place:08f...",</w:t>
        <w:br/>
        <w:t xml:space="preserve">    "name":          "Drifters Eats and Drinks",</w:t>
        <w:br/>
        <w:t xml:space="preserve">    "category":      "restaurant.bar_grill",</w:t>
        <w:br/>
        <w:t xml:space="preserve">    "geometry_type": "point",</w:t>
        <w:br/>
        <w:t xml:space="preserve">    "match_method":  "name_landmark",</w:t>
        <w:br/>
        <w:t xml:space="preserve">    "match_confidence": "high"</w:t>
        <w:br/>
        <w:t xml:space="preserve">  },</w:t>
        <w:br/>
        <w:t xml:space="preserve">  "fusion": {</w:t>
        <w:br/>
        <w:t xml:space="preserve">    "spatial_score":   0.92,</w:t>
        <w:br/>
        <w:t xml:space="preserve">    "semantic_score":  0.184,</w:t>
        <w:br/>
        <w:t xml:space="preserve">    "temporal_score":  1.00,</w:t>
        <w:br/>
        <w:t xml:space="preserve">    "severity_score":  1.00,</w:t>
        <w:br/>
        <w:t xml:space="preserve">    "final_score":     0.904,</w:t>
        <w:br/>
        <w:t xml:space="preserve">    "reasoning":       "FEMA news + Pegasus video corroborated; building name match imposes Tier 1 floor."</w:t>
        <w:br/>
        <w:t xml:space="preserve">  },</w:t>
        <w:br/>
        <w:t xml:space="preserve">  "recommendation": "Structural engineering assessment recommended; access restriction advised until inspection completes."</w:t>
        <w:br/>
        <w:t>}</w:t>
      </w:r>
    </w:p>
    <w:p>
      <w:pPr>
        <w:pStyle w:val="Heading2"/>
      </w:pPr>
      <w:r>
        <w:t>2.2 Grafton run summary block</w:t>
      </w:r>
    </w:p>
    <w:tbl>
      <w:tblPr>
        <w:tblStyle w:val="LightGrid-Accent1"/>
        <w:tblW w:type="auto" w:w="0"/>
        <w:tblLook w:firstColumn="1" w:firstRow="1" w:lastColumn="0" w:lastRow="0" w:noHBand="0" w:noVBand="1" w:val="04A0"/>
      </w:tblPr>
      <w:tblGrid>
        <w:gridCol w:w="4873"/>
        <w:gridCol w:w="4873"/>
      </w:tblGrid>
      <w:tr>
        <w:tc>
          <w:tcPr>
            <w:tcW w:type="dxa" w:w="4320"/>
            <w:shd w:val="clear" w:color="auto" w:fill="1A3A5C"/>
          </w:tcPr>
          <w:p>
            <w:r/>
            <w:r>
              <w:rPr>
                <w:b/>
                <w:color w:val="FFFFFF"/>
                <w:sz w:val="20"/>
              </w:rPr>
              <w:t>Metric</w:t>
            </w:r>
          </w:p>
        </w:tc>
        <w:tc>
          <w:tcPr>
            <w:tcW w:type="dxa" w:w="5328"/>
            <w:shd w:val="clear" w:color="auto" w:fill="1A3A5C"/>
          </w:tcPr>
          <w:p>
            <w:r/>
            <w:r>
              <w:rPr>
                <w:b/>
                <w:color w:val="FFFFFF"/>
                <w:sz w:val="20"/>
              </w:rPr>
              <w:t>Value</w:t>
            </w:r>
          </w:p>
        </w:tc>
      </w:tr>
      <w:tr>
        <w:tc>
          <w:tcPr>
            <w:tcW w:type="dxa" w:w="4320"/>
          </w:tcPr>
          <w:p>
            <w:r>
              <w:rPr>
                <w:sz w:val="20"/>
              </w:rPr>
              <w:t>Total findings</w:t>
            </w:r>
          </w:p>
        </w:tc>
        <w:tc>
          <w:tcPr>
            <w:tcW w:type="dxa" w:w="5328"/>
          </w:tcPr>
          <w:p>
            <w:r>
              <w:rPr>
                <w:sz w:val="20"/>
              </w:rPr>
              <w:t>28</w:t>
            </w:r>
          </w:p>
        </w:tc>
      </w:tr>
      <w:tr>
        <w:tc>
          <w:tcPr>
            <w:tcW w:type="dxa" w:w="4320"/>
          </w:tcPr>
          <w:p>
            <w:r>
              <w:rPr>
                <w:sz w:val="20"/>
              </w:rPr>
              <w:t>fusion_status = confirmed</w:t>
            </w:r>
          </w:p>
        </w:tc>
        <w:tc>
          <w:tcPr>
            <w:tcW w:type="dxa" w:w="5328"/>
          </w:tcPr>
          <w:p>
            <w:r>
              <w:rPr>
                <w:sz w:val="20"/>
              </w:rPr>
              <w:t>6</w:t>
            </w:r>
          </w:p>
        </w:tc>
      </w:tr>
      <w:tr>
        <w:tc>
          <w:tcPr>
            <w:tcW w:type="dxa" w:w="4320"/>
          </w:tcPr>
          <w:p>
            <w:r>
              <w:rPr>
                <w:sz w:val="20"/>
              </w:rPr>
              <w:t>fusion_status = unreported_damage</w:t>
            </w:r>
          </w:p>
        </w:tc>
        <w:tc>
          <w:tcPr>
            <w:tcW w:type="dxa" w:w="5328"/>
          </w:tcPr>
          <w:p>
            <w:r>
              <w:rPr>
                <w:sz w:val="20"/>
              </w:rPr>
              <w:t>22</w:t>
            </w:r>
          </w:p>
        </w:tc>
      </w:tr>
      <w:tr>
        <w:tc>
          <w:tcPr>
            <w:tcW w:type="dxa" w:w="4320"/>
          </w:tcPr>
          <w:p>
            <w:r>
              <w:rPr>
                <w:sz w:val="20"/>
              </w:rPr>
              <w:t>fusion_status = conflicting_severity</w:t>
            </w:r>
          </w:p>
        </w:tc>
        <w:tc>
          <w:tcPr>
            <w:tcW w:type="dxa" w:w="5328"/>
          </w:tcPr>
          <w:p>
            <w:r>
              <w:rPr>
                <w:sz w:val="20"/>
              </w:rPr>
              <w:t>0</w:t>
            </w:r>
          </w:p>
        </w:tc>
      </w:tr>
      <w:tr>
        <w:tc>
          <w:tcPr>
            <w:tcW w:type="dxa" w:w="4320"/>
          </w:tcPr>
          <w:p>
            <w:r>
              <w:rPr>
                <w:sz w:val="20"/>
              </w:rPr>
              <w:t>fusion_status = uncertain</w:t>
            </w:r>
          </w:p>
        </w:tc>
        <w:tc>
          <w:tcPr>
            <w:tcW w:type="dxa" w:w="5328"/>
          </w:tcPr>
          <w:p>
            <w:r>
              <w:rPr>
                <w:sz w:val="20"/>
              </w:rPr>
              <w:t>0</w:t>
            </w:r>
          </w:p>
        </w:tc>
      </w:tr>
      <w:tr>
        <w:tc>
          <w:tcPr>
            <w:tcW w:type="dxa" w:w="4320"/>
          </w:tcPr>
          <w:p>
            <w:r>
              <w:rPr>
                <w:sz w:val="20"/>
              </w:rPr>
              <w:t>final_severity = severe</w:t>
            </w:r>
          </w:p>
        </w:tc>
        <w:tc>
          <w:tcPr>
            <w:tcW w:type="dxa" w:w="5328"/>
          </w:tcPr>
          <w:p>
            <w:r>
              <w:rPr>
                <w:sz w:val="20"/>
              </w:rPr>
              <w:t>5 (confirmed) + 22 (unreported) = 27</w:t>
            </w:r>
          </w:p>
        </w:tc>
      </w:tr>
      <w:tr>
        <w:tc>
          <w:tcPr>
            <w:tcW w:type="dxa" w:w="4320"/>
          </w:tcPr>
          <w:p>
            <w:r>
              <w:rPr>
                <w:sz w:val="20"/>
              </w:rPr>
              <w:t>final_severity = moderate</w:t>
            </w:r>
          </w:p>
        </w:tc>
        <w:tc>
          <w:tcPr>
            <w:tcW w:type="dxa" w:w="5328"/>
          </w:tcPr>
          <w:p>
            <w:r>
              <w:rPr>
                <w:sz w:val="20"/>
              </w:rPr>
              <w:t>2 (confirmed)</w:t>
            </w:r>
          </w:p>
        </w:tc>
      </w:tr>
      <w:tr>
        <w:tc>
          <w:tcPr>
            <w:tcW w:type="dxa" w:w="4320"/>
          </w:tcPr>
          <w:p>
            <w:r>
              <w:rPr>
                <w:sz w:val="20"/>
              </w:rPr>
              <w:t>Confidence range (confirmed)</w:t>
            </w:r>
          </w:p>
        </w:tc>
        <w:tc>
          <w:tcPr>
            <w:tcW w:type="dxa" w:w="5328"/>
          </w:tcPr>
          <w:p>
            <w:r>
              <w:rPr>
                <w:sz w:val="20"/>
              </w:rPr>
              <w:t>0.742 – 0.904, mean 0.816</w:t>
            </w:r>
          </w:p>
        </w:tc>
      </w:tr>
      <w:tr>
        <w:tc>
          <w:tcPr>
            <w:tcW w:type="dxa" w:w="4320"/>
          </w:tcPr>
          <w:p>
            <w:r>
              <w:rPr>
                <w:sz w:val="20"/>
              </w:rPr>
              <w:t>Confidence range (unreported)</w:t>
            </w:r>
          </w:p>
        </w:tc>
        <w:tc>
          <w:tcPr>
            <w:tcW w:type="dxa" w:w="5328"/>
          </w:tcPr>
          <w:p>
            <w:r>
              <w:rPr>
                <w:sz w:val="20"/>
              </w:rPr>
              <w:t>0.000 (no claim to score against)</w:t>
            </w:r>
          </w:p>
        </w:tc>
      </w:tr>
    </w:tbl>
    <w:p>
      <w:pPr>
        <w:pStyle w:val="Heading2"/>
      </w:pPr>
      <w:r>
        <w:t>2.3 Why JSON first</w:t>
      </w:r>
    </w:p>
    <w:p>
      <w:pPr>
        <w:spacing w:after="80"/>
      </w:pPr>
      <w:r>
        <w:rPr>
          <w:b w:val="0"/>
          <w:i w:val="0"/>
          <w:sz w:val="22"/>
        </w:rPr>
        <w:t>Treating the JSON document as the canonical product means every other product is a renderer. A new visualisation can be built without changing the pipeline; a new alert rule can be added by reading the same stream; and the document itself is auditable, diff-able, and trivially archivable.</w:t>
      </w:r>
    </w:p>
    <w:p>
      <w:r>
        <w:br w:type="page"/>
      </w:r>
    </w:p>
    <w:p>
      <w:pPr>
        <w:pStyle w:val="Heading1"/>
      </w:pPr>
      <w:r>
        <w:t>3. Product 2 — Folium Map Dashboard</w:t>
      </w:r>
    </w:p>
    <w:p>
      <w:pPr>
        <w:spacing w:after="80"/>
      </w:pPr>
      <w:r>
        <w:rPr>
          <w:b w:val="0"/>
          <w:i w:val="0"/>
          <w:sz w:val="22"/>
        </w:rPr>
        <w:t>The Folium map is the analyst-facing visualisation. It renders the master findings document as an interactive Leaflet map with one marker per fused finding, colour-coded by classification.</w:t>
      </w:r>
    </w:p>
    <w:p>
      <w:pPr>
        <w:pStyle w:val="Heading2"/>
      </w:pPr>
      <w:r>
        <w:t>3.1 Marker semantics</w:t>
      </w:r>
    </w:p>
    <w:tbl>
      <w:tblPr>
        <w:tblStyle w:val="LightGrid-Accent1"/>
        <w:tblW w:type="auto" w:w="0"/>
        <w:tblLook w:firstColumn="1" w:firstRow="1" w:lastColumn="0" w:lastRow="0" w:noHBand="0" w:noVBand="1" w:val="04A0"/>
      </w:tblPr>
      <w:tblGrid>
        <w:gridCol w:w="2436"/>
        <w:gridCol w:w="2436"/>
        <w:gridCol w:w="2436"/>
        <w:gridCol w:w="2436"/>
      </w:tblGrid>
      <w:tr>
        <w:tc>
          <w:tcPr>
            <w:tcW w:type="dxa" w:w="2880"/>
            <w:shd w:val="clear" w:color="auto" w:fill="1A3A5C"/>
          </w:tcPr>
          <w:p>
            <w:r/>
            <w:r>
              <w:rPr>
                <w:b/>
                <w:color w:val="FFFFFF"/>
                <w:sz w:val="20"/>
              </w:rPr>
              <w:t>fusion_status</w:t>
            </w:r>
          </w:p>
        </w:tc>
        <w:tc>
          <w:tcPr>
            <w:tcW w:type="dxa" w:w="1440"/>
            <w:shd w:val="clear" w:color="auto" w:fill="1A3A5C"/>
          </w:tcPr>
          <w:p>
            <w:r/>
            <w:r>
              <w:rPr>
                <w:b/>
                <w:color w:val="FFFFFF"/>
                <w:sz w:val="20"/>
              </w:rPr>
              <w:t>Marker colour</w:t>
            </w:r>
          </w:p>
        </w:tc>
        <w:tc>
          <w:tcPr>
            <w:tcW w:type="dxa" w:w="1008"/>
            <w:shd w:val="clear" w:color="auto" w:fill="1A3A5C"/>
          </w:tcPr>
          <w:p>
            <w:r/>
            <w:r>
              <w:rPr>
                <w:b/>
                <w:color w:val="FFFFFF"/>
                <w:sz w:val="20"/>
              </w:rPr>
              <w:t>Icon</w:t>
            </w:r>
          </w:p>
        </w:tc>
        <w:tc>
          <w:tcPr>
            <w:tcW w:type="dxa" w:w="4320"/>
            <w:shd w:val="clear" w:color="auto" w:fill="1A3A5C"/>
          </w:tcPr>
          <w:p>
            <w:r/>
            <w:r>
              <w:rPr>
                <w:b/>
                <w:color w:val="FFFFFF"/>
                <w:sz w:val="20"/>
              </w:rPr>
              <w:t>Click behaviour</w:t>
            </w:r>
          </w:p>
        </w:tc>
      </w:tr>
      <w:tr>
        <w:tc>
          <w:tcPr>
            <w:tcW w:type="dxa" w:w="2880"/>
          </w:tcPr>
          <w:p>
            <w:r>
              <w:rPr>
                <w:sz w:val="20"/>
              </w:rPr>
              <w:t>confirmed (corroborated)</w:t>
            </w:r>
          </w:p>
        </w:tc>
        <w:tc>
          <w:tcPr>
            <w:tcW w:type="dxa" w:w="1440"/>
          </w:tcPr>
          <w:p>
            <w:r>
              <w:rPr>
                <w:sz w:val="20"/>
              </w:rPr>
              <w:t>Green</w:t>
            </w:r>
          </w:p>
        </w:tc>
        <w:tc>
          <w:tcPr>
            <w:tcW w:type="dxa" w:w="1008"/>
          </w:tcPr>
          <w:p>
            <w:r>
              <w:rPr>
                <w:sz w:val="20"/>
              </w:rPr>
              <w:t>check</w:t>
            </w:r>
          </w:p>
        </w:tc>
        <w:tc>
          <w:tcPr>
            <w:tcW w:type="dxa" w:w="4320"/>
          </w:tcPr>
          <w:p>
            <w:r>
              <w:rPr>
                <w:sz w:val="20"/>
              </w:rPr>
              <w:t>Show evidence chain: video clip URL with #t=start,end, report excerpt, Overture place card, confidence breakdown</w:t>
            </w:r>
          </w:p>
        </w:tc>
      </w:tr>
      <w:tr>
        <w:tc>
          <w:tcPr>
            <w:tcW w:type="dxa" w:w="2880"/>
          </w:tcPr>
          <w:p>
            <w:r>
              <w:rPr>
                <w:sz w:val="20"/>
              </w:rPr>
              <w:t>conflicting_severity (discrepancy)</w:t>
            </w:r>
          </w:p>
        </w:tc>
        <w:tc>
          <w:tcPr>
            <w:tcW w:type="dxa" w:w="1440"/>
          </w:tcPr>
          <w:p>
            <w:r>
              <w:rPr>
                <w:sz w:val="20"/>
              </w:rPr>
              <w:t>Orange</w:t>
            </w:r>
          </w:p>
        </w:tc>
        <w:tc>
          <w:tcPr>
            <w:tcW w:type="dxa" w:w="1008"/>
          </w:tcPr>
          <w:p>
            <w:r>
              <w:rPr>
                <w:sz w:val="20"/>
              </w:rPr>
              <w:t>warning</w:t>
            </w:r>
          </w:p>
        </w:tc>
        <w:tc>
          <w:tcPr>
            <w:tcW w:type="dxa" w:w="4320"/>
          </w:tcPr>
          <w:p>
            <w:r>
              <w:rPr>
                <w:sz w:val="20"/>
              </w:rPr>
              <w:t>Show both severity claims, the discrepancy_detail string, and supporting evidence from each side</w:t>
            </w:r>
          </w:p>
        </w:tc>
      </w:tr>
      <w:tr>
        <w:tc>
          <w:tcPr>
            <w:tcW w:type="dxa" w:w="2880"/>
          </w:tcPr>
          <w:p>
            <w:r>
              <w:rPr>
                <w:sz w:val="20"/>
              </w:rPr>
              <w:t>unreported_damage (unreported)</w:t>
            </w:r>
          </w:p>
        </w:tc>
        <w:tc>
          <w:tcPr>
            <w:tcW w:type="dxa" w:w="1440"/>
          </w:tcPr>
          <w:p>
            <w:r>
              <w:rPr>
                <w:sz w:val="20"/>
              </w:rPr>
              <w:t>Red</w:t>
            </w:r>
          </w:p>
        </w:tc>
        <w:tc>
          <w:tcPr>
            <w:tcW w:type="dxa" w:w="1008"/>
          </w:tcPr>
          <w:p>
            <w:r>
              <w:rPr>
                <w:sz w:val="20"/>
              </w:rPr>
              <w:t>exclamation</w:t>
            </w:r>
          </w:p>
        </w:tc>
        <w:tc>
          <w:tcPr>
            <w:tcW w:type="dxa" w:w="4320"/>
          </w:tcPr>
          <w:p>
            <w:r>
              <w:rPr>
                <w:sz w:val="20"/>
              </w:rPr>
              <w:t>Show video evidence only, with a note: "No matching report claim — flagged for analyst attention"</w:t>
            </w:r>
          </w:p>
        </w:tc>
      </w:tr>
      <w:tr>
        <w:tc>
          <w:tcPr>
            <w:tcW w:type="dxa" w:w="2880"/>
          </w:tcPr>
          <w:p>
            <w:r>
              <w:rPr>
                <w:sz w:val="20"/>
              </w:rPr>
              <w:t>uncertain (unverified)</w:t>
            </w:r>
          </w:p>
        </w:tc>
        <w:tc>
          <w:tcPr>
            <w:tcW w:type="dxa" w:w="1440"/>
          </w:tcPr>
          <w:p>
            <w:r>
              <w:rPr>
                <w:sz w:val="20"/>
              </w:rPr>
              <w:t>Grey</w:t>
            </w:r>
          </w:p>
        </w:tc>
        <w:tc>
          <w:tcPr>
            <w:tcW w:type="dxa" w:w="1008"/>
          </w:tcPr>
          <w:p>
            <w:r>
              <w:rPr>
                <w:sz w:val="20"/>
              </w:rPr>
              <w:t>question</w:t>
            </w:r>
          </w:p>
        </w:tc>
        <w:tc>
          <w:tcPr>
            <w:tcW w:type="dxa" w:w="4320"/>
          </w:tcPr>
          <w:p>
            <w:r>
              <w:rPr>
                <w:sz w:val="20"/>
              </w:rPr>
              <w:t>Show report claim only, with a note: "No matching video segment above threshold — verify with field team"</w:t>
            </w:r>
          </w:p>
        </w:tc>
      </w:tr>
    </w:tbl>
    <w:p>
      <w:pPr>
        <w:pStyle w:val="Heading2"/>
      </w:pPr>
      <w:r>
        <w:t>3.2 Evidence chain on the map</w:t>
      </w:r>
    </w:p>
    <w:p>
      <w:pPr>
        <w:spacing w:after="80"/>
      </w:pPr>
      <w:r>
        <w:rPr>
          <w:b w:val="0"/>
          <w:i w:val="0"/>
          <w:sz w:val="22"/>
        </w:rPr>
        <w:t>Clicking a marker opens a popup that contains the full evidence chain in a compact panel: the video embed (deep-linked via the presigned URL fragment), the report excerpt verbatim, the Overture place card with the matched ID, and the per-component confidence breakdown. Three high-confidence corroborations in the Grafton run (the three Drifters clips) share the same map pin but list all three timestamped clips as supporting evidence.</w:t>
      </w:r>
    </w:p>
    <w:p>
      <w:pPr>
        <w:pStyle w:val="Heading2"/>
      </w:pPr>
      <w:r>
        <w:t>3.3 What this view shows that single-source views cannot</w:t>
      </w:r>
    </w:p>
    <w:p>
      <w:pPr>
        <w:spacing w:after="80"/>
      </w:pPr>
      <w:r>
        <w:rPr>
          <w:b w:val="0"/>
          <w:i w:val="0"/>
          <w:sz w:val="22"/>
        </w:rPr>
        <w:t>A video-only map shows red exclamation pins everywhere damage is observed — but cannot say which of those pins are already known to authorities. A report-only map shows where claims have been filed — but cannot say which filings have visual proof. The fused map says both at once: a green check where they agree, a red exclamation where the video found something the reports missed, a grey question mark where the reports describe damage the footage doesn't visibly support, and an orange warning where they disagree on severity. An analyst can prioritise the red and orange pins for the next field team dispatch.</w:t>
      </w:r>
    </w:p>
    <w:p>
      <w:r>
        <w:br w:type="page"/>
      </w:r>
    </w:p>
    <w:p>
      <w:pPr>
        <w:pStyle w:val="Heading1"/>
      </w:pPr>
      <w:r>
        <w:t>4. Product 3 — Overture-Aligned GeoJSON Export</w:t>
      </w:r>
    </w:p>
    <w:p>
      <w:pPr>
        <w:spacing w:after="80"/>
      </w:pPr>
      <w:r>
        <w:rPr>
          <w:b w:val="0"/>
          <w:i w:val="0"/>
          <w:sz w:val="22"/>
        </w:rPr>
        <w:t>The /jobs/{job_id}/overture endpoint returns a single GeoJSON FeatureCollection ready for direct import into ArcGIS Pro, QGIS, Mapbox Studio, or any other geospatial tool. Every feature carries the full evidence chain in its properties bag, so downstream GIS workflows do not lose audit information.</w:t>
      </w:r>
    </w:p>
    <w:p>
      <w:pPr>
        <w:pStyle w:val="Heading2"/>
      </w:pPr>
      <w:r>
        <w:t>4.1 Feature shape</w:t>
      </w:r>
    </w:p>
    <w:p>
      <w:pPr>
        <w:pStyle w:val="CodeBlock"/>
        <w:spacing w:before="40" w:after="160"/>
        <w:ind w:left="360"/>
        <w:shd w:val="clear" w:color="auto" w:fill="F4F4F0"/>
      </w:pPr>
      <w:r>
        <w:rPr>
          <w:rFonts w:ascii="Consolas" w:hAnsi="Consolas"/>
          <w:sz w:val="18"/>
        </w:rPr>
        <w:t>{</w:t>
        <w:br/>
        <w:t xml:space="preserve">  "type": "Feature",</w:t>
        <w:br/>
        <w:t xml:space="preserve">  "geometry": {</w:t>
        <w:br/>
        <w:t xml:space="preserve">    "type": "Point",</w:t>
        <w:br/>
        <w:t xml:space="preserve">    "coordinates": [-90.434, 38.971]</w:t>
        <w:br/>
        <w:t xml:space="preserve">  },</w:t>
        <w:br/>
        <w:t xml:space="preserve">  "properties": {</w:t>
        <w:br/>
        <w:t xml:space="preserve">    "id":              "ff-7ea73a1e",</w:t>
        <w:br/>
        <w:t xml:space="preserve">    "fusion_status":   "confirmed",</w:t>
        <w:br/>
        <w:t xml:space="preserve">    "confidence":      0.904,</w:t>
        <w:br/>
        <w:t xml:space="preserve">    "final_severity":  "severe",</w:t>
        <w:br/>
        <w:t xml:space="preserve">    "entity_name":     "Drifters Eats and Drinks",</w:t>
        <w:br/>
        <w:t xml:space="preserve">    "address":         "Main Street, Grafton, IL",</w:t>
        <w:br/>
        <w:t xml:space="preserve">    "event_date":      "2026-03-11",</w:t>
        <w:br/>
        <w:t xml:space="preserve">    "video_source":    "grafton_tornado_ef1.mp4",</w:t>
        <w:br/>
        <w:t xml:space="preserve">    "video_clip_url":  "&lt;presigned URL with #t=73,78&gt;",</w:t>
        <w:br/>
        <w:t xml:space="preserve">    "report_source":   "grafton_news_first_alert.html",</w:t>
        <w:br/>
        <w:t xml:space="preserve">    "report_excerpt":  "Back roof completely removed ...",</w:t>
        <w:br/>
        <w:t xml:space="preserve">    "overture_id":     "ovt-place:08f...",</w:t>
        <w:br/>
        <w:t xml:space="preserve">    "geo_confidence":  "high",</w:t>
        <w:br/>
        <w:t xml:space="preserve">    "discrepancy":     null,</w:t>
        <w:br/>
        <w:t xml:space="preserve">    "recommendation":  "Structural engineering assessment recommended."</w:t>
        <w:br/>
        <w:t xml:space="preserve">  }</w:t>
        <w:br/>
        <w:t>}</w:t>
      </w:r>
    </w:p>
    <w:p>
      <w:pPr>
        <w:pStyle w:val="Heading2"/>
      </w:pPr>
      <w:r>
        <w:t>4.2 GIS workflow</w:t>
      </w:r>
    </w:p>
    <w:p>
      <w:pPr>
        <w:pStyle w:val="ListNumber"/>
        <w:spacing w:after="40"/>
        <w:ind w:left="360"/>
      </w:pPr>
      <w:r>
        <w:t>Import the FeatureCollection into ArcGIS / QGIS as a point layer.</w:t>
      </w:r>
    </w:p>
    <w:p>
      <w:pPr>
        <w:pStyle w:val="ListNumber"/>
        <w:spacing w:after="40"/>
        <w:ind w:left="360"/>
      </w:pPr>
      <w:r>
        <w:t>Symbolise on the fusion_status property — same green/orange/red/grey palette as the Folium map.</w:t>
      </w:r>
    </w:p>
    <w:p>
      <w:pPr>
        <w:pStyle w:val="ListNumber"/>
        <w:spacing w:after="40"/>
        <w:ind w:left="360"/>
      </w:pPr>
      <w:r>
        <w:t>Filter on confidence to triage by trust level.</w:t>
      </w:r>
    </w:p>
    <w:p>
      <w:pPr>
        <w:pStyle w:val="ListNumber"/>
        <w:spacing w:after="40"/>
        <w:ind w:left="360"/>
      </w:pPr>
      <w:r>
        <w:t>Spatial join against pre-existing parcel layers to attach owner, assessor, or zoning data — the Overture place ID makes this a one-line join.</w:t>
      </w:r>
    </w:p>
    <w:p>
      <w:pPr>
        <w:pStyle w:val="Heading2"/>
      </w:pPr>
      <w:r>
        <w:t>4.3 Federal alignment</w:t>
      </w:r>
    </w:p>
    <w:p>
      <w:pPr>
        <w:spacing w:after="80"/>
      </w:pPr>
      <w:r>
        <w:rPr>
          <w:b w:val="0"/>
          <w:i w:val="0"/>
          <w:sz w:val="22"/>
        </w:rPr>
        <w:t>FEMA Preliminary Damage Assessment workflows can ingest this GeoJSON directly. The Overture place ID, geo_confidence label, and event_date are the three fields a FEMA reviewer asks of any third-party damage feed; all three are populated by default.</w:t>
      </w:r>
    </w:p>
    <w:p>
      <w:r>
        <w:br w:type="page"/>
      </w:r>
    </w:p>
    <w:p>
      <w:pPr>
        <w:pStyle w:val="Heading1"/>
      </w:pPr>
      <w:r>
        <w:t>5. Product 4 — SNS Alert Stream</w:t>
      </w:r>
    </w:p>
    <w:p>
      <w:pPr>
        <w:spacing w:after="80"/>
      </w:pPr>
      <w:r>
        <w:rPr>
          <w:b w:val="0"/>
          <w:i w:val="0"/>
          <w:sz w:val="22"/>
        </w:rPr>
        <w:t>The alert engine, src/output/alerts.py, runs after fusion and inspects the frontend findings for two priority classes:</w:t>
      </w:r>
    </w:p>
    <w:tbl>
      <w:tblPr>
        <w:tblStyle w:val="LightGrid-Accent1"/>
        <w:tblW w:type="auto" w:w="0"/>
        <w:tblLook w:firstColumn="1" w:firstRow="1" w:lastColumn="0" w:lastRow="0" w:noHBand="0" w:noVBand="1" w:val="04A0"/>
      </w:tblPr>
      <w:tblGrid>
        <w:gridCol w:w="4873"/>
        <w:gridCol w:w="4873"/>
      </w:tblGrid>
      <w:tr>
        <w:tc>
          <w:tcPr>
            <w:tcW w:type="dxa" w:w="1728"/>
            <w:shd w:val="clear" w:color="auto" w:fill="1A3A5C"/>
          </w:tcPr>
          <w:p>
            <w:r/>
            <w:r>
              <w:rPr>
                <w:b/>
                <w:color w:val="FFFFFF"/>
                <w:sz w:val="20"/>
              </w:rPr>
              <w:t>Priority</w:t>
            </w:r>
          </w:p>
        </w:tc>
        <w:tc>
          <w:tcPr>
            <w:tcW w:type="dxa" w:w="7920"/>
            <w:shd w:val="clear" w:color="auto" w:fill="1A3A5C"/>
          </w:tcPr>
          <w:p>
            <w:r/>
            <w:r>
              <w:rPr>
                <w:b/>
                <w:color w:val="FFFFFF"/>
                <w:sz w:val="20"/>
              </w:rPr>
              <w:t>Trigger condition</w:t>
            </w:r>
          </w:p>
        </w:tc>
      </w:tr>
      <w:tr>
        <w:tc>
          <w:tcPr>
            <w:tcW w:type="dxa" w:w="1728"/>
          </w:tcPr>
          <w:p>
            <w:r>
              <w:rPr>
                <w:sz w:val="20"/>
              </w:rPr>
              <w:t>HIGH</w:t>
            </w:r>
          </w:p>
        </w:tc>
        <w:tc>
          <w:tcPr>
            <w:tcW w:type="dxa" w:w="7920"/>
          </w:tcPr>
          <w:p>
            <w:r>
              <w:rPr>
                <w:sz w:val="20"/>
              </w:rPr>
              <w:t>fusion_status = unreported_damage AND (final_severity ∈ {severe, destroyed} OR damage_type = infrastructure_damage)</w:t>
            </w:r>
          </w:p>
        </w:tc>
      </w:tr>
      <w:tr>
        <w:tc>
          <w:tcPr>
            <w:tcW w:type="dxa" w:w="1728"/>
          </w:tcPr>
          <w:p>
            <w:r>
              <w:rPr>
                <w:sz w:val="20"/>
              </w:rPr>
              <w:t>MEDIUM</w:t>
            </w:r>
          </w:p>
        </w:tc>
        <w:tc>
          <w:tcPr>
            <w:tcW w:type="dxa" w:w="7920"/>
          </w:tcPr>
          <w:p>
            <w:r>
              <w:rPr>
                <w:sz w:val="20"/>
              </w:rPr>
              <w:t>fusion_status = conflicting_severity (any pair where reports and footage disagree on severity)</w:t>
            </w:r>
          </w:p>
        </w:tc>
      </w:tr>
    </w:tbl>
    <w:p>
      <w:pPr>
        <w:spacing w:after="80"/>
      </w:pPr>
      <w:r>
        <w:rPr>
          <w:b w:val="0"/>
          <w:i w:val="0"/>
          <w:sz w:val="22"/>
        </w:rPr>
        <w:t>All triggered findings within a single run are batched into one SNS message. Subscribers (SMS, email, Lambda, or PagerDuty via SNS topic) receive a single notification containing the count, the location summary, and a deep link back to the master findings document.</w:t>
      </w:r>
    </w:p>
    <w:p>
      <w:pPr>
        <w:pStyle w:val="Heading2"/>
      </w:pPr>
      <w:r>
        <w:t>5.1 Example alert payload (Grafton run)</w:t>
      </w:r>
    </w:p>
    <w:p>
      <w:pPr>
        <w:pStyle w:val="CodeBlock"/>
        <w:spacing w:before="40" w:after="160"/>
        <w:ind w:left="360"/>
        <w:shd w:val="clear" w:color="auto" w:fill="F4F4F0"/>
      </w:pPr>
      <w:r>
        <w:rPr>
          <w:rFonts w:ascii="Consolas" w:hAnsi="Consolas"/>
          <w:sz w:val="18"/>
        </w:rPr>
        <w:t>{</w:t>
        <w:br/>
        <w:t xml:space="preserve">  "event_name": "Grafton EF1 Tornado",</w:t>
        <w:br/>
        <w:t xml:space="preserve">  "location":   "Grafton, Illinois",</w:t>
        <w:br/>
        <w:t xml:space="preserve">  "alerts_triggered": 4,</w:t>
        <w:br/>
        <w:t xml:space="preserve">  "alerts_sent":      4,</w:t>
        <w:br/>
        <w:t xml:space="preserve">  "message_id":       "&lt;sns-msg-id&gt;",</w:t>
        <w:br/>
        <w:t xml:space="preserve">  "triggered": [</w:t>
        <w:br/>
        <w:t xml:space="preserve">    {"priority": "HIGH", "id": "ff-ce5aa2fe",</w:t>
        <w:br/>
        <w:t xml:space="preserve">     "reason":   "Severe debris field, no report coverage",</w:t>
        <w:br/>
        <w:t xml:space="preserve">     "lat": 38.964, "lon": -90.428,</w:t>
        <w:br/>
        <w:t xml:space="preserve">     "video_clip": "https://...#t=104,109"},</w:t>
        <w:br/>
        <w:t xml:space="preserve">    {"priority": "HIGH", "id": "ff-91a2bb73",</w:t>
        <w:br/>
        <w:t xml:space="preserve">     "reason":   "Power pole down (infrastructure_damage)",</w:t>
        <w:br/>
        <w:t xml:space="preserve">     "lat": 38.972, "lon": -90.421,</w:t>
        <w:br/>
        <w:t xml:space="preserve">     "video_clip": "https://...#t=132,137"},</w:t>
        <w:br/>
        <w:t xml:space="preserve">    ...</w:t>
        <w:br/>
        <w:t xml:space="preserve">  ]</w:t>
        <w:br/>
        <w:t>}</w:t>
      </w:r>
    </w:p>
    <w:p>
      <w:pPr>
        <w:pStyle w:val="Heading2"/>
      </w:pPr>
      <w:r>
        <w:t>5.2 Why alerts only fire on fusion-emergent findings</w:t>
      </w:r>
    </w:p>
    <w:p>
      <w:pPr>
        <w:spacing w:after="80"/>
      </w:pPr>
      <w:r>
        <w:rPr>
          <w:b w:val="0"/>
          <w:i w:val="0"/>
          <w:sz w:val="22"/>
        </w:rPr>
        <w:t>Alert fatigue is real. DisasterFusion explicitly does not alert on corroborated findings — by definition they are already in the official report stream that operators are tracking. Alerts surface only the things fusion uniquely contributes: damage no report has captured yet, and severity claims that need reconciling. This shrinks the alert volume to the actionable subset.</w:t>
      </w:r>
    </w:p>
    <w:p>
      <w:r>
        <w:br w:type="page"/>
      </w:r>
    </w:p>
    <w:p>
      <w:pPr>
        <w:pStyle w:val="Heading1"/>
      </w:pPr>
      <w:r>
        <w:t>6. Product 5 — Natural-Language Query API</w:t>
      </w:r>
    </w:p>
    <w:p>
      <w:pPr>
        <w:spacing w:after="80"/>
      </w:pPr>
      <w:r>
        <w:rPr>
          <w:b w:val="0"/>
          <w:i w:val="0"/>
          <w:sz w:val="22"/>
        </w:rPr>
        <w:t>The /jobs/{job_id}/query endpoint accepts a free-text question against a completed run and returns a JSON answer with cited finding IDs. Internally it condenses the master findings into a compact prompt and delegates to Claude Haiku 4.5. The endpoint is deliberately stateless — every query is served against the latest fused snapshot — so an analyst can iterate on questions without needing to rebuild context.</w:t>
      </w:r>
    </w:p>
    <w:p>
      <w:pPr>
        <w:pStyle w:val="Heading2"/>
      </w:pPr>
      <w:r>
        <w:t>6.1 Example queries against the Grafton run</w:t>
      </w:r>
    </w:p>
    <w:p>
      <w:pPr>
        <w:pStyle w:val="Heading3"/>
      </w:pPr>
      <w:r>
        <w:t>Query A — "What's unreported?"</w:t>
      </w:r>
    </w:p>
    <w:p>
      <w:pPr>
        <w:pStyle w:val="CodeBlock"/>
        <w:spacing w:before="40" w:after="160"/>
        <w:ind w:left="360"/>
        <w:shd w:val="clear" w:color="auto" w:fill="F4F4F0"/>
      </w:pPr>
      <w:r>
        <w:rPr>
          <w:rFonts w:ascii="Consolas" w:hAnsi="Consolas"/>
          <w:sz w:val="18"/>
        </w:rPr>
        <w:t>POST /jobs/&lt;id&gt;/query</w:t>
        <w:br/>
        <w:t>{ "question": "What damage shows up in video that no report covers?" }</w:t>
        <w:br/>
        <w:br/>
        <w:t>→ {</w:t>
        <w:br/>
        <w:t xml:space="preserve">    "query_type": "filter",</w:t>
        <w:br/>
        <w:t xml:space="preserve">    "answer": "22 of 28 findings are unreported damage observed in the</w:t>
        <w:br/>
        <w:t xml:space="preserve">               drone footage but not named in any of the six text reports.</w:t>
        <w:br/>
        <w:t xml:space="preserve">               These cluster around three categories: debris fields (6),</w:t>
        <w:br/>
        <w:t xml:space="preserve">               vegetation damage (4), and structural collapse (3). The</w:t>
        <w:br/>
        <w:t xml:space="preserve">               infrastructure damage finding (power pole) at ~2:14 is the</w:t>
        <w:br/>
        <w:t xml:space="preserve">               highest operational priority because it likely affects</w:t>
        <w:br/>
        <w:t xml:space="preserve">               restoration timelines.",</w:t>
        <w:br/>
        <w:t xml:space="preserve">    "referenced_ids": ["ff-ce5aa2fe", "ff-91a2bb73", ...]</w:t>
        <w:br/>
        <w:t xml:space="preserve">  }</w:t>
      </w:r>
    </w:p>
    <w:p>
      <w:pPr>
        <w:pStyle w:val="Heading3"/>
      </w:pPr>
      <w:r>
        <w:t>Query B — "Which buildings are corroborated?"</w:t>
      </w:r>
    </w:p>
    <w:p>
      <w:pPr>
        <w:pStyle w:val="CodeBlock"/>
        <w:spacing w:before="40" w:after="160"/>
        <w:ind w:left="360"/>
        <w:shd w:val="clear" w:color="auto" w:fill="F4F4F0"/>
      </w:pPr>
      <w:r>
        <w:rPr>
          <w:rFonts w:ascii="Consolas" w:hAnsi="Consolas"/>
          <w:sz w:val="18"/>
        </w:rPr>
        <w:t>POST /jobs/&lt;id&gt;/query</w:t>
        <w:br/>
        <w:t>{ "question": "List the buildings where reports and video agree." }</w:t>
        <w:br/>
        <w:br/>
        <w:t>→ {</w:t>
        <w:br/>
        <w:t xml:space="preserve">    "query_type": "summary",</w:t>
        <w:br/>
        <w:t xml:space="preserve">    "answer": "Three named businesses are corroborated by both video and</w:t>
        <w:br/>
        <w:t xml:space="preserve">               text reports: (1) Drifters Eats and Drinks — back roof and</w:t>
        <w:br/>
        <w:t xml:space="preserve">               east-side roof confirmed severe (3 supporting clips,</w:t>
        <w:br/>
        <w:t xml:space="preserve">               confidence 0.74-0.90); (2) Dees Riverside Retreat —</w:t>
        <w:br/>
        <w:t xml:space="preserve">               structural collapse from displaced roof confirmed by NWS</w:t>
        <w:br/>
        <w:t xml:space="preserve">               survey (confidence 0.80); (3) Aeries — moderate damage</w:t>
        <w:br/>
        <w:t xml:space="preserve">               approximately 1.5 mi from Drifters confirmed by county</w:t>
        <w:br/>
        <w:t xml:space="preserve">               EMA (confidence 0.78).",</w:t>
        <w:br/>
        <w:t xml:space="preserve">    "referenced_ids": ["ff-7ea73a1e", "ff-be21d4c1", "ff-3e88a112"]</w:t>
        <w:br/>
        <w:t xml:space="preserve">  }</w:t>
      </w:r>
    </w:p>
    <w:p>
      <w:pPr>
        <w:pStyle w:val="Heading3"/>
      </w:pPr>
      <w:r>
        <w:t>Query C — "What's the lowest-confidence finding?"</w:t>
      </w:r>
    </w:p>
    <w:p>
      <w:pPr>
        <w:pStyle w:val="CodeBlock"/>
        <w:spacing w:before="40" w:after="160"/>
        <w:ind w:left="360"/>
        <w:shd w:val="clear" w:color="auto" w:fill="F4F4F0"/>
      </w:pPr>
      <w:r>
        <w:rPr>
          <w:rFonts w:ascii="Consolas" w:hAnsi="Consolas"/>
          <w:sz w:val="18"/>
        </w:rPr>
        <w:t>POST /jobs/&lt;id&gt;/query</w:t>
        <w:br/>
        <w:t>{ "question": "Show the lowest-confidence corroborated finding and explain why." }</w:t>
        <w:br/>
        <w:br/>
        <w:t>→ {</w:t>
        <w:br/>
        <w:t xml:space="preserve">    "query_type": "detail",</w:t>
        <w:br/>
        <w:t xml:space="preserve">    "answer": "The lowest-confidence corroborated finding is ff-9ab3d217</w:t>
        <w:br/>
        <w:t xml:space="preserve">               (Main St debris field) at confidence 0.742. The score is</w:t>
        <w:br/>
        <w:t xml:space="preserve">               held up by category match (debris_field on both sides) and</w:t>
        <w:br/>
        <w:t xml:space="preserve">               severity agreement (severe), but text similarity is only</w:t>
        <w:br/>
        <w:t xml:space="preserve">               0.12 — the news article describes \"general debris\" while</w:t>
        <w:br/>
        <w:t xml:space="preserve">               the Pegasus output specifies \"furniture, roofing materials,</w:t>
        <w:br/>
        <w:t xml:space="preserve">               and tree branches.\" Recommend manual confirmation.",</w:t>
        <w:br/>
        <w:t xml:space="preserve">    "referenced_ids": ["ff-9ab3d217"]</w:t>
        <w:br/>
        <w:t xml:space="preserve">  }</w:t>
      </w:r>
    </w:p>
    <w:p>
      <w:pPr>
        <w:pStyle w:val="Heading2"/>
      </w:pPr>
      <w:r>
        <w:t>6.2 Multi-source synthesis in answers</w:t>
      </w:r>
    </w:p>
    <w:p>
      <w:pPr>
        <w:spacing w:after="80"/>
      </w:pPr>
      <w:r>
        <w:rPr>
          <w:b w:val="0"/>
          <w:i w:val="0"/>
          <w:sz w:val="22"/>
        </w:rPr>
        <w:t>Each answer above is multi-source by construction: the buildings list pulls from both the Pegasus damage descriptions and the report claim summaries; the unreported list is computed by negation across both source streams; the low-confidence explanation cites both the per-component scores and the verbatim text from each side. The user never has to ask the question once of the video and once of the reports.</w:t>
      </w:r>
    </w:p>
    <w:p>
      <w:r>
        <w:br w:type="page"/>
      </w:r>
    </w:p>
    <w:p>
      <w:pPr>
        <w:pStyle w:val="Heading1"/>
      </w:pPr>
      <w:r>
        <w:t>7. Comparison to Single-Source Analysis</w:t>
      </w:r>
    </w:p>
    <w:p>
      <w:pPr>
        <w:spacing w:after="80"/>
      </w:pPr>
      <w:r>
        <w:rPr>
          <w:b w:val="0"/>
          <w:i w:val="0"/>
          <w:sz w:val="22"/>
        </w:rPr>
        <w:t>This section answers the brief's most pointed question: what would an analyst miss if they had only video, or only reports, or had to manually stitch the two together? The answer below uses the Grafton run as a concrete example.</w:t>
      </w:r>
    </w:p>
    <w:p>
      <w:pPr>
        <w:pStyle w:val="Heading2"/>
      </w:pPr>
      <w:r>
        <w:t>7.1 What single-source video alone produces</w:t>
      </w:r>
    </w:p>
    <w:p>
      <w:pPr>
        <w:spacing w:after="80"/>
      </w:pPr>
      <w:r>
        <w:rPr>
          <w:b w:val="0"/>
          <w:i w:val="0"/>
          <w:sz w:val="22"/>
        </w:rPr>
        <w:t>Pegasus alone gives 27 damage observations, all rated severe, with free-text descriptions but no entity grounding. An analyst can produce a damage tally ("27 incidents") and a damage-type histogram, but cannot answer:</w:t>
      </w:r>
    </w:p>
    <w:p>
      <w:pPr>
        <w:pStyle w:val="ListBullet"/>
        <w:spacing w:after="40"/>
        <w:ind w:left="360"/>
      </w:pPr>
      <w:r>
        <w:t>Are these incidents already in the official record?</w:t>
      </w:r>
    </w:p>
    <w:p>
      <w:pPr>
        <w:pStyle w:val="ListBullet"/>
        <w:spacing w:after="40"/>
        <w:ind w:left="360"/>
      </w:pPr>
      <w:r>
        <w:t>Have the affected businesses been contacted by emergency services?</w:t>
      </w:r>
    </w:p>
    <w:p>
      <w:pPr>
        <w:pStyle w:val="ListBullet"/>
        <w:spacing w:after="40"/>
        <w:ind w:left="360"/>
      </w:pPr>
      <w:r>
        <w:t>Which named businesses are involved?</w:t>
      </w:r>
    </w:p>
    <w:p>
      <w:pPr>
        <w:pStyle w:val="ListBullet"/>
        <w:spacing w:after="40"/>
        <w:ind w:left="360"/>
      </w:pPr>
      <w:r>
        <w:t>What is the operational status of each?</w:t>
      </w:r>
    </w:p>
    <w:p>
      <w:pPr>
        <w:spacing w:after="80"/>
      </w:pPr>
      <w:r>
        <w:rPr>
          <w:b w:val="0"/>
          <w:i/>
          <w:sz w:val="22"/>
        </w:rPr>
        <w:t>Volume: 27 ungrounded findings, no audit trail to report records.</w:t>
      </w:r>
    </w:p>
    <w:p>
      <w:pPr>
        <w:pStyle w:val="Heading2"/>
      </w:pPr>
      <w:r>
        <w:t>7.2 What single-source reports alone produce</w:t>
      </w:r>
    </w:p>
    <w:p>
      <w:pPr>
        <w:spacing w:after="80"/>
      </w:pPr>
      <w:r>
        <w:rPr>
          <w:b w:val="0"/>
          <w:i w:val="0"/>
          <w:sz w:val="22"/>
        </w:rPr>
        <w:t>Six text documents produce six structured claims. The geocoder gives them coordinates; the analyst can plot them on a map and produce summary tables. But they cannot answer:</w:t>
      </w:r>
    </w:p>
    <w:p>
      <w:pPr>
        <w:pStyle w:val="ListBullet"/>
        <w:spacing w:after="40"/>
        <w:ind w:left="360"/>
      </w:pPr>
      <w:r>
        <w:t>Is the severity in the report consistent with what's actually visible?</w:t>
      </w:r>
    </w:p>
    <w:p>
      <w:pPr>
        <w:pStyle w:val="ListBullet"/>
        <w:spacing w:after="40"/>
        <w:ind w:left="360"/>
      </w:pPr>
      <w:r>
        <w:t>Are there nearby structures that have been hit but not yet reported?</w:t>
      </w:r>
    </w:p>
    <w:p>
      <w:pPr>
        <w:pStyle w:val="ListBullet"/>
        <w:spacing w:after="40"/>
        <w:ind w:left="360"/>
      </w:pPr>
      <w:r>
        <w:t>How accurately did the report describe the damage extent?</w:t>
      </w:r>
    </w:p>
    <w:p>
      <w:pPr>
        <w:spacing w:after="80"/>
      </w:pPr>
      <w:r>
        <w:rPr>
          <w:b w:val="0"/>
          <w:i/>
          <w:sz w:val="22"/>
        </w:rPr>
        <w:t>Volume: 6 grounded claims, no visual verification.</w:t>
      </w:r>
    </w:p>
    <w:p>
      <w:pPr>
        <w:pStyle w:val="Heading2"/>
      </w:pPr>
      <w:r>
        <w:t>7.3 What fusion uniquely contributes</w:t>
      </w:r>
    </w:p>
    <w:tbl>
      <w:tblPr>
        <w:tblStyle w:val="LightGrid-Accent1"/>
        <w:tblW w:type="auto" w:w="0"/>
        <w:tblLook w:firstColumn="1" w:firstRow="1" w:lastColumn="0" w:lastRow="0" w:noHBand="0" w:noVBand="1" w:val="04A0"/>
      </w:tblPr>
      <w:tblGrid>
        <w:gridCol w:w="2436"/>
        <w:gridCol w:w="2436"/>
        <w:gridCol w:w="2436"/>
        <w:gridCol w:w="2436"/>
      </w:tblGrid>
      <w:tr>
        <w:tc>
          <w:tcPr>
            <w:tcW w:type="dxa" w:w="4608"/>
            <w:shd w:val="clear" w:color="auto" w:fill="1A3A5C"/>
          </w:tcPr>
          <w:p>
            <w:r/>
            <w:r>
              <w:rPr>
                <w:b/>
                <w:color w:val="FFFFFF"/>
                <w:sz w:val="20"/>
              </w:rPr>
              <w:t>Insight</w:t>
            </w:r>
          </w:p>
        </w:tc>
        <w:tc>
          <w:tcPr>
            <w:tcW w:type="dxa" w:w="1440"/>
            <w:shd w:val="clear" w:color="auto" w:fill="1A3A5C"/>
          </w:tcPr>
          <w:p>
            <w:r/>
            <w:r>
              <w:rPr>
                <w:b/>
                <w:color w:val="FFFFFF"/>
                <w:sz w:val="20"/>
              </w:rPr>
              <w:t>Visible in video alone?</w:t>
            </w:r>
          </w:p>
        </w:tc>
        <w:tc>
          <w:tcPr>
            <w:tcW w:type="dxa" w:w="1440"/>
            <w:shd w:val="clear" w:color="auto" w:fill="1A3A5C"/>
          </w:tcPr>
          <w:p>
            <w:r/>
            <w:r>
              <w:rPr>
                <w:b/>
                <w:color w:val="FFFFFF"/>
                <w:sz w:val="20"/>
              </w:rPr>
              <w:t>Visible in reports alone?</w:t>
            </w:r>
          </w:p>
        </w:tc>
        <w:tc>
          <w:tcPr>
            <w:tcW w:type="dxa" w:w="2016"/>
            <w:shd w:val="clear" w:color="auto" w:fill="1A3A5C"/>
          </w:tcPr>
          <w:p>
            <w:r/>
            <w:r>
              <w:rPr>
                <w:b/>
                <w:color w:val="FFFFFF"/>
                <w:sz w:val="20"/>
              </w:rPr>
              <w:t>Visible only after fusion?</w:t>
            </w:r>
          </w:p>
        </w:tc>
      </w:tr>
      <w:tr>
        <w:tc>
          <w:tcPr>
            <w:tcW w:type="dxa" w:w="4608"/>
          </w:tcPr>
          <w:p>
            <w:r>
              <w:rPr>
                <w:sz w:val="20"/>
              </w:rPr>
              <w:t>6 named buildings have official + visual confirmation</w:t>
            </w:r>
          </w:p>
        </w:tc>
        <w:tc>
          <w:tcPr>
            <w:tcW w:type="dxa" w:w="1440"/>
          </w:tcPr>
          <w:p>
            <w:r>
              <w:rPr>
                <w:sz w:val="20"/>
              </w:rPr>
              <w:t>No</w:t>
            </w:r>
          </w:p>
        </w:tc>
        <w:tc>
          <w:tcPr>
            <w:tcW w:type="dxa" w:w="1440"/>
          </w:tcPr>
          <w:p>
            <w:r>
              <w:rPr>
                <w:sz w:val="20"/>
              </w:rPr>
              <w:t>No</w:t>
            </w:r>
          </w:p>
        </w:tc>
        <w:tc>
          <w:tcPr>
            <w:tcW w:type="dxa" w:w="2016"/>
          </w:tcPr>
          <w:p>
            <w:r>
              <w:rPr>
                <w:sz w:val="20"/>
              </w:rPr>
              <w:t>Yes</w:t>
            </w:r>
          </w:p>
        </w:tc>
      </w:tr>
      <w:tr>
        <w:tc>
          <w:tcPr>
            <w:tcW w:type="dxa" w:w="4608"/>
          </w:tcPr>
          <w:p>
            <w:r>
              <w:rPr>
                <w:sz w:val="20"/>
              </w:rPr>
              <w:t>22 visible damage incidents are not in the official record (gap)</w:t>
            </w:r>
          </w:p>
        </w:tc>
        <w:tc>
          <w:tcPr>
            <w:tcW w:type="dxa" w:w="1440"/>
          </w:tcPr>
          <w:p>
            <w:r>
              <w:rPr>
                <w:sz w:val="20"/>
              </w:rPr>
              <w:t>Hint</w:t>
            </w:r>
          </w:p>
        </w:tc>
        <w:tc>
          <w:tcPr>
            <w:tcW w:type="dxa" w:w="1440"/>
          </w:tcPr>
          <w:p>
            <w:r>
              <w:rPr>
                <w:sz w:val="20"/>
              </w:rPr>
              <w:t>No</w:t>
            </w:r>
          </w:p>
        </w:tc>
        <w:tc>
          <w:tcPr>
            <w:tcW w:type="dxa" w:w="2016"/>
          </w:tcPr>
          <w:p>
            <w:r>
              <w:rPr>
                <w:sz w:val="20"/>
              </w:rPr>
              <w:t>Yes</w:t>
            </w:r>
          </w:p>
        </w:tc>
      </w:tr>
      <w:tr>
        <w:tc>
          <w:tcPr>
            <w:tcW w:type="dxa" w:w="4608"/>
          </w:tcPr>
          <w:p>
            <w:r>
              <w:rPr>
                <w:sz w:val="20"/>
              </w:rPr>
              <w:t>Power pole damage is unreported AND infrastructure-class (HIGH alert)</w:t>
            </w:r>
          </w:p>
        </w:tc>
        <w:tc>
          <w:tcPr>
            <w:tcW w:type="dxa" w:w="1440"/>
          </w:tcPr>
          <w:p>
            <w:r>
              <w:rPr>
                <w:sz w:val="20"/>
              </w:rPr>
              <w:t>Hint</w:t>
            </w:r>
          </w:p>
        </w:tc>
        <w:tc>
          <w:tcPr>
            <w:tcW w:type="dxa" w:w="1440"/>
          </w:tcPr>
          <w:p>
            <w:r>
              <w:rPr>
                <w:sz w:val="20"/>
              </w:rPr>
              <w:t>No</w:t>
            </w:r>
          </w:p>
        </w:tc>
        <w:tc>
          <w:tcPr>
            <w:tcW w:type="dxa" w:w="2016"/>
          </w:tcPr>
          <w:p>
            <w:r>
              <w:rPr>
                <w:sz w:val="20"/>
              </w:rPr>
              <w:t>Yes</w:t>
            </w:r>
          </w:p>
        </w:tc>
      </w:tr>
      <w:tr>
        <w:tc>
          <w:tcPr>
            <w:tcW w:type="dxa" w:w="4608"/>
          </w:tcPr>
          <w:p>
            <w:r>
              <w:rPr>
                <w:sz w:val="20"/>
              </w:rPr>
              <w:t>Drifters has 3 independent visual angles supporting the news report</w:t>
            </w:r>
          </w:p>
        </w:tc>
        <w:tc>
          <w:tcPr>
            <w:tcW w:type="dxa" w:w="1440"/>
          </w:tcPr>
          <w:p>
            <w:r>
              <w:rPr>
                <w:sz w:val="20"/>
              </w:rPr>
              <w:t>No</w:t>
            </w:r>
          </w:p>
        </w:tc>
        <w:tc>
          <w:tcPr>
            <w:tcW w:type="dxa" w:w="1440"/>
          </w:tcPr>
          <w:p>
            <w:r>
              <w:rPr>
                <w:sz w:val="20"/>
              </w:rPr>
              <w:t>No</w:t>
            </w:r>
          </w:p>
        </w:tc>
        <w:tc>
          <w:tcPr>
            <w:tcW w:type="dxa" w:w="2016"/>
          </w:tcPr>
          <w:p>
            <w:r>
              <w:rPr>
                <w:sz w:val="20"/>
              </w:rPr>
              <w:t>Yes</w:t>
            </w:r>
          </w:p>
        </w:tc>
      </w:tr>
      <w:tr>
        <w:tc>
          <w:tcPr>
            <w:tcW w:type="dxa" w:w="4608"/>
          </w:tcPr>
          <w:p>
            <w:r>
              <w:rPr>
                <w:sz w:val="20"/>
              </w:rPr>
              <w:t>Aeries (~1.5 mi from main damage) is corroborated despite spatial distance</w:t>
            </w:r>
          </w:p>
        </w:tc>
        <w:tc>
          <w:tcPr>
            <w:tcW w:type="dxa" w:w="1440"/>
          </w:tcPr>
          <w:p>
            <w:r>
              <w:rPr>
                <w:sz w:val="20"/>
              </w:rPr>
              <w:t>No</w:t>
            </w:r>
          </w:p>
        </w:tc>
        <w:tc>
          <w:tcPr>
            <w:tcW w:type="dxa" w:w="1440"/>
          </w:tcPr>
          <w:p>
            <w:r>
              <w:rPr>
                <w:sz w:val="20"/>
              </w:rPr>
              <w:t>No</w:t>
            </w:r>
          </w:p>
        </w:tc>
        <w:tc>
          <w:tcPr>
            <w:tcW w:type="dxa" w:w="2016"/>
          </w:tcPr>
          <w:p>
            <w:r>
              <w:rPr>
                <w:sz w:val="20"/>
              </w:rPr>
              <w:t>Yes</w:t>
            </w:r>
          </w:p>
        </w:tc>
      </w:tr>
      <w:tr>
        <w:tc>
          <w:tcPr>
            <w:tcW w:type="dxa" w:w="4608"/>
          </w:tcPr>
          <w:p>
            <w:r>
              <w:rPr>
                <w:sz w:val="20"/>
              </w:rPr>
              <w:t>Confidence varies from 0.74 to 0.90 across corroborations — flag the 0.74 for verification</w:t>
            </w:r>
          </w:p>
        </w:tc>
        <w:tc>
          <w:tcPr>
            <w:tcW w:type="dxa" w:w="1440"/>
          </w:tcPr>
          <w:p>
            <w:r>
              <w:rPr>
                <w:sz w:val="20"/>
              </w:rPr>
              <w:t>No</w:t>
            </w:r>
          </w:p>
        </w:tc>
        <w:tc>
          <w:tcPr>
            <w:tcW w:type="dxa" w:w="1440"/>
          </w:tcPr>
          <w:p>
            <w:r>
              <w:rPr>
                <w:sz w:val="20"/>
              </w:rPr>
              <w:t>No</w:t>
            </w:r>
          </w:p>
        </w:tc>
        <w:tc>
          <w:tcPr>
            <w:tcW w:type="dxa" w:w="2016"/>
          </w:tcPr>
          <w:p>
            <w:r>
              <w:rPr>
                <w:sz w:val="20"/>
              </w:rPr>
              <w:t>Yes</w:t>
            </w:r>
          </w:p>
        </w:tc>
      </w:tr>
    </w:tbl>
    <w:p>
      <w:pPr>
        <w:pStyle w:val="Heading2"/>
      </w:pPr>
      <w:r>
        <w:t>7.4 Time savings (manual baseline)</w:t>
      </w:r>
    </w:p>
    <w:p>
      <w:pPr>
        <w:spacing w:after="80"/>
      </w:pPr>
      <w:r>
        <w:rPr>
          <w:b w:val="0"/>
          <w:i w:val="0"/>
          <w:sz w:val="22"/>
        </w:rPr>
        <w:t>An emergency-management analyst replicating this analysis manually would have to: (1) watch the 3-minute video and log timestamps for every distinct damage area (~30 minutes including transcription), (2) read each of the six reports and tabulate the claims (~45 minutes), (3) cross-reference each report claim against video timestamps by name and visual matching (~60 minutes), (4) produce a written summary (~30 minutes). Total: ~3 hours per analyst per disaster. DisasterFusion's pipeline produces the same artefacts in roughly 10 minutes of wall time, with the analyst supervising rather than executing the cross-reference. For larger inputs (45-minute video × 50 reports), the manual baseline grows to a multi-day effort while the automated baseline grows by an hour or two.</w:t>
      </w:r>
    </w:p>
    <w:p>
      <w:r>
        <w:br w:type="page"/>
      </w:r>
    </w:p>
    <w:p>
      <w:pPr>
        <w:pStyle w:val="Heading1"/>
      </w:pPr>
      <w:r>
        <w:t>8. Quality Assessment — Confidence and Uncertainty Quantification</w:t>
      </w:r>
    </w:p>
    <w:p>
      <w:pPr>
        <w:spacing w:after="80"/>
      </w:pPr>
      <w:r>
        <w:rPr>
          <w:b w:val="0"/>
          <w:i w:val="0"/>
          <w:sz w:val="22"/>
        </w:rPr>
        <w:t>Every product carries the same three layers of quality signal so that analysts can act on findings at the right level of trust.</w:t>
      </w:r>
    </w:p>
    <w:p>
      <w:pPr>
        <w:pStyle w:val="Heading2"/>
      </w:pPr>
      <w:r>
        <w:t>8.1 Layer 1: Numerical confidence (per finding)</w:t>
      </w:r>
    </w:p>
    <w:p>
      <w:pPr>
        <w:spacing w:after="80"/>
      </w:pPr>
      <w:r>
        <w:rPr>
          <w:b w:val="0"/>
          <w:i w:val="0"/>
          <w:sz w:val="22"/>
        </w:rPr>
        <w:t>Each fused finding has a confidence_score in [0, 1] decomposed into named components. The breakdown is the difference between an opaque ML output and an actionable analytical product:</w:t>
      </w:r>
    </w:p>
    <w:p>
      <w:pPr>
        <w:pStyle w:val="CodeBlock"/>
        <w:spacing w:before="40" w:after="160"/>
        <w:ind w:left="360"/>
        <w:shd w:val="clear" w:color="auto" w:fill="F4F4F0"/>
      </w:pPr>
      <w:r>
        <w:rPr>
          <w:rFonts w:ascii="Consolas" w:hAnsi="Consolas"/>
          <w:sz w:val="18"/>
        </w:rPr>
        <w:t>"confidence_score": 0.904,</w:t>
        <w:br/>
        <w:t>"confidence_breakdown": {</w:t>
        <w:br/>
        <w:t xml:space="preserve">    "category":         1.0,</w:t>
        <w:br/>
        <w:t xml:space="preserve">    "severity":         1.0,</w:t>
        <w:br/>
        <w:t xml:space="preserve">    "building_type":    1.0,</w:t>
        <w:br/>
        <w:t xml:space="preserve">    "text_similarity":  0.184,</w:t>
        <w:br/>
        <w:t xml:space="preserve">    "name_match":       1.0,</w:t>
        <w:br/>
        <w:t xml:space="preserve">    "spatial":          0.92</w:t>
        <w:br/>
        <w:t>}</w:t>
      </w:r>
    </w:p>
    <w:p>
      <w:pPr>
        <w:pStyle w:val="Heading2"/>
      </w:pPr>
      <w:r>
        <w:t>8.2 Layer 2: Categorical confidence labels</w:t>
      </w:r>
    </w:p>
    <w:tbl>
      <w:tblPr>
        <w:tblStyle w:val="LightGrid-Accent1"/>
        <w:tblW w:type="auto" w:w="0"/>
        <w:tblLook w:firstColumn="1" w:firstRow="1" w:lastColumn="0" w:lastRow="0" w:noHBand="0" w:noVBand="1" w:val="04A0"/>
      </w:tblPr>
      <w:tblGrid>
        <w:gridCol w:w="3249"/>
        <w:gridCol w:w="3249"/>
        <w:gridCol w:w="3249"/>
      </w:tblGrid>
      <w:tr>
        <w:tc>
          <w:tcPr>
            <w:tcW w:type="dxa" w:w="2880"/>
            <w:shd w:val="clear" w:color="auto" w:fill="1A3A5C"/>
          </w:tcPr>
          <w:p>
            <w:r/>
            <w:r>
              <w:rPr>
                <w:b/>
                <w:color w:val="FFFFFF"/>
                <w:sz w:val="20"/>
              </w:rPr>
              <w:t>Field</w:t>
            </w:r>
          </w:p>
        </w:tc>
        <w:tc>
          <w:tcPr>
            <w:tcW w:type="dxa" w:w="3456"/>
            <w:shd w:val="clear" w:color="auto" w:fill="1A3A5C"/>
          </w:tcPr>
          <w:p>
            <w:r/>
            <w:r>
              <w:rPr>
                <w:b/>
                <w:color w:val="FFFFFF"/>
                <w:sz w:val="20"/>
              </w:rPr>
              <w:t>Possible values</w:t>
            </w:r>
          </w:p>
        </w:tc>
        <w:tc>
          <w:tcPr>
            <w:tcW w:type="dxa" w:w="3888"/>
            <w:shd w:val="clear" w:color="auto" w:fill="1A3A5C"/>
          </w:tcPr>
          <w:p>
            <w:r/>
            <w:r>
              <w:rPr>
                <w:b/>
                <w:color w:val="FFFFFF"/>
                <w:sz w:val="20"/>
              </w:rPr>
              <w:t>Meaning</w:t>
            </w:r>
          </w:p>
        </w:tc>
      </w:tr>
      <w:tr>
        <w:tc>
          <w:tcPr>
            <w:tcW w:type="dxa" w:w="2880"/>
          </w:tcPr>
          <w:p>
            <w:r>
              <w:rPr>
                <w:sz w:val="20"/>
              </w:rPr>
              <w:t>geo_confidence (claim)</w:t>
            </w:r>
          </w:p>
        </w:tc>
        <w:tc>
          <w:tcPr>
            <w:tcW w:type="dxa" w:w="3456"/>
          </w:tcPr>
          <w:p>
            <w:r>
              <w:rPr>
                <w:sz w:val="20"/>
              </w:rPr>
              <w:t>high · medium · low</w:t>
            </w:r>
          </w:p>
        </w:tc>
        <w:tc>
          <w:tcPr>
            <w:tcW w:type="dxa" w:w="3888"/>
          </w:tcPr>
          <w:p>
            <w:r>
              <w:rPr>
                <w:sz w:val="20"/>
              </w:rPr>
              <w:t>Tier 1 (place match) · Tier 2 (county) · Tier 3 (state)</w:t>
            </w:r>
          </w:p>
        </w:tc>
      </w:tr>
      <w:tr>
        <w:tc>
          <w:tcPr>
            <w:tcW w:type="dxa" w:w="2880"/>
          </w:tcPr>
          <w:p>
            <w:r>
              <w:rPr>
                <w:sz w:val="20"/>
              </w:rPr>
              <w:t>geo_confidence (video)</w:t>
            </w:r>
          </w:p>
        </w:tc>
        <w:tc>
          <w:tcPr>
            <w:tcW w:type="dxa" w:w="3456"/>
          </w:tcPr>
          <w:p>
            <w:r>
              <w:rPr>
                <w:sz w:val="20"/>
              </w:rPr>
              <w:t>high · medium · low · unresolved</w:t>
            </w:r>
          </w:p>
        </w:tc>
        <w:tc>
          <w:tcPr>
            <w:tcW w:type="dxa" w:w="3888"/>
          </w:tcPr>
          <w:p>
            <w:r>
              <w:rPr>
                <w:sz w:val="20"/>
              </w:rPr>
              <w:t>GPS metadata · landmark match · simulator placement · no signal</w:t>
            </w:r>
          </w:p>
        </w:tc>
      </w:tr>
      <w:tr>
        <w:tc>
          <w:tcPr>
            <w:tcW w:type="dxa" w:w="2880"/>
          </w:tcPr>
          <w:p>
            <w:r>
              <w:rPr>
                <w:sz w:val="20"/>
              </w:rPr>
              <w:t>visual_evidence_quality</w:t>
            </w:r>
          </w:p>
        </w:tc>
        <w:tc>
          <w:tcPr>
            <w:tcW w:type="dxa" w:w="3456"/>
          </w:tcPr>
          <w:p>
            <w:r>
              <w:rPr>
                <w:sz w:val="20"/>
              </w:rPr>
              <w:t>high · medium · low</w:t>
            </w:r>
          </w:p>
        </w:tc>
        <w:tc>
          <w:tcPr>
            <w:tcW w:type="dxa" w:w="3888"/>
          </w:tcPr>
          <w:p>
            <w:r>
              <w:rPr>
                <w:sz w:val="20"/>
              </w:rPr>
              <w:t>Clarity, lighting, framing of the source clip</w:t>
            </w:r>
          </w:p>
        </w:tc>
      </w:tr>
      <w:tr>
        <w:tc>
          <w:tcPr>
            <w:tcW w:type="dxa" w:w="2880"/>
          </w:tcPr>
          <w:p>
            <w:r>
              <w:rPr>
                <w:sz w:val="20"/>
              </w:rPr>
              <w:t>source_type reliability</w:t>
            </w:r>
          </w:p>
        </w:tc>
        <w:tc>
          <w:tcPr>
            <w:tcW w:type="dxa" w:w="3456"/>
          </w:tcPr>
          <w:p>
            <w:r>
              <w:rPr>
                <w:sz w:val="20"/>
              </w:rPr>
              <w:t>0.9 · 0.7 · 0.5</w:t>
            </w:r>
          </w:p>
        </w:tc>
        <w:tc>
          <w:tcPr>
            <w:tcW w:type="dxa" w:w="3888"/>
          </w:tcPr>
          <w:p>
            <w:r>
              <w:rPr>
                <w:sz w:val="20"/>
              </w:rPr>
              <w:t>FEMA / NWS · county · news / city press release</w:t>
            </w:r>
          </w:p>
        </w:tc>
      </w:tr>
    </w:tbl>
    <w:p>
      <w:pPr>
        <w:pStyle w:val="Heading2"/>
      </w:pPr>
      <w:r>
        <w:t>8.3 Layer 3: Validation flags</w:t>
      </w:r>
    </w:p>
    <w:p>
      <w:pPr>
        <w:spacing w:after="80"/>
      </w:pPr>
      <w:r>
        <w:rPr>
          <w:b w:val="0"/>
          <w:i w:val="0"/>
          <w:sz w:val="22"/>
        </w:rPr>
        <w:t>Every VideoFinding and ReportClaim carries an is_valid boolean and a list of validation_errors. Findings that fail schema, enum, or sanity checks remain in the output stream so that the analyst can see them — but their rendering is downgraded (greyed in the UI) and they are excluded from alert triggers. The principle is flag, don't drop.</w:t>
      </w:r>
    </w:p>
    <w:p>
      <w:pPr>
        <w:pStyle w:val="Heading2"/>
      </w:pPr>
      <w:r>
        <w:t>8.4 Putting it together: quality-aware triage</w:t>
      </w:r>
    </w:p>
    <w:p>
      <w:pPr>
        <w:spacing w:after="80"/>
      </w:pPr>
      <w:r>
        <w:rPr>
          <w:b w:val="0"/>
          <w:i w:val="0"/>
          <w:sz w:val="22"/>
        </w:rPr>
        <w:t>An analyst working from the Grafton master findings can construct, in one filter pass, a triage list:</w:t>
      </w:r>
    </w:p>
    <w:p>
      <w:pPr>
        <w:pStyle w:val="ListNumber"/>
        <w:spacing w:after="40"/>
        <w:ind w:left="360"/>
      </w:pPr>
      <w:r>
        <w:t>All HIGH-priority alerts (unreported severe / infrastructure) — confidence not required.</w:t>
      </w:r>
    </w:p>
    <w:p>
      <w:pPr>
        <w:pStyle w:val="ListNumber"/>
        <w:spacing w:after="40"/>
        <w:ind w:left="360"/>
      </w:pPr>
      <w:r>
        <w:t>All confirmed findings with confidence ≥ 0.80 — accept as ground truth, dispatch field team for damage assessment.</w:t>
      </w:r>
    </w:p>
    <w:p>
      <w:pPr>
        <w:pStyle w:val="ListNumber"/>
        <w:spacing w:after="40"/>
        <w:ind w:left="360"/>
      </w:pPr>
      <w:r>
        <w:t>All confirmed findings with confidence 0.50–0.79 — verify via phone or follow-up imagery before formal report.</w:t>
      </w:r>
    </w:p>
    <w:p>
      <w:pPr>
        <w:pStyle w:val="ListNumber"/>
        <w:spacing w:after="40"/>
        <w:ind w:left="360"/>
      </w:pPr>
      <w:r>
        <w:t>All conflicting_severity findings — escalate for source reconciliation.</w:t>
      </w:r>
    </w:p>
    <w:p>
      <w:pPr>
        <w:pStyle w:val="ListNumber"/>
        <w:spacing w:after="40"/>
        <w:ind w:left="360"/>
      </w:pPr>
      <w:r>
        <w:t>All findings with geo_confidence = low and is_valid = True — show on map but flag pin styling for analyst awareness.</w:t>
      </w:r>
    </w:p>
    <w:p>
      <w:pPr>
        <w:spacing w:after="80"/>
      </w:pPr>
      <w:r>
        <w:rPr>
          <w:b w:val="0"/>
          <w:i w:val="0"/>
          <w:sz w:val="22"/>
        </w:rPr>
        <w:t>This is the operational difference between a system that emits answers and a system that emits intelligence: the latter tells the analyst not just what it found, but how much they should trust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55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