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72"/>
        </w:rPr>
        <w:t>DisasterFusion</w:t>
      </w:r>
    </w:p>
    <w:p>
      <w:pPr>
        <w:jc w:val="center"/>
      </w:pPr>
      <w:r>
        <w:rPr>
          <w:i/>
          <w:color w:val="555555"/>
          <w:sz w:val="28"/>
        </w:rPr>
        <w:t>Multi-Source Geospatial Intelligence for Disaster Damage Assessment</w:t>
      </w:r>
    </w:p>
    <w:p/>
    <w:p/>
    <w:p>
      <w:pPr>
        <w:jc w:val="center"/>
      </w:pPr>
      <w:r>
        <w:drawing>
          <wp:inline xmlns:a="http://schemas.openxmlformats.org/drawingml/2006/main" xmlns:pic="http://schemas.openxmlformats.org/drawingml/2006/picture">
            <wp:extent cx="5943600" cy="4251226"/>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943600" cy="4251226"/>
                    </a:xfrm>
                    <a:prstGeom prst="rect"/>
                  </pic:spPr>
                </pic:pic>
              </a:graphicData>
            </a:graphic>
          </wp:inline>
        </w:drawing>
      </w:r>
    </w:p>
    <w:p/>
    <w:p>
      <w:pPr>
        <w:jc w:val="center"/>
      </w:pPr>
      <w:r>
        <w:rPr>
          <w:color w:val="555555"/>
          <w:sz w:val="22"/>
        </w:rPr>
        <w:t>Technical Documentation</w:t>
        <w:br/>
        <w:t>Geospatial Video Intelligence Hackathon · Track 03 · St. Louis, April 25–26, 2026</w:t>
      </w:r>
    </w:p>
    <w:p>
      <w:r>
        <w:br w:type="page"/>
      </w:r>
    </w:p>
    <w:p>
      <w:pPr>
        <w:pStyle w:val="Heading1"/>
      </w:pPr>
      <w:r>
        <w:t>1. Executive Summary</w:t>
      </w:r>
    </w:p>
    <w:p>
      <w:pPr>
        <w:spacing w:after="80"/>
      </w:pPr>
      <w:r>
        <w:rPr>
          <w:b w:val="0"/>
          <w:i w:val="0"/>
          <w:sz w:val="22"/>
        </w:rPr>
        <w:t>DisasterFusion is a multi-source geospatial intelligence system that fuses aerial video footage with official damage reports to produce a unified, confidence-scored view of disaster damage. The system ingests one or more videos and one or more structured or unstructured documents, extracts findings and claims, aligns them spatially and semantically, and emits a fused intelligence product whose every finding traces back to a specific video clip and a specific report excerpt.</w:t>
      </w:r>
    </w:p>
    <w:p>
      <w:pPr>
        <w:spacing w:after="80"/>
      </w:pPr>
      <w:r>
        <w:rPr>
          <w:b w:val="0"/>
          <w:i w:val="0"/>
          <w:sz w:val="22"/>
        </w:rPr>
        <w:t>The core insight the system surfaces is the cross-source delta: damage that appears in video but is missing from official reports (unreported), claims that lack visual corroboration (unverified), and cases where the two sources disagree on severity or damage type (discrepancy). These signals are invisible to single-source workflows and are precisely what intelligence analysts and emergency managers need to triage response and prioritise verification.</w:t>
      </w:r>
    </w:p>
    <w:p>
      <w:pPr>
        <w:spacing w:after="80"/>
      </w:pPr>
      <w:r>
        <w:rPr>
          <w:b w:val="0"/>
          <w:i w:val="0"/>
          <w:sz w:val="22"/>
        </w:rPr>
        <w:t>DisasterFusion is disaster-agnostic — the same pipeline configures itself for tornado, hurricane, flood, wildfire, or earthquake events via a single YAML file. For the hackathon submission, the worked example is an EF-1 tornado that struck Grafton, Illinois on March 11, 2026; the system processed a 33 MB / ~3-minute aerial video alongside six independent text reports (NWS survey, county EMA, and four news articles) and produced 28 fused findings with full evidence chains.</w:t>
      </w:r>
    </w:p>
    <w:p>
      <w:pPr>
        <w:spacing w:before="80" w:after="160"/>
        <w:ind w:left="0"/>
        <w:shd w:val="clear" w:color="auto" w:fill="EAF1F8"/>
      </w:pPr>
      <w:r>
        <w:rPr>
          <w:i/>
          <w:sz w:val="21"/>
        </w:rPr>
        <w:t>Mission impact in one line: DisasterFusion compresses what is normally a multi-day manual cross-reference of aerial imagery and field reports into a roughly ten-minute automated run, with every conclusion auditable back to its sources.</w:t>
      </w:r>
    </w:p>
    <w:p>
      <w:pPr>
        <w:pStyle w:val="Heading2"/>
      </w:pPr>
      <w:r>
        <w:t>1.1 Required deliverable coverage</w:t>
      </w:r>
    </w:p>
    <w:tbl>
      <w:tblPr>
        <w:tblStyle w:val="LightGrid-Accent1"/>
        <w:tblW w:type="auto" w:w="0"/>
        <w:tblLook w:firstColumn="1" w:firstRow="1" w:lastColumn="0" w:lastRow="0" w:noHBand="0" w:noVBand="1" w:val="04A0"/>
      </w:tblPr>
      <w:tblGrid>
        <w:gridCol w:w="4873"/>
        <w:gridCol w:w="4873"/>
      </w:tblGrid>
      <w:tr>
        <w:tc>
          <w:tcPr>
            <w:tcW w:type="dxa" w:w="3744"/>
            <w:shd w:val="clear" w:color="auto" w:fill="1A3A5C"/>
          </w:tcPr>
          <w:p>
            <w:r/>
            <w:r>
              <w:rPr>
                <w:b/>
                <w:color w:val="FFFFFF"/>
                <w:sz w:val="20"/>
              </w:rPr>
              <w:t>Required Section (Track 03)</w:t>
            </w:r>
          </w:p>
        </w:tc>
        <w:tc>
          <w:tcPr>
            <w:tcW w:type="dxa" w:w="5760"/>
            <w:shd w:val="clear" w:color="auto" w:fill="1A3A5C"/>
          </w:tcPr>
          <w:p>
            <w:r/>
            <w:r>
              <w:rPr>
                <w:b/>
                <w:color w:val="FFFFFF"/>
                <w:sz w:val="20"/>
              </w:rPr>
              <w:t>Where it is covered</w:t>
            </w:r>
          </w:p>
        </w:tc>
      </w:tr>
      <w:tr>
        <w:tc>
          <w:tcPr>
            <w:tcW w:type="dxa" w:w="3744"/>
          </w:tcPr>
          <w:p>
            <w:r>
              <w:rPr>
                <w:sz w:val="20"/>
              </w:rPr>
              <w:t>Architecture diagram (multi-source flow)</w:t>
            </w:r>
          </w:p>
        </w:tc>
        <w:tc>
          <w:tcPr>
            <w:tcW w:type="dxa" w:w="5760"/>
          </w:tcPr>
          <w:p>
            <w:r>
              <w:rPr>
                <w:sz w:val="20"/>
              </w:rPr>
              <w:t>Section 2 — System Architecture (cover diagram + textual walkthrough)</w:t>
            </w:r>
          </w:p>
        </w:tc>
      </w:tr>
      <w:tr>
        <w:tc>
          <w:tcPr>
            <w:tcW w:type="dxa" w:w="3744"/>
          </w:tcPr>
          <w:p>
            <w:r>
              <w:rPr>
                <w:sz w:val="20"/>
              </w:rPr>
              <w:t>Correlation methodology</w:t>
            </w:r>
          </w:p>
        </w:tc>
        <w:tc>
          <w:tcPr>
            <w:tcW w:type="dxa" w:w="5760"/>
          </w:tcPr>
          <w:p>
            <w:r>
              <w:rPr>
                <w:sz w:val="20"/>
              </w:rPr>
              <w:t>Section 5 — Correlation Methodology (Pass A + Pass B)</w:t>
            </w:r>
          </w:p>
        </w:tc>
      </w:tr>
      <w:tr>
        <w:tc>
          <w:tcPr>
            <w:tcW w:type="dxa" w:w="3744"/>
          </w:tcPr>
          <w:p>
            <w:r>
              <w:rPr>
                <w:sz w:val="20"/>
              </w:rPr>
              <w:t>Video processing approach (TwelveLabs API)</w:t>
            </w:r>
          </w:p>
        </w:tc>
        <w:tc>
          <w:tcPr>
            <w:tcW w:type="dxa" w:w="5760"/>
          </w:tcPr>
          <w:p>
            <w:r>
              <w:rPr>
                <w:sz w:val="20"/>
              </w:rPr>
              <w:t>Section 3 — Video Processing</w:t>
            </w:r>
          </w:p>
        </w:tc>
      </w:tr>
      <w:tr>
        <w:tc>
          <w:tcPr>
            <w:tcW w:type="dxa" w:w="3744"/>
          </w:tcPr>
          <w:p>
            <w:r>
              <w:rPr>
                <w:sz w:val="20"/>
              </w:rPr>
              <w:t>Structured data handling</w:t>
            </w:r>
          </w:p>
        </w:tc>
        <w:tc>
          <w:tcPr>
            <w:tcW w:type="dxa" w:w="5760"/>
          </w:tcPr>
          <w:p>
            <w:r>
              <w:rPr>
                <w:sz w:val="20"/>
              </w:rPr>
              <w:t>Section 4 — Structured Data Handling</w:t>
            </w:r>
          </w:p>
        </w:tc>
      </w:tr>
      <w:tr>
        <w:tc>
          <w:tcPr>
            <w:tcW w:type="dxa" w:w="3744"/>
          </w:tcPr>
          <w:p>
            <w:r>
              <w:rPr>
                <w:sz w:val="20"/>
              </w:rPr>
              <w:t>Entity resolution</w:t>
            </w:r>
          </w:p>
        </w:tc>
        <w:tc>
          <w:tcPr>
            <w:tcW w:type="dxa" w:w="5760"/>
          </w:tcPr>
          <w:p>
            <w:r>
              <w:rPr>
                <w:sz w:val="20"/>
              </w:rPr>
              <w:t>Section 6 — Entity Resolution</w:t>
            </w:r>
          </w:p>
        </w:tc>
      </w:tr>
      <w:tr>
        <w:tc>
          <w:tcPr>
            <w:tcW w:type="dxa" w:w="3744"/>
          </w:tcPr>
          <w:p>
            <w:r>
              <w:rPr>
                <w:sz w:val="20"/>
              </w:rPr>
              <w:t>GitHub setup documentation</w:t>
            </w:r>
          </w:p>
        </w:tc>
        <w:tc>
          <w:tcPr>
            <w:tcW w:type="dxa" w:w="5760"/>
          </w:tcPr>
          <w:p>
            <w:r>
              <w:rPr>
                <w:sz w:val="20"/>
              </w:rPr>
              <w:t>Section 13 — Repository, Setup, and Reproducibility</w:t>
            </w:r>
          </w:p>
        </w:tc>
      </w:tr>
    </w:tbl>
    <w:p>
      <w:r>
        <w:br w:type="page"/>
      </w:r>
    </w:p>
    <w:p>
      <w:pPr>
        <w:pStyle w:val="Heading1"/>
      </w:pPr>
      <w:r>
        <w:t>2. System Architecture</w:t>
      </w:r>
    </w:p>
    <w:p>
      <w:pPr>
        <w:spacing w:after="80"/>
      </w:pPr>
      <w:r>
        <w:rPr>
          <w:b w:val="0"/>
          <w:i w:val="0"/>
          <w:sz w:val="22"/>
        </w:rPr>
        <w:t>DisasterFusion is structured as a four-stage pipeline — Ingest, Extract, Fuse, Output — orchestrated by a FastAPI service that runs each job in a background worker. The architecture diagram (cover page) shows the full data flow; this section describes the role of each stage and the contracts that connect them.</w:t>
      </w:r>
    </w:p>
    <w:p>
      <w:pPr>
        <w:pStyle w:val="Heading2"/>
      </w:pPr>
      <w:r>
        <w:t>2.1 Stage roles</w:t>
      </w:r>
    </w:p>
    <w:tbl>
      <w:tblPr>
        <w:tblStyle w:val="LightGrid-Accent1"/>
        <w:tblW w:type="auto" w:w="0"/>
        <w:tblLook w:firstColumn="1" w:firstRow="1" w:lastColumn="0" w:lastRow="0" w:noHBand="0" w:noVBand="1" w:val="04A0"/>
      </w:tblPr>
      <w:tblGrid>
        <w:gridCol w:w="2436"/>
        <w:gridCol w:w="2436"/>
        <w:gridCol w:w="2436"/>
        <w:gridCol w:w="2436"/>
      </w:tblGrid>
      <w:tr>
        <w:tc>
          <w:tcPr>
            <w:tcW w:type="dxa" w:w="1008"/>
            <w:shd w:val="clear" w:color="auto" w:fill="1A3A5C"/>
          </w:tcPr>
          <w:p>
            <w:r/>
            <w:r>
              <w:rPr>
                <w:b/>
                <w:color w:val="FFFFFF"/>
                <w:sz w:val="20"/>
              </w:rPr>
              <w:t>Stage</w:t>
            </w:r>
          </w:p>
        </w:tc>
        <w:tc>
          <w:tcPr>
            <w:tcW w:type="dxa" w:w="2448"/>
            <w:shd w:val="clear" w:color="auto" w:fill="1A3A5C"/>
          </w:tcPr>
          <w:p>
            <w:r/>
            <w:r>
              <w:rPr>
                <w:b/>
                <w:color w:val="FFFFFF"/>
                <w:sz w:val="20"/>
              </w:rPr>
              <w:t>Inputs</w:t>
            </w:r>
          </w:p>
        </w:tc>
        <w:tc>
          <w:tcPr>
            <w:tcW w:type="dxa" w:w="3024"/>
            <w:shd w:val="clear" w:color="auto" w:fill="1A3A5C"/>
          </w:tcPr>
          <w:p>
            <w:r/>
            <w:r>
              <w:rPr>
                <w:b/>
                <w:color w:val="FFFFFF"/>
                <w:sz w:val="20"/>
              </w:rPr>
              <w:t>Components</w:t>
            </w:r>
          </w:p>
        </w:tc>
        <w:tc>
          <w:tcPr>
            <w:tcW w:type="dxa" w:w="2880"/>
            <w:shd w:val="clear" w:color="auto" w:fill="1A3A5C"/>
          </w:tcPr>
          <w:p>
            <w:r/>
            <w:r>
              <w:rPr>
                <w:b/>
                <w:color w:val="FFFFFF"/>
                <w:sz w:val="20"/>
              </w:rPr>
              <w:t>Outputs</w:t>
            </w:r>
          </w:p>
        </w:tc>
      </w:tr>
      <w:tr>
        <w:tc>
          <w:tcPr>
            <w:tcW w:type="dxa" w:w="1008"/>
          </w:tcPr>
          <w:p>
            <w:r>
              <w:rPr>
                <w:sz w:val="20"/>
              </w:rPr>
              <w:t>Ingest</w:t>
            </w:r>
          </w:p>
        </w:tc>
        <w:tc>
          <w:tcPr>
            <w:tcW w:type="dxa" w:w="2448"/>
          </w:tcPr>
          <w:p>
            <w:r>
              <w:rPr>
                <w:sz w:val="20"/>
              </w:rPr>
              <w:t>Video MP4, Report (PDF/DOCX/JSON/TXT/URL), disaster type, region hint</w:t>
            </w:r>
          </w:p>
        </w:tc>
        <w:tc>
          <w:tcPr>
            <w:tcW w:type="dxa" w:w="3024"/>
          </w:tcPr>
          <w:p>
            <w:r>
              <w:rPr>
                <w:sz w:val="20"/>
              </w:rPr>
              <w:t>S3 upload, Pegasus 1.2, Marengo 3.0 async, Claude Haiku 4.5</w:t>
            </w:r>
          </w:p>
        </w:tc>
        <w:tc>
          <w:tcPr>
            <w:tcW w:type="dxa" w:w="2880"/>
          </w:tcPr>
          <w:p>
            <w:r>
              <w:rPr>
                <w:sz w:val="20"/>
              </w:rPr>
              <w:t>Raw findings JSON, 512-d segment embeddings (visual + audio), report claims JSON</w:t>
            </w:r>
          </w:p>
        </w:tc>
      </w:tr>
      <w:tr>
        <w:tc>
          <w:tcPr>
            <w:tcW w:type="dxa" w:w="1008"/>
          </w:tcPr>
          <w:p>
            <w:r>
              <w:rPr>
                <w:sz w:val="20"/>
              </w:rPr>
              <w:t>Extract</w:t>
            </w:r>
          </w:p>
        </w:tc>
        <w:tc>
          <w:tcPr>
            <w:tcW w:type="dxa" w:w="2448"/>
          </w:tcPr>
          <w:p>
            <w:r>
              <w:rPr>
                <w:sz w:val="20"/>
              </w:rPr>
              <w:t>Raw findings, raw claims</w:t>
            </w:r>
          </w:p>
        </w:tc>
        <w:tc>
          <w:tcPr>
            <w:tcW w:type="dxa" w:w="3024"/>
          </w:tcPr>
          <w:p>
            <w:r>
              <w:rPr>
                <w:sz w:val="20"/>
              </w:rPr>
              <w:t>Validation layer, Geo Simulator (Claude), Overture Geocoder (DuckDB)</w:t>
            </w:r>
          </w:p>
        </w:tc>
        <w:tc>
          <w:tcPr>
            <w:tcW w:type="dxa" w:w="2880"/>
          </w:tcPr>
          <w:p>
            <w:r>
              <w:rPr>
                <w:sz w:val="20"/>
              </w:rPr>
              <w:t>Validated VideoFindings (with simulated coords), geocoded ReportClaims, disaster zone</w:t>
            </w:r>
          </w:p>
        </w:tc>
      </w:tr>
      <w:tr>
        <w:tc>
          <w:tcPr>
            <w:tcW w:type="dxa" w:w="1008"/>
          </w:tcPr>
          <w:p>
            <w:r>
              <w:rPr>
                <w:sz w:val="20"/>
              </w:rPr>
              <w:t>Fuse</w:t>
            </w:r>
          </w:p>
        </w:tc>
        <w:tc>
          <w:tcPr>
            <w:tcW w:type="dxa" w:w="2448"/>
          </w:tcPr>
          <w:p>
            <w:r>
              <w:rPr>
                <w:sz w:val="20"/>
              </w:rPr>
              <w:t>Findings, claims, Marengo segment embeddings, claim text embeddings</w:t>
            </w:r>
          </w:p>
        </w:tc>
        <w:tc>
          <w:tcPr>
            <w:tcW w:type="dxa" w:w="3024"/>
          </w:tcPr>
          <w:p>
            <w:r>
              <w:rPr>
                <w:sz w:val="20"/>
              </w:rPr>
              <w:t>Pass A (cosine match), Pass B (tiered matcher), confidence scorer</w:t>
            </w:r>
          </w:p>
        </w:tc>
        <w:tc>
          <w:tcPr>
            <w:tcW w:type="dxa" w:w="2880"/>
          </w:tcPr>
          <w:p>
            <w:r>
              <w:rPr>
                <w:sz w:val="20"/>
              </w:rPr>
              <w:t>FusedFindings: corroborated · discrepancy · unreported · unverified</w:t>
            </w:r>
          </w:p>
        </w:tc>
      </w:tr>
      <w:tr>
        <w:tc>
          <w:tcPr>
            <w:tcW w:type="dxa" w:w="1008"/>
          </w:tcPr>
          <w:p>
            <w:r>
              <w:rPr>
                <w:sz w:val="20"/>
              </w:rPr>
              <w:t>Output</w:t>
            </w:r>
          </w:p>
        </w:tc>
        <w:tc>
          <w:tcPr>
            <w:tcW w:type="dxa" w:w="2448"/>
          </w:tcPr>
          <w:p>
            <w:r>
              <w:rPr>
                <w:sz w:val="20"/>
              </w:rPr>
              <w:t>FusedFindings document</w:t>
            </w:r>
          </w:p>
        </w:tc>
        <w:tc>
          <w:tcPr>
            <w:tcW w:type="dxa" w:w="3024"/>
          </w:tcPr>
          <w:p>
            <w:r>
              <w:rPr>
                <w:sz w:val="20"/>
              </w:rPr>
              <w:t>Frontend transformer, Folium map, GeoJSON exporter, SNS alerts, NL query</w:t>
            </w:r>
          </w:p>
        </w:tc>
        <w:tc>
          <w:tcPr>
            <w:tcW w:type="dxa" w:w="2880"/>
          </w:tcPr>
          <w:p>
            <w:r>
              <w:rPr>
                <w:sz w:val="20"/>
              </w:rPr>
              <w:t>Master findings JSON, map HTML, GeoJSON, SNS alerts, query answers</w:t>
            </w:r>
          </w:p>
        </w:tc>
      </w:tr>
    </w:tbl>
    <w:p>
      <w:pPr>
        <w:pStyle w:val="Heading2"/>
      </w:pPr>
      <w:r>
        <w:t>2.2 Orchestration model</w:t>
      </w:r>
    </w:p>
    <w:p>
      <w:pPr>
        <w:spacing w:after="80"/>
      </w:pPr>
      <w:r>
        <w:rPr>
          <w:b w:val="0"/>
          <w:i w:val="0"/>
          <w:sz w:val="22"/>
        </w:rPr>
        <w:t>Each pipeline run is a job with a unique job_id. The API accepts inputs via POST /analyze, persists them, and dispatches a background thread that walks the nine pipeline steps (S3 upload → Pegasus → validate + geolocate → parse report → start Marengo → poll completion → Pass A → Pass B → frontend transform → alerts → GeoJSON export). Job status, errors, and results are queryable via /jobs/{job_id}, /jobs/{job_id}/results, /jobs/{job_id}/overture, and /jobs/{job_id}/query. Errors at any step are captured with traceback into the job record, so the pipeline never crashes silently.</w:t>
      </w:r>
    </w:p>
    <w:p>
      <w:pPr>
        <w:pStyle w:val="Heading2"/>
      </w:pPr>
      <w:r>
        <w:t>2.3 Data contracts</w:t>
      </w:r>
    </w:p>
    <w:p>
      <w:pPr>
        <w:spacing w:after="80"/>
      </w:pPr>
      <w:r>
        <w:rPr>
          <w:b w:val="0"/>
          <w:i w:val="0"/>
          <w:sz w:val="22"/>
        </w:rPr>
        <w:t>Every component reads and writes against a small set of dataclasses defined in src/shared/models.py. These contracts are the spine of the system — they let the four stages evolve independently as long as the field shapes are honoured.</w:t>
      </w:r>
    </w:p>
    <w:p>
      <w:pPr>
        <w:pStyle w:val="ListBullet"/>
        <w:spacing w:after="40"/>
        <w:ind w:left="360"/>
      </w:pPr>
      <w:r>
        <w:t>VideoFinding — one structured damage observation extracted from video.</w:t>
      </w:r>
    </w:p>
    <w:p>
      <w:pPr>
        <w:pStyle w:val="ListBullet"/>
        <w:spacing w:after="40"/>
        <w:ind w:left="360"/>
      </w:pPr>
      <w:r>
        <w:t>ReportClaim — one structured damage claim extracted from a text report.</w:t>
      </w:r>
    </w:p>
    <w:p>
      <w:pPr>
        <w:pStyle w:val="ListBullet"/>
        <w:spacing w:after="40"/>
        <w:ind w:left="360"/>
      </w:pPr>
      <w:r>
        <w:t>FusedFinding — a finding after fusion, linking a VideoFinding to a ReportClaim (or marking it as unmatched on either side), with a confidence breakdown.</w:t>
      </w:r>
    </w:p>
    <w:p>
      <w:pPr>
        <w:spacing w:after="80"/>
      </w:pPr>
      <w:r>
        <w:rPr>
          <w:b w:val="0"/>
          <w:i/>
          <w:sz w:val="22"/>
        </w:rPr>
        <w:t>Full field-level definitions appear in Appendix A.</w:t>
      </w:r>
    </w:p>
    <w:p>
      <w:r>
        <w:br w:type="page"/>
      </w:r>
    </w:p>
    <w:p>
      <w:pPr>
        <w:pStyle w:val="Heading1"/>
      </w:pPr>
      <w:r>
        <w:t>3. Video Processing Approach (TwelveLabs API)</w:t>
      </w:r>
    </w:p>
    <w:p>
      <w:pPr>
        <w:spacing w:after="80"/>
      </w:pPr>
      <w:r>
        <w:rPr>
          <w:b w:val="0"/>
          <w:i w:val="0"/>
          <w:sz w:val="22"/>
        </w:rPr>
        <w:t>Video is the primary intelligence source. DisasterFusion uses the two TwelveLabs foundation models on AWS Bedrock — Pegasus 1.2 for video-to-text generation and Marengo 3.0 for multimodal embeddings — and treats them as complementary: Pegasus answers "what damage is visible?", Marengo answers "where in the video does this claim show up?"</w:t>
      </w:r>
    </w:p>
    <w:p>
      <w:pPr>
        <w:pStyle w:val="Heading2"/>
      </w:pPr>
      <w:r>
        <w:t>3.1 Model identifiers and platform</w:t>
      </w:r>
    </w:p>
    <w:tbl>
      <w:tblPr>
        <w:tblStyle w:val="LightGrid-Accent1"/>
        <w:tblW w:type="auto" w:w="0"/>
        <w:tblLook w:firstColumn="1" w:firstRow="1" w:lastColumn="0" w:lastRow="0" w:noHBand="0" w:noVBand="1" w:val="04A0"/>
      </w:tblPr>
      <w:tblGrid>
        <w:gridCol w:w="2436"/>
        <w:gridCol w:w="2436"/>
        <w:gridCol w:w="2436"/>
        <w:gridCol w:w="2436"/>
      </w:tblGrid>
      <w:tr>
        <w:tc>
          <w:tcPr>
            <w:tcW w:type="dxa" w:w="2304"/>
            <w:shd w:val="clear" w:color="auto" w:fill="1A3A5C"/>
          </w:tcPr>
          <w:p>
            <w:r/>
            <w:r>
              <w:rPr>
                <w:b/>
                <w:color w:val="FFFFFF"/>
                <w:sz w:val="20"/>
              </w:rPr>
              <w:t>Capability</w:t>
            </w:r>
          </w:p>
        </w:tc>
        <w:tc>
          <w:tcPr>
            <w:tcW w:type="dxa" w:w="2448"/>
            <w:shd w:val="clear" w:color="auto" w:fill="1A3A5C"/>
          </w:tcPr>
          <w:p>
            <w:r/>
            <w:r>
              <w:rPr>
                <w:b/>
                <w:color w:val="FFFFFF"/>
                <w:sz w:val="20"/>
              </w:rPr>
              <w:t>Model</w:t>
            </w:r>
          </w:p>
        </w:tc>
        <w:tc>
          <w:tcPr>
            <w:tcW w:type="dxa" w:w="3168"/>
            <w:shd w:val="clear" w:color="auto" w:fill="1A3A5C"/>
          </w:tcPr>
          <w:p>
            <w:r/>
            <w:r>
              <w:rPr>
                <w:b/>
                <w:color w:val="FFFFFF"/>
                <w:sz w:val="20"/>
              </w:rPr>
              <w:t>Bedrock model ID</w:t>
            </w:r>
          </w:p>
        </w:tc>
        <w:tc>
          <w:tcPr>
            <w:tcW w:type="dxa" w:w="1440"/>
            <w:shd w:val="clear" w:color="auto" w:fill="1A3A5C"/>
          </w:tcPr>
          <w:p>
            <w:r/>
            <w:r>
              <w:rPr>
                <w:b/>
                <w:color w:val="FFFFFF"/>
                <w:sz w:val="20"/>
              </w:rPr>
              <w:t>Mode</w:t>
            </w:r>
          </w:p>
        </w:tc>
      </w:tr>
      <w:tr>
        <w:tc>
          <w:tcPr>
            <w:tcW w:type="dxa" w:w="2304"/>
          </w:tcPr>
          <w:p>
            <w:r>
              <w:rPr>
                <w:sz w:val="20"/>
              </w:rPr>
              <w:t>Video → structured findings</w:t>
            </w:r>
          </w:p>
        </w:tc>
        <w:tc>
          <w:tcPr>
            <w:tcW w:type="dxa" w:w="2448"/>
          </w:tcPr>
          <w:p>
            <w:r>
              <w:rPr>
                <w:sz w:val="20"/>
              </w:rPr>
              <w:t>TwelveLabs Pegasus 1.2</w:t>
            </w:r>
          </w:p>
        </w:tc>
        <w:tc>
          <w:tcPr>
            <w:tcW w:type="dxa" w:w="3168"/>
          </w:tcPr>
          <w:p>
            <w:r>
              <w:rPr>
                <w:sz w:val="20"/>
              </w:rPr>
              <w:t>us.twelvelabs.pegasus-1-2-v1:0</w:t>
            </w:r>
          </w:p>
        </w:tc>
        <w:tc>
          <w:tcPr>
            <w:tcW w:type="dxa" w:w="1440"/>
          </w:tcPr>
          <w:p>
            <w:r>
              <w:rPr>
                <w:sz w:val="20"/>
              </w:rPr>
              <w:t>Synchronous invoke_model</w:t>
            </w:r>
          </w:p>
        </w:tc>
      </w:tr>
      <w:tr>
        <w:tc>
          <w:tcPr>
            <w:tcW w:type="dxa" w:w="2304"/>
          </w:tcPr>
          <w:p>
            <w:r>
              <w:rPr>
                <w:sz w:val="20"/>
              </w:rPr>
              <w:t>Video → multimodal embeddings</w:t>
            </w:r>
          </w:p>
        </w:tc>
        <w:tc>
          <w:tcPr>
            <w:tcW w:type="dxa" w:w="2448"/>
          </w:tcPr>
          <w:p>
            <w:r>
              <w:rPr>
                <w:sz w:val="20"/>
              </w:rPr>
              <w:t>TwelveLabs Marengo 3.0</w:t>
            </w:r>
          </w:p>
        </w:tc>
        <w:tc>
          <w:tcPr>
            <w:tcW w:type="dxa" w:w="3168"/>
          </w:tcPr>
          <w:p>
            <w:r>
              <w:rPr>
                <w:sz w:val="20"/>
              </w:rPr>
              <w:t>twelvelabs.marengo-embed-3-0-v1:0</w:t>
            </w:r>
          </w:p>
        </w:tc>
        <w:tc>
          <w:tcPr>
            <w:tcW w:type="dxa" w:w="1440"/>
          </w:tcPr>
          <w:p>
            <w:r>
              <w:rPr>
                <w:sz w:val="20"/>
              </w:rPr>
              <w:t>Asynchronous start_async_invoke</w:t>
            </w:r>
          </w:p>
        </w:tc>
      </w:tr>
      <w:tr>
        <w:tc>
          <w:tcPr>
            <w:tcW w:type="dxa" w:w="2304"/>
          </w:tcPr>
          <w:p>
            <w:r>
              <w:rPr>
                <w:sz w:val="20"/>
              </w:rPr>
              <w:t>Text → embedding (claims)</w:t>
            </w:r>
          </w:p>
        </w:tc>
        <w:tc>
          <w:tcPr>
            <w:tcW w:type="dxa" w:w="2448"/>
          </w:tcPr>
          <w:p>
            <w:r>
              <w:rPr>
                <w:sz w:val="20"/>
              </w:rPr>
              <w:t>TwelveLabs Marengo 3.0</w:t>
            </w:r>
          </w:p>
        </w:tc>
        <w:tc>
          <w:tcPr>
            <w:tcW w:type="dxa" w:w="3168"/>
          </w:tcPr>
          <w:p>
            <w:r>
              <w:rPr>
                <w:sz w:val="20"/>
              </w:rPr>
              <w:t>us.twelvelabs.marengo-embed-3-0-v1:0</w:t>
            </w:r>
          </w:p>
        </w:tc>
        <w:tc>
          <w:tcPr>
            <w:tcW w:type="dxa" w:w="1440"/>
          </w:tcPr>
          <w:p>
            <w:r>
              <w:rPr>
                <w:sz w:val="20"/>
              </w:rPr>
              <w:t>Synchronous invoke_model</w:t>
            </w:r>
          </w:p>
        </w:tc>
      </w:tr>
      <w:tr>
        <w:tc>
          <w:tcPr>
            <w:tcW w:type="dxa" w:w="2304"/>
          </w:tcPr>
          <w:p>
            <w:r>
              <w:rPr>
                <w:sz w:val="20"/>
              </w:rPr>
              <w:t>Document → structured claims</w:t>
            </w:r>
          </w:p>
        </w:tc>
        <w:tc>
          <w:tcPr>
            <w:tcW w:type="dxa" w:w="2448"/>
          </w:tcPr>
          <w:p>
            <w:r>
              <w:rPr>
                <w:sz w:val="20"/>
              </w:rPr>
              <w:t>Anthropic Claude Haiku 4.5</w:t>
            </w:r>
          </w:p>
        </w:tc>
        <w:tc>
          <w:tcPr>
            <w:tcW w:type="dxa" w:w="3168"/>
          </w:tcPr>
          <w:p>
            <w:r>
              <w:rPr>
                <w:sz w:val="20"/>
              </w:rPr>
              <w:t>us.anthropic.claude-haiku-4-5-20251001-v1:0</w:t>
            </w:r>
          </w:p>
        </w:tc>
        <w:tc>
          <w:tcPr>
            <w:tcW w:type="dxa" w:w="1440"/>
          </w:tcPr>
          <w:p>
            <w:r>
              <w:rPr>
                <w:sz w:val="20"/>
              </w:rPr>
              <w:t>Synchronous Bedrock invoke</w:t>
            </w:r>
          </w:p>
        </w:tc>
      </w:tr>
    </w:tbl>
    <w:p>
      <w:pPr>
        <w:pStyle w:val="Heading2"/>
      </w:pPr>
      <w:r>
        <w:t>3.2 Pegasus — structured damage extraction</w:t>
      </w:r>
    </w:p>
    <w:p>
      <w:pPr>
        <w:spacing w:after="80"/>
      </w:pPr>
      <w:r>
        <w:rPr>
          <w:b w:val="0"/>
          <w:i w:val="0"/>
          <w:sz w:val="22"/>
        </w:rPr>
        <w:t>Pegasus receives the video by S3 reference (no upload needed beyond S3) and a disaster-type-aware prompt. The prompt is loaded from config/disaster_types.yaml so that the same code path handles tornado, hurricane, flood, wildfire, and earthquake footage — only the focus paragraph and severity vocabulary change.</w:t>
      </w:r>
    </w:p>
    <w:p>
      <w:pPr>
        <w:spacing w:after="80"/>
      </w:pPr>
      <w:r>
        <w:rPr>
          <w:b w:val="0"/>
          <w:i/>
          <w:sz w:val="22"/>
        </w:rPr>
        <w:t>Returned structure (one element shown):</w:t>
      </w:r>
    </w:p>
    <w:p>
      <w:pPr>
        <w:pStyle w:val="CodeBlock"/>
        <w:spacing w:before="40" w:after="160"/>
        <w:ind w:left="360"/>
        <w:shd w:val="clear" w:color="auto" w:fill="F4F4F0"/>
      </w:pPr>
      <w:r>
        <w:rPr>
          <w:rFonts w:ascii="Consolas" w:hAnsi="Consolas"/>
          <w:sz w:val="18"/>
        </w:rPr>
        <w:t>{</w:t>
        <w:br/>
        <w:t xml:space="preserve">  "damage_type":         "structural_collapse | roof_damage | flooding |</w:t>
        <w:br/>
        <w:t xml:space="preserve">                          debris_field | infrastructure_damage |</w:t>
        <w:br/>
        <w:t xml:space="preserve">                          vegetation_damage | window_door_damage |</w:t>
        <w:br/>
        <w:t xml:space="preserve">                          vehicle_damage | fire_damage | erosion | other",</w:t>
        <w:br/>
        <w:t xml:space="preserve">  "severity":            "minor | moderate | severe | destroyed",</w:t>
        <w:br/>
        <w:t xml:space="preserve">  "damage_description":  "free-form visual description, 10-2000 chars",</w:t>
        <w:br/>
        <w:t xml:space="preserve">  "structures_affected": &lt;int, optional&gt;,</w:t>
        <w:br/>
        <w:t xml:space="preserve">  "building_type":       "residential | commercial | industrial |</w:t>
        <w:br/>
        <w:t xml:space="preserve">                          public | infrastructure | unknown",</w:t>
        <w:br/>
        <w:t xml:space="preserve">  "location_indicators": ["text/signs/landmarks visible in frame"],</w:t>
        <w:br/>
        <w:t xml:space="preserve">  "infrastructure_impacts": ["road blocked", "power lines down", ...],</w:t>
        <w:br/>
        <w:t xml:space="preserve">  "visual_evidence_quality": "high | medium | low"</w:t>
        <w:br/>
        <w:t>}</w:t>
      </w:r>
    </w:p>
    <w:p>
      <w:pPr>
        <w:spacing w:after="80"/>
      </w:pPr>
      <w:r>
        <w:rPr>
          <w:b w:val="0"/>
          <w:i w:val="0"/>
          <w:sz w:val="22"/>
        </w:rPr>
        <w:t>The damage_type and severity fields are constrained to enum vocabularies that match the report-side taxonomy exactly — a deliberate alignment so that categorical agreement between video and report can be tested without fuzzy string matching at fusion time.</w:t>
      </w:r>
    </w:p>
    <w:p>
      <w:pPr>
        <w:pStyle w:val="Heading2"/>
      </w:pPr>
      <w:r>
        <w:t>3.3 Marengo — multimodal embeddings (visual + audio)</w:t>
      </w:r>
    </w:p>
    <w:p>
      <w:pPr>
        <w:spacing w:after="80"/>
      </w:pPr>
      <w:r>
        <w:rPr>
          <w:b w:val="0"/>
          <w:i w:val="0"/>
          <w:sz w:val="22"/>
        </w:rPr>
        <w:t>For each video, Marengo is invoked asynchronously and returns one 512-dimensional embedding per ~5–10 second segment, computed independently for the visual and audio modalities. Both modalities are requested explicitly:</w:t>
      </w:r>
    </w:p>
    <w:p>
      <w:pPr>
        <w:pStyle w:val="CodeBlock"/>
        <w:spacing w:before="40" w:after="160"/>
        <w:ind w:left="360"/>
        <w:shd w:val="clear" w:color="auto" w:fill="F4F4F0"/>
      </w:pPr>
      <w:r>
        <w:rPr>
          <w:rFonts w:ascii="Consolas" w:hAnsi="Consolas"/>
          <w:sz w:val="18"/>
        </w:rPr>
        <w:t>modelInput = {</w:t>
        <w:br/>
        <w:t xml:space="preserve">  "inputType": "video",</w:t>
        <w:br/>
        <w:t xml:space="preserve">  "video": {</w:t>
        <w:br/>
        <w:t xml:space="preserve">    "mediaSource": {"s3Location": {"uri": video_uri,</w:t>
        <w:br/>
        <w:t xml:space="preserve">                                    "bucketOwner": account_id}},</w:t>
        <w:br/>
        <w:t xml:space="preserve">    "embeddingOption": ["visual", "audio"],</w:t>
        <w:br/>
        <w:t xml:space="preserve">    "embeddingScope":  ["clip"]</w:t>
        <w:br/>
        <w:t xml:space="preserve">  }</w:t>
        <w:br/>
        <w:t>}</w:t>
      </w:r>
    </w:p>
    <w:p>
      <w:pPr>
        <w:spacing w:after="80"/>
      </w:pPr>
      <w:r>
        <w:rPr>
          <w:b w:val="0"/>
          <w:i w:val="0"/>
          <w:sz w:val="22"/>
        </w:rPr>
        <w:t>Audio embeddings are not decorative: in disaster footage, the audio track often contains operator narration ("this is the back of the restaurant where the roof came off"), local TV reporting, or environmental cues (sirens, generators, running water) that disambiguate scenes the visual stream alone cannot. The fusion engine scores visual and audio independently and reports the best modality per match.</w:t>
      </w:r>
    </w:p>
    <w:p>
      <w:pPr>
        <w:pStyle w:val="Heading2"/>
      </w:pPr>
      <w:r>
        <w:t>3.4 Temporal reasoning</w:t>
      </w:r>
    </w:p>
    <w:p>
      <w:pPr>
        <w:spacing w:after="80"/>
      </w:pPr>
      <w:r>
        <w:rPr>
          <w:b w:val="0"/>
          <w:i w:val="0"/>
          <w:sz w:val="22"/>
        </w:rPr>
        <w:t>Pegasus output is anchored to the source_video and a per-finding (timestamp_start, timestamp_end) interval. Marengo segments are anchored to (start_sec, end_sec). When a Pass A match links a claim to a Marengo segment, the supporting video evidence presented to analysts is the exact second range within the video — an analyst can click a finding on the map and jump to the 12-second clip that supports it.</w:t>
      </w:r>
    </w:p>
    <w:p>
      <w:pPr>
        <w:spacing w:after="80"/>
      </w:pPr>
      <w:r>
        <w:rPr>
          <w:b w:val="0"/>
          <w:i w:val="0"/>
          <w:sz w:val="22"/>
        </w:rPr>
        <w:t>Event-date alignment is handled separately. Each VideoFinding carries an optional capture_date plus capture_date_source (video_metadata, filename, manual, publication_date), and each ReportClaim carries event_date / report_date. Findings whose video capture date falls outside the report's event window are flagged but not silently dropped, allowing the analyst to override.</w:t>
      </w:r>
    </w:p>
    <w:p>
      <w:pPr>
        <w:pStyle w:val="Heading2"/>
      </w:pPr>
      <w:r>
        <w:t>3.5 Validation layer (flag-don't-drop)</w:t>
      </w:r>
    </w:p>
    <w:p>
      <w:pPr>
        <w:spacing w:after="80"/>
      </w:pPr>
      <w:r>
        <w:rPr>
          <w:b w:val="0"/>
          <w:i w:val="0"/>
          <w:sz w:val="22"/>
        </w:rPr>
        <w:t>Pegasus output is validated by src/video_pipeline/validation.py before it leaves the ingest stage. Validation enforces enum membership, description length (10-2000 chars), non-negative structures_affected, and timestamp sanity. Any finding that fails validation is kept in the output stream with is_valid=False and validation_errors populated — the principle is that judges (and analysts) should be able to see which observations the system distrusts rather than have them silently disappear.</w:t>
      </w:r>
    </w:p>
    <w:p>
      <w:r>
        <w:br w:type="page"/>
      </w:r>
    </w:p>
    <w:p>
      <w:pPr>
        <w:pStyle w:val="Heading1"/>
      </w:pPr>
      <w:r>
        <w:t>4. Structured Data Handling</w:t>
      </w:r>
    </w:p>
    <w:p>
      <w:pPr>
        <w:spacing w:after="80"/>
      </w:pPr>
      <w:r>
        <w:rPr>
          <w:b w:val="0"/>
          <w:i w:val="0"/>
          <w:sz w:val="22"/>
        </w:rPr>
        <w:t>DisasterFusion ingests text-based reports in five formats: PDF, DOCX, JSON, plain text, and remote URLs. All five paths converge on a single output type — List[ReportClaim] — so that the fusion engine never sees the source format.</w:t>
      </w:r>
    </w:p>
    <w:p>
      <w:pPr>
        <w:pStyle w:val="Heading2"/>
      </w:pPr>
      <w:r>
        <w:t>4.1 Format support and parsing strategy</w:t>
      </w:r>
    </w:p>
    <w:tbl>
      <w:tblPr>
        <w:tblStyle w:val="LightGrid-Accent1"/>
        <w:tblW w:type="auto" w:w="0"/>
        <w:tblLook w:firstColumn="1" w:firstRow="1" w:lastColumn="0" w:lastRow="0" w:noHBand="0" w:noVBand="1" w:val="04A0"/>
      </w:tblPr>
      <w:tblGrid>
        <w:gridCol w:w="3249"/>
        <w:gridCol w:w="3249"/>
        <w:gridCol w:w="3249"/>
      </w:tblGrid>
      <w:tr>
        <w:tc>
          <w:tcPr>
            <w:tcW w:type="dxa" w:w="1728"/>
            <w:shd w:val="clear" w:color="auto" w:fill="1A3A5C"/>
          </w:tcPr>
          <w:p>
            <w:r/>
            <w:r>
              <w:rPr>
                <w:b/>
                <w:color w:val="FFFFFF"/>
                <w:sz w:val="20"/>
              </w:rPr>
              <w:t>Input format</w:t>
            </w:r>
          </w:p>
        </w:tc>
        <w:tc>
          <w:tcPr>
            <w:tcW w:type="dxa" w:w="2304"/>
            <w:shd w:val="clear" w:color="auto" w:fill="1A3A5C"/>
          </w:tcPr>
          <w:p>
            <w:r/>
            <w:r>
              <w:rPr>
                <w:b/>
                <w:color w:val="FFFFFF"/>
                <w:sz w:val="20"/>
              </w:rPr>
              <w:t>Path</w:t>
            </w:r>
          </w:p>
        </w:tc>
        <w:tc>
          <w:tcPr>
            <w:tcW w:type="dxa" w:w="5760"/>
            <w:shd w:val="clear" w:color="auto" w:fill="1A3A5C"/>
          </w:tcPr>
          <w:p>
            <w:r/>
            <w:r>
              <w:rPr>
                <w:b/>
                <w:color w:val="FFFFFF"/>
                <w:sz w:val="20"/>
              </w:rPr>
              <w:t>Parsing strategy</w:t>
            </w:r>
          </w:p>
        </w:tc>
      </w:tr>
      <w:tr>
        <w:tc>
          <w:tcPr>
            <w:tcW w:type="dxa" w:w="1728"/>
          </w:tcPr>
          <w:p>
            <w:r>
              <w:rPr>
                <w:sz w:val="20"/>
              </w:rPr>
              <w:t>PDF</w:t>
            </w:r>
          </w:p>
        </w:tc>
        <w:tc>
          <w:tcPr>
            <w:tcW w:type="dxa" w:w="2304"/>
          </w:tcPr>
          <w:p>
            <w:r>
              <w:rPr>
                <w:sz w:val="20"/>
              </w:rPr>
              <w:t>Native Bedrock multimodal call</w:t>
            </w:r>
          </w:p>
        </w:tc>
        <w:tc>
          <w:tcPr>
            <w:tcW w:type="dxa" w:w="5760"/>
          </w:tcPr>
          <w:p>
            <w:r>
              <w:rPr>
                <w:sz w:val="20"/>
              </w:rPr>
              <w:t>Raw bytes are sent to Claude Haiku 4.5 inline; Claude reads the document as a multimodal input and emits structured claims directly. No OCR, no page splitter, no PDF library.</w:t>
            </w:r>
          </w:p>
        </w:tc>
      </w:tr>
      <w:tr>
        <w:tc>
          <w:tcPr>
            <w:tcW w:type="dxa" w:w="1728"/>
          </w:tcPr>
          <w:p>
            <w:r>
              <w:rPr>
                <w:sz w:val="20"/>
              </w:rPr>
              <w:t>DOCX</w:t>
            </w:r>
          </w:p>
        </w:tc>
        <w:tc>
          <w:tcPr>
            <w:tcW w:type="dxa" w:w="2304"/>
          </w:tcPr>
          <w:p>
            <w:r>
              <w:rPr>
                <w:sz w:val="20"/>
              </w:rPr>
              <w:t>Zip + regex extraction → Claude</w:t>
            </w:r>
          </w:p>
        </w:tc>
        <w:tc>
          <w:tcPr>
            <w:tcW w:type="dxa" w:w="5760"/>
          </w:tcPr>
          <w:p>
            <w:r>
              <w:rPr>
                <w:sz w:val="20"/>
              </w:rPr>
              <w:t>DOCX is unzipped in memory; document.xml text runs are pulled with regex; the recovered text is sent to Claude with the same extraction prompt as PDF.</w:t>
            </w:r>
          </w:p>
        </w:tc>
      </w:tr>
      <w:tr>
        <w:tc>
          <w:tcPr>
            <w:tcW w:type="dxa" w:w="1728"/>
          </w:tcPr>
          <w:p>
            <w:r>
              <w:rPr>
                <w:sz w:val="20"/>
              </w:rPr>
              <w:t>JSON</w:t>
            </w:r>
          </w:p>
        </w:tc>
        <w:tc>
          <w:tcPr>
            <w:tcW w:type="dxa" w:w="2304"/>
          </w:tcPr>
          <w:p>
            <w:r>
              <w:rPr>
                <w:sz w:val="20"/>
              </w:rPr>
              <w:t>Direct load</w:t>
            </w:r>
          </w:p>
        </w:tc>
        <w:tc>
          <w:tcPr>
            <w:tcW w:type="dxa" w:w="5760"/>
          </w:tcPr>
          <w:p>
            <w:r>
              <w:rPr>
                <w:sz w:val="20"/>
              </w:rPr>
              <w:t>Pre-structured ReportClaim arrays bypass LLM extraction entirely (used for trusted feeds such as NWS surveys and county EMA exports).</w:t>
            </w:r>
          </w:p>
        </w:tc>
      </w:tr>
      <w:tr>
        <w:tc>
          <w:tcPr>
            <w:tcW w:type="dxa" w:w="1728"/>
          </w:tcPr>
          <w:p>
            <w:r>
              <w:rPr>
                <w:sz w:val="20"/>
              </w:rPr>
              <w:t>TXT / CSV / MD</w:t>
            </w:r>
          </w:p>
        </w:tc>
        <w:tc>
          <w:tcPr>
            <w:tcW w:type="dxa" w:w="2304"/>
          </w:tcPr>
          <w:p>
            <w:r>
              <w:rPr>
                <w:sz w:val="20"/>
              </w:rPr>
              <w:t>UTF-8 decode → Claude</w:t>
            </w:r>
          </w:p>
        </w:tc>
        <w:tc>
          <w:tcPr>
            <w:tcW w:type="dxa" w:w="5760"/>
          </w:tcPr>
          <w:p>
            <w:r>
              <w:rPr>
                <w:sz w:val="20"/>
              </w:rPr>
              <w:t>Decoded text is sent to Claude; CSVs are recognised by header signature.</w:t>
            </w:r>
          </w:p>
        </w:tc>
      </w:tr>
      <w:tr>
        <w:tc>
          <w:tcPr>
            <w:tcW w:type="dxa" w:w="1728"/>
          </w:tcPr>
          <w:p>
            <w:r>
              <w:rPr>
                <w:sz w:val="20"/>
              </w:rPr>
              <w:t>URL</w:t>
            </w:r>
          </w:p>
        </w:tc>
        <w:tc>
          <w:tcPr>
            <w:tcW w:type="dxa" w:w="2304"/>
          </w:tcPr>
          <w:p>
            <w:r>
              <w:rPr>
                <w:sz w:val="20"/>
              </w:rPr>
              <w:t>httpx fetch → Claude</w:t>
            </w:r>
          </w:p>
        </w:tc>
        <w:tc>
          <w:tcPr>
            <w:tcW w:type="dxa" w:w="5760"/>
          </w:tcPr>
          <w:p>
            <w:r>
              <w:rPr>
                <w:sz w:val="20"/>
              </w:rPr>
              <w:t>Remote articles (e.g. local news coverage) are fetched, stripped to body text by Claude, and parsed in the same call.</w:t>
            </w:r>
          </w:p>
        </w:tc>
      </w:tr>
    </w:tbl>
    <w:p>
      <w:pPr>
        <w:pStyle w:val="Heading2"/>
      </w:pPr>
      <w:r>
        <w:t>4.2 Why LLM-based extraction over format-specific parsers</w:t>
      </w:r>
    </w:p>
    <w:p>
      <w:pPr>
        <w:spacing w:after="80"/>
      </w:pPr>
      <w:r>
        <w:rPr>
          <w:b w:val="0"/>
          <w:i w:val="0"/>
          <w:sz w:val="22"/>
        </w:rPr>
        <w:t>Damage reports are written by humans for humans. FEMA Preliminary Damage Assessments, NWS storm surveys, county press releases, and local news articles all describe the same kind of facts — what was damaged, where, how badly — but in wildly different layouts and vocabularies. Writing a parser per format is high-effort and brittle. Instead, DisasterFusion uses a single Claude prompt that defines the target schema (damage_type, severity, location_name, etc.) and lets the model handle the format diversity. The cost is one Bedrock call per document; the benefit is that adding a new report source means adding zero code.</w:t>
      </w:r>
    </w:p>
    <w:p>
      <w:pPr>
        <w:pStyle w:val="Heading2"/>
      </w:pPr>
      <w:r>
        <w:t>4.3 Extraction schema</w:t>
      </w:r>
    </w:p>
    <w:p>
      <w:pPr>
        <w:spacing w:after="80"/>
      </w:pPr>
      <w:r>
        <w:rPr>
          <w:b w:val="0"/>
          <w:i/>
          <w:sz w:val="22"/>
        </w:rPr>
        <w:t>Every parsed document yields zero or more ReportClaims of this shape:</w:t>
      </w:r>
    </w:p>
    <w:p>
      <w:pPr>
        <w:pStyle w:val="CodeBlock"/>
        <w:spacing w:before="40" w:after="160"/>
        <w:ind w:left="360"/>
        <w:shd w:val="clear" w:color="auto" w:fill="F4F4F0"/>
      </w:pPr>
      <w:r>
        <w:rPr>
          <w:rFonts w:ascii="Consolas" w:hAnsi="Consolas"/>
          <w:sz w:val="18"/>
        </w:rPr>
        <w:t>{</w:t>
        <w:br/>
        <w:t xml:space="preserve">  "claim_id":            "rc-001",</w:t>
        <w:br/>
        <w:t xml:space="preserve">  "source_document":     "grafton_news_first_alert.html",</w:t>
        <w:br/>
        <w:t xml:space="preserve">  "source_type":         "fema_pda | fema_pw | nws_survey |</w:t>
        <w:br/>
        <w:t xml:space="preserve">                          county_ema | news_report | city_report | other",</w:t>
        <w:br/>
        <w:t xml:space="preserve">  "location_name":       "Drifters Eats and Drinks, Main Street",</w:t>
        <w:br/>
        <w:t xml:space="preserve">  "county_parish":       "Jersey County",</w:t>
        <w:br/>
        <w:t xml:space="preserve">  "state":               "Illinois",</w:t>
        <w:br/>
        <w:t xml:space="preserve">  "damage_type":         "&lt;same enum as VideoFinding&gt;",</w:t>
        <w:br/>
        <w:t xml:space="preserve">  "severity":            "&lt;same enum as VideoFinding&gt;",</w:t>
        <w:br/>
        <w:t xml:space="preserve">  "damage_description":  "Back roof completely removed ...",</w:t>
        <w:br/>
        <w:t xml:space="preserve">  "building_type":       "&lt;same enum as VideoFinding&gt;",</w:t>
        <w:br/>
        <w:t xml:space="preserve">  "building_name":       "Drifters Eats and Drinks",</w:t>
        <w:br/>
        <w:t xml:space="preserve">  "structures_affected": 1,</w:t>
        <w:br/>
        <w:t xml:space="preserve">  "cost_estimate":       null,</w:t>
        <w:br/>
        <w:t xml:space="preserve">  "ef_rating":           "EF1",</w:t>
        <w:br/>
        <w:t xml:space="preserve">  "event_date":          "2026-03-11",</w:t>
        <w:br/>
        <w:t xml:space="preserve">  "report_date":         "2026-03-12",</w:t>
        <w:br/>
        <w:t xml:space="preserve">  "operational_status":  "closed | partially_open | open | null",</w:t>
        <w:br/>
        <w:t xml:space="preserve">  "is_valid":            true,</w:t>
        <w:br/>
        <w:t xml:space="preserve">  "validation_errors":   []</w:t>
        <w:br/>
        <w:t>}</w:t>
      </w:r>
    </w:p>
    <w:p>
      <w:pPr>
        <w:spacing w:after="80"/>
      </w:pPr>
      <w:r>
        <w:rPr>
          <w:b w:val="0"/>
          <w:i w:val="0"/>
          <w:sz w:val="22"/>
        </w:rPr>
        <w:t>The damage_type, severity, and building_type enums are identical to those produced by Pegasus on the video side. This shared vocabulary is the foundation of categorical agreement scoring at fusion time — without it, every comparison would require synonym tables.</w:t>
      </w:r>
    </w:p>
    <w:p>
      <w:pPr>
        <w:pStyle w:val="Heading2"/>
      </w:pPr>
      <w:r>
        <w:t>4.4 Geospatial reference data (DB design)</w:t>
      </w:r>
    </w:p>
    <w:p>
      <w:pPr>
        <w:spacing w:after="80"/>
      </w:pPr>
      <w:r>
        <w:rPr>
          <w:b w:val="0"/>
          <w:i w:val="0"/>
          <w:sz w:val="22"/>
        </w:rPr>
        <w:t>The geocoding subsystem treats the public Overture Maps release as the system of record for places, divisions (county/parish), and regions (state). The data is queried in place from S3 as Parquet, using DuckDB; no local database server is provisioned, no records are copied, and no schema is owned by the project.</w:t>
      </w:r>
    </w:p>
    <w:tbl>
      <w:tblPr>
        <w:tblStyle w:val="LightGrid-Accent1"/>
        <w:tblW w:type="auto" w:w="0"/>
        <w:tblLook w:firstColumn="1" w:firstRow="1" w:lastColumn="0" w:lastRow="0" w:noHBand="0" w:noVBand="1" w:val="04A0"/>
      </w:tblPr>
      <w:tblGrid>
        <w:gridCol w:w="4873"/>
        <w:gridCol w:w="4873"/>
      </w:tblGrid>
      <w:tr>
        <w:tc>
          <w:tcPr>
            <w:tcW w:type="dxa" w:w="2448"/>
            <w:shd w:val="clear" w:color="auto" w:fill="1A3A5C"/>
          </w:tcPr>
          <w:p>
            <w:r/>
            <w:r>
              <w:rPr>
                <w:b/>
                <w:color w:val="FFFFFF"/>
                <w:sz w:val="20"/>
              </w:rPr>
              <w:t>Aspect</w:t>
            </w:r>
          </w:p>
        </w:tc>
        <w:tc>
          <w:tcPr>
            <w:tcW w:type="dxa" w:w="7488"/>
            <w:shd w:val="clear" w:color="auto" w:fill="1A3A5C"/>
          </w:tcPr>
          <w:p>
            <w:r/>
            <w:r>
              <w:rPr>
                <w:b/>
                <w:color w:val="FFFFFF"/>
                <w:sz w:val="20"/>
              </w:rPr>
              <w:t>Choice</w:t>
            </w:r>
          </w:p>
        </w:tc>
      </w:tr>
      <w:tr>
        <w:tc>
          <w:tcPr>
            <w:tcW w:type="dxa" w:w="2448"/>
          </w:tcPr>
          <w:p>
            <w:r>
              <w:rPr>
                <w:sz w:val="20"/>
              </w:rPr>
              <w:t>Source</w:t>
            </w:r>
          </w:p>
        </w:tc>
        <w:tc>
          <w:tcPr>
            <w:tcW w:type="dxa" w:w="7488"/>
          </w:tcPr>
          <w:p>
            <w:r>
              <w:rPr>
                <w:sz w:val="20"/>
              </w:rPr>
              <w:t>Overture Maps public release (s3://overturemaps-us-west-2/release/&lt;YYYY-MM-DD.X&gt;/)</w:t>
            </w:r>
          </w:p>
        </w:tc>
      </w:tr>
      <w:tr>
        <w:tc>
          <w:tcPr>
            <w:tcW w:type="dxa" w:w="2448"/>
          </w:tcPr>
          <w:p>
            <w:r>
              <w:rPr>
                <w:sz w:val="20"/>
              </w:rPr>
              <w:t>Engine</w:t>
            </w:r>
          </w:p>
        </w:tc>
        <w:tc>
          <w:tcPr>
            <w:tcW w:type="dxa" w:w="7488"/>
          </w:tcPr>
          <w:p>
            <w:r>
              <w:rPr>
                <w:sz w:val="20"/>
              </w:rPr>
              <w:t>DuckDB (in-process; reads Parquet directly from S3)</w:t>
            </w:r>
          </w:p>
        </w:tc>
      </w:tr>
      <w:tr>
        <w:tc>
          <w:tcPr>
            <w:tcW w:type="dxa" w:w="2448"/>
          </w:tcPr>
          <w:p>
            <w:r>
              <w:rPr>
                <w:sz w:val="20"/>
              </w:rPr>
              <w:t>Tables used</w:t>
            </w:r>
          </w:p>
        </w:tc>
        <w:tc>
          <w:tcPr>
            <w:tcW w:type="dxa" w:w="7488"/>
          </w:tcPr>
          <w:p>
            <w:r>
              <w:rPr>
                <w:sz w:val="20"/>
              </w:rPr>
              <w:t>places, divisions (subtype=county), divisions (subtype=region)</w:t>
            </w:r>
          </w:p>
        </w:tc>
      </w:tr>
      <w:tr>
        <w:tc>
          <w:tcPr>
            <w:tcW w:type="dxa" w:w="2448"/>
          </w:tcPr>
          <w:p>
            <w:r>
              <w:rPr>
                <w:sz w:val="20"/>
              </w:rPr>
              <w:t>Pinned release</w:t>
            </w:r>
          </w:p>
        </w:tc>
        <w:tc>
          <w:tcPr>
            <w:tcW w:type="dxa" w:w="7488"/>
          </w:tcPr>
          <w:p>
            <w:r>
              <w:rPr>
                <w:sz w:val="20"/>
              </w:rPr>
              <w:t>2026-04-15.0 (declared in src/report_parser/geocoder.py for reproducibility)</w:t>
            </w:r>
          </w:p>
        </w:tc>
      </w:tr>
      <w:tr>
        <w:tc>
          <w:tcPr>
            <w:tcW w:type="dxa" w:w="2448"/>
          </w:tcPr>
          <w:p>
            <w:r>
              <w:rPr>
                <w:sz w:val="20"/>
              </w:rPr>
              <w:t>Caching</w:t>
            </w:r>
          </w:p>
        </w:tc>
        <w:tc>
          <w:tcPr>
            <w:tcW w:type="dxa" w:w="7488"/>
          </w:tcPr>
          <w:p>
            <w:r>
              <w:rPr>
                <w:sz w:val="20"/>
              </w:rPr>
              <w:t>DuckDB query result cache per process; no on-disk index</w:t>
            </w:r>
          </w:p>
        </w:tc>
      </w:tr>
      <w:tr>
        <w:tc>
          <w:tcPr>
            <w:tcW w:type="dxa" w:w="2448"/>
          </w:tcPr>
          <w:p>
            <w:r>
              <w:rPr>
                <w:sz w:val="20"/>
              </w:rPr>
              <w:t>Access mode</w:t>
            </w:r>
          </w:p>
        </w:tc>
        <w:tc>
          <w:tcPr>
            <w:tcW w:type="dxa" w:w="7488"/>
          </w:tcPr>
          <w:p>
            <w:r>
              <w:rPr>
                <w:sz w:val="20"/>
              </w:rPr>
              <w:t>Read-only; DisasterFusion never writes back</w:t>
            </w:r>
          </w:p>
        </w:tc>
      </w:tr>
    </w:tbl>
    <w:p>
      <w:pPr>
        <w:spacing w:after="80"/>
      </w:pPr>
      <w:r>
        <w:rPr>
          <w:b w:val="0"/>
          <w:i w:val="0"/>
          <w:sz w:val="22"/>
        </w:rPr>
        <w:t>Querying Overture in place avoids two common failure modes for hackathon geocoding stacks: a Nominatim instance that rate-limits under load, or a Postgres+PostGIS deployment that needs to be installed, populated, and indexed before fusion can run. DuckDB-on-Parquet gives the system production-realistic geocoding with zero infrastructure.</w:t>
      </w:r>
    </w:p>
    <w:p>
      <w:pPr>
        <w:pStyle w:val="Heading2"/>
      </w:pPr>
      <w:r>
        <w:t>4.5 Tabular intermediates</w:t>
      </w:r>
    </w:p>
    <w:p>
      <w:pPr>
        <w:spacing w:after="80"/>
      </w:pPr>
      <w:r>
        <w:rPr>
          <w:b w:val="0"/>
          <w:i w:val="0"/>
          <w:sz w:val="22"/>
        </w:rPr>
        <w:t>Every pipeline stage persists its output as JSON in data/processed/, named with the run prefix (for the worked example, *_grafton.json). This makes the system inspectable end-to-end — pegasus_raw → video_findings → video_segments → marengo_job → report_claims → pass_a_matches → fused_findings → master_findings — and any single stage can be re-run without re-running the others. Final exports to GeoJSON and CSV are produced by src/output/frontend_schema.py and the GeoJSON endpoint; both are flat tabular formats suitable for direct import into ArcGIS, QGIS, Excel, or pandas.</w:t>
      </w:r>
    </w:p>
    <w:p>
      <w:r>
        <w:br w:type="page"/>
      </w:r>
    </w:p>
    <w:p>
      <w:pPr>
        <w:pStyle w:val="Heading1"/>
      </w:pPr>
      <w:r>
        <w:t>5. Correlation Methodology</w:t>
      </w:r>
    </w:p>
    <w:p>
      <w:pPr>
        <w:spacing w:after="80"/>
      </w:pPr>
      <w:r>
        <w:rPr>
          <w:b w:val="0"/>
          <w:i w:val="0"/>
          <w:sz w:val="22"/>
        </w:rPr>
        <w:t>Fusion is a two-pass process. Pass A is cheap and broad — it uses Marengo embeddings to find which video segments any given claim most resembles. Pass B is detailed and explainable — for each (video finding, report claim) pair, it scores categorical, spatial, and textual signals into a transparent confidence and a final classification. Splitting the work this way keeps the combinatorial cost manageable (Pass A pre-filters Pass B's candidate set) and keeps the explanation surface human-readable.</w:t>
      </w:r>
    </w:p>
    <w:p>
      <w:pPr>
        <w:pStyle w:val="Heading2"/>
      </w:pPr>
      <w:r>
        <w:t>5.1 Pass A — claim-to-segment cosine match (semantic alignment)</w:t>
      </w:r>
    </w:p>
    <w:p>
      <w:pPr>
        <w:spacing w:after="80"/>
      </w:pPr>
      <w:r>
        <w:rPr>
          <w:b w:val="0"/>
          <w:i w:val="0"/>
          <w:sz w:val="22"/>
        </w:rPr>
        <w:t>For each report claim, the parser builds a short visual-language description ("damaged commercial roof, debris in parking lot") and embeds it via Marengo's synchronous text endpoint. The result is a 512-dimensional vector that lives in the same space as the video segment embeddings produced asynchronously during ingest. Cosine similarity is then computed between the claim vector and every segment embedding, separately for the visual and audio modalities.</w:t>
      </w:r>
    </w:p>
    <w:p>
      <w:pPr>
        <w:pStyle w:val="CodeBlock"/>
        <w:spacing w:before="40" w:after="160"/>
        <w:ind w:left="360"/>
        <w:shd w:val="clear" w:color="auto" w:fill="F4F4F0"/>
      </w:pPr>
      <w:r>
        <w:rPr>
          <w:rFonts w:ascii="Consolas" w:hAnsi="Consolas"/>
          <w:sz w:val="18"/>
        </w:rPr>
        <w:t>top_k_visual = top_k(</w:t>
        <w:br/>
        <w:t xml:space="preserve">    cosine(claim_vec, [s.embedding for s in segments if s.modality=="visual"]),</w:t>
        <w:br/>
        <w:t xml:space="preserve">    threshold=0.05,  # Marengo cross-modal cosines are smaller than text-text</w:t>
        <w:br/>
        <w:t xml:space="preserve">    k=5</w:t>
        <w:br/>
        <w:t>)</w:t>
        <w:br/>
        <w:t>top_k_audio  = top_k(</w:t>
        <w:br/>
        <w:t xml:space="preserve">    cosine(claim_vec, [s.embedding for s in segments if s.modality=="audio"]),</w:t>
        <w:br/>
        <w:t xml:space="preserve">    threshold=0.03,</w:t>
        <w:br/>
        <w:t xml:space="preserve">    k=5</w:t>
        <w:br/>
        <w:t>)</w:t>
      </w:r>
    </w:p>
    <w:p>
      <w:pPr>
        <w:spacing w:after="80"/>
      </w:pPr>
      <w:r>
        <w:rPr>
          <w:b w:val="0"/>
          <w:i w:val="0"/>
          <w:sz w:val="22"/>
        </w:rPr>
        <w:t>Threshold values (visual 0.05, audio 0.03) are calibrated for Marengo's cross-modal cosine distribution rather than text-to-text cosine, where typical thresholds are an order of magnitude higher. These values are externalised in config/thresholds.yaml so they can be retuned without code changes.</w:t>
      </w:r>
    </w:p>
    <w:p>
      <w:pPr>
        <w:spacing w:after="80"/>
      </w:pPr>
      <w:r>
        <w:rPr>
          <w:b w:val="0"/>
          <w:i w:val="0"/>
          <w:sz w:val="22"/>
        </w:rPr>
        <w:t>Pass A's output is a {claim_id → ranked segment list, per modality} map plus per-claim stats (visual_max, audio_max, best_modality, count_above_threshold). It does not classify anything; it produces evidence that Pass B will use.</w:t>
      </w:r>
    </w:p>
    <w:p>
      <w:pPr>
        <w:pStyle w:val="Heading2"/>
      </w:pPr>
      <w:r>
        <w:t>5.2 Pass B — tiered (video finding × report claim) matcher</w:t>
      </w:r>
    </w:p>
    <w:p>
      <w:pPr>
        <w:spacing w:after="80"/>
      </w:pPr>
      <w:r>
        <w:rPr>
          <w:b w:val="0"/>
          <w:i w:val="0"/>
          <w:sz w:val="22"/>
        </w:rPr>
        <w:t>Pass B is the explainability layer. For every pair of (video_finding, report_claim) it computes a score from two tiers of signals.</w:t>
      </w:r>
    </w:p>
    <w:p>
      <w:pPr>
        <w:pStyle w:val="Heading3"/>
      </w:pPr>
      <w:r>
        <w:t>Tier 1 — strong signals (raise the confidence floor)</w:t>
      </w:r>
    </w:p>
    <w:tbl>
      <w:tblPr>
        <w:tblStyle w:val="LightGrid-Accent1"/>
        <w:tblW w:type="auto" w:w="0"/>
        <w:tblLook w:firstColumn="1" w:firstRow="1" w:lastColumn="0" w:lastRow="0" w:noHBand="0" w:noVBand="1" w:val="04A0"/>
      </w:tblPr>
      <w:tblGrid>
        <w:gridCol w:w="3249"/>
        <w:gridCol w:w="3249"/>
        <w:gridCol w:w="3249"/>
      </w:tblGrid>
      <w:tr>
        <w:tc>
          <w:tcPr>
            <w:tcW w:type="dxa" w:w="2448"/>
            <w:shd w:val="clear" w:color="auto" w:fill="1A3A5C"/>
          </w:tcPr>
          <w:p>
            <w:r/>
            <w:r>
              <w:rPr>
                <w:b/>
                <w:color w:val="FFFFFF"/>
                <w:sz w:val="20"/>
              </w:rPr>
              <w:t>Signal</w:t>
            </w:r>
          </w:p>
        </w:tc>
        <w:tc>
          <w:tcPr>
            <w:tcW w:type="dxa" w:w="5040"/>
            <w:shd w:val="clear" w:color="auto" w:fill="1A3A5C"/>
          </w:tcPr>
          <w:p>
            <w:r/>
            <w:r>
              <w:rPr>
                <w:b/>
                <w:color w:val="FFFFFF"/>
                <w:sz w:val="20"/>
              </w:rPr>
              <w:t>When it fires</w:t>
            </w:r>
          </w:p>
        </w:tc>
        <w:tc>
          <w:tcPr>
            <w:tcW w:type="dxa" w:w="2016"/>
            <w:shd w:val="clear" w:color="auto" w:fill="1A3A5C"/>
          </w:tcPr>
          <w:p>
            <w:r/>
            <w:r>
              <w:rPr>
                <w:b/>
                <w:color w:val="FFFFFF"/>
                <w:sz w:val="20"/>
              </w:rPr>
              <w:t>Floor it imposes</w:t>
            </w:r>
          </w:p>
        </w:tc>
      </w:tr>
      <w:tr>
        <w:tc>
          <w:tcPr>
            <w:tcW w:type="dxa" w:w="2448"/>
          </w:tcPr>
          <w:p>
            <w:r>
              <w:rPr>
                <w:sz w:val="20"/>
              </w:rPr>
              <w:t>Building name match</w:t>
            </w:r>
          </w:p>
        </w:tc>
        <w:tc>
          <w:tcPr>
            <w:tcW w:type="dxa" w:w="5040"/>
          </w:tcPr>
          <w:p>
            <w:r>
              <w:rPr>
                <w:sz w:val="20"/>
              </w:rPr>
              <w:t>claim.building_name and finding.building_name share a normalised substring</w:t>
            </w:r>
          </w:p>
        </w:tc>
        <w:tc>
          <w:tcPr>
            <w:tcW w:type="dxa" w:w="2016"/>
          </w:tcPr>
          <w:p>
            <w:r>
              <w:rPr>
                <w:sz w:val="20"/>
              </w:rPr>
              <w:t>0.85</w:t>
            </w:r>
          </w:p>
        </w:tc>
      </w:tr>
      <w:tr>
        <w:tc>
          <w:tcPr>
            <w:tcW w:type="dxa" w:w="2448"/>
          </w:tcPr>
          <w:p>
            <w:r>
              <w:rPr>
                <w:sz w:val="20"/>
              </w:rPr>
              <w:t>Spatial proximity ≤ 200 m</w:t>
            </w:r>
          </w:p>
        </w:tc>
        <w:tc>
          <w:tcPr>
            <w:tcW w:type="dxa" w:w="5040"/>
          </w:tcPr>
          <w:p>
            <w:r>
              <w:rPr>
                <w:sz w:val="20"/>
              </w:rPr>
              <w:t>haversine(claim, finding) ≤ 200 m</w:t>
            </w:r>
          </w:p>
        </w:tc>
        <w:tc>
          <w:tcPr>
            <w:tcW w:type="dxa" w:w="2016"/>
          </w:tcPr>
          <w:p>
            <w:r>
              <w:rPr>
                <w:sz w:val="20"/>
              </w:rPr>
              <w:t>0.80, decaying linearly to 0 at 2 km</w:t>
            </w:r>
          </w:p>
        </w:tc>
      </w:tr>
    </w:tbl>
    <w:p>
      <w:pPr>
        <w:spacing w:after="80"/>
      </w:pPr>
      <w:r>
        <w:rPr>
          <w:b w:val="0"/>
          <w:i w:val="0"/>
          <w:sz w:val="22"/>
        </w:rPr>
        <w:t>Tier 1 floors are deliberately high because the signals themselves are high-precision: two sources independently naming "Drifters Eats and Drinks", or co-locating a damage observation within 200 metres, is rarely coincidence.</w:t>
      </w:r>
    </w:p>
    <w:p>
      <w:pPr>
        <w:pStyle w:val="Heading3"/>
      </w:pPr>
      <w:r>
        <w:t>Tier 2 — medium signals (weighted blend)</w:t>
      </w:r>
    </w:p>
    <w:tbl>
      <w:tblPr>
        <w:tblStyle w:val="LightGrid-Accent1"/>
        <w:tblW w:type="auto" w:w="0"/>
        <w:tblLook w:firstColumn="1" w:firstRow="1" w:lastColumn="0" w:lastRow="0" w:noHBand="0" w:noVBand="1" w:val="04A0"/>
      </w:tblPr>
      <w:tblGrid>
        <w:gridCol w:w="3249"/>
        <w:gridCol w:w="3249"/>
        <w:gridCol w:w="3249"/>
      </w:tblGrid>
      <w:tr>
        <w:tc>
          <w:tcPr>
            <w:tcW w:type="dxa" w:w="2736"/>
            <w:shd w:val="clear" w:color="auto" w:fill="1A3A5C"/>
          </w:tcPr>
          <w:p>
            <w:r/>
            <w:r>
              <w:rPr>
                <w:b/>
                <w:color w:val="FFFFFF"/>
                <w:sz w:val="20"/>
              </w:rPr>
              <w:t>Signal</w:t>
            </w:r>
          </w:p>
        </w:tc>
        <w:tc>
          <w:tcPr>
            <w:tcW w:type="dxa" w:w="1152"/>
            <w:shd w:val="clear" w:color="auto" w:fill="1A3A5C"/>
          </w:tcPr>
          <w:p>
            <w:r/>
            <w:r>
              <w:rPr>
                <w:b/>
                <w:color w:val="FFFFFF"/>
                <w:sz w:val="20"/>
              </w:rPr>
              <w:t>Weight</w:t>
            </w:r>
          </w:p>
        </w:tc>
        <w:tc>
          <w:tcPr>
            <w:tcW w:type="dxa" w:w="5616"/>
            <w:shd w:val="clear" w:color="auto" w:fill="1A3A5C"/>
          </w:tcPr>
          <w:p>
            <w:r/>
            <w:r>
              <w:rPr>
                <w:b/>
                <w:color w:val="FFFFFF"/>
                <w:sz w:val="20"/>
              </w:rPr>
              <w:t>Score interpretation</w:t>
            </w:r>
          </w:p>
        </w:tc>
      </w:tr>
      <w:tr>
        <w:tc>
          <w:tcPr>
            <w:tcW w:type="dxa" w:w="2736"/>
          </w:tcPr>
          <w:p>
            <w:r>
              <w:rPr>
                <w:sz w:val="20"/>
              </w:rPr>
              <w:t>Damage category match</w:t>
            </w:r>
          </w:p>
        </w:tc>
        <w:tc>
          <w:tcPr>
            <w:tcW w:type="dxa" w:w="1152"/>
          </w:tcPr>
          <w:p>
            <w:r>
              <w:rPr>
                <w:sz w:val="20"/>
              </w:rPr>
              <w:t>0.40</w:t>
            </w:r>
          </w:p>
        </w:tc>
        <w:tc>
          <w:tcPr>
            <w:tcW w:type="dxa" w:w="5616"/>
          </w:tcPr>
          <w:p>
            <w:r>
              <w:rPr>
                <w:sz w:val="20"/>
              </w:rPr>
              <w:t>1.0 if same enum, else 0.0</w:t>
            </w:r>
          </w:p>
        </w:tc>
      </w:tr>
      <w:tr>
        <w:tc>
          <w:tcPr>
            <w:tcW w:type="dxa" w:w="2736"/>
          </w:tcPr>
          <w:p>
            <w:r>
              <w:rPr>
                <w:sz w:val="20"/>
              </w:rPr>
              <w:t>Severity agreement</w:t>
            </w:r>
          </w:p>
        </w:tc>
        <w:tc>
          <w:tcPr>
            <w:tcW w:type="dxa" w:w="1152"/>
          </w:tcPr>
          <w:p>
            <w:r>
              <w:rPr>
                <w:sz w:val="20"/>
              </w:rPr>
              <w:t>0.15</w:t>
            </w:r>
          </w:p>
        </w:tc>
        <w:tc>
          <w:tcPr>
            <w:tcW w:type="dxa" w:w="5616"/>
          </w:tcPr>
          <w:p>
            <w:r>
              <w:rPr>
                <w:sz w:val="20"/>
              </w:rPr>
              <w:t>1.0 same · 0.5 off-by-one · 0.2 off-by-two · 0.0 off-by-three</w:t>
            </w:r>
          </w:p>
        </w:tc>
      </w:tr>
      <w:tr>
        <w:tc>
          <w:tcPr>
            <w:tcW w:type="dxa" w:w="2736"/>
          </w:tcPr>
          <w:p>
            <w:r>
              <w:rPr>
                <w:sz w:val="20"/>
              </w:rPr>
              <w:t>Building type agreement</w:t>
            </w:r>
          </w:p>
        </w:tc>
        <w:tc>
          <w:tcPr>
            <w:tcW w:type="dxa" w:w="1152"/>
          </w:tcPr>
          <w:p>
            <w:r>
              <w:rPr>
                <w:sz w:val="20"/>
              </w:rPr>
              <w:t>0.10</w:t>
            </w:r>
          </w:p>
        </w:tc>
        <w:tc>
          <w:tcPr>
            <w:tcW w:type="dxa" w:w="5616"/>
          </w:tcPr>
          <w:p>
            <w:r>
              <w:rPr>
                <w:sz w:val="20"/>
              </w:rPr>
              <w:t>1.0 same · partial credit for compatible types</w:t>
            </w:r>
          </w:p>
        </w:tc>
      </w:tr>
      <w:tr>
        <w:tc>
          <w:tcPr>
            <w:tcW w:type="dxa" w:w="2736"/>
          </w:tcPr>
          <w:p>
            <w:r>
              <w:rPr>
                <w:sz w:val="20"/>
              </w:rPr>
              <w:t>Text similarity</w:t>
            </w:r>
          </w:p>
        </w:tc>
        <w:tc>
          <w:tcPr>
            <w:tcW w:type="dxa" w:w="1152"/>
          </w:tcPr>
          <w:p>
            <w:r>
              <w:rPr>
                <w:sz w:val="20"/>
              </w:rPr>
              <w:t>0.40</w:t>
            </w:r>
          </w:p>
        </w:tc>
        <w:tc>
          <w:tcPr>
            <w:tcW w:type="dxa" w:w="5616"/>
          </w:tcPr>
          <w:p>
            <w:r>
              <w:rPr>
                <w:sz w:val="20"/>
              </w:rPr>
              <w:t>Marengo-derived cosine (Pass A best score for that pair)</w:t>
            </w:r>
          </w:p>
        </w:tc>
      </w:tr>
    </w:tbl>
    <w:p>
      <w:pPr>
        <w:spacing w:after="80"/>
      </w:pPr>
      <w:r>
        <w:rPr>
          <w:b w:val="0"/>
          <w:i w:val="0"/>
          <w:sz w:val="22"/>
        </w:rPr>
        <w:t>Final pair score = max(tier1_floor, tier2_blend). The use of max rather than sum means a single strong signal can carry a pair, while the tier 2 blend keeps scoring graceful when no strong signal fires.</w:t>
      </w:r>
    </w:p>
    <w:p>
      <w:pPr>
        <w:pStyle w:val="Heading3"/>
      </w:pPr>
      <w:r>
        <w:t>5.3 Classification thresholds</w:t>
      </w:r>
    </w:p>
    <w:tbl>
      <w:tblPr>
        <w:tblStyle w:val="LightGrid-Accent1"/>
        <w:tblW w:type="auto" w:w="0"/>
        <w:tblLook w:firstColumn="1" w:firstRow="1" w:lastColumn="0" w:lastRow="0" w:noHBand="0" w:noVBand="1" w:val="04A0"/>
      </w:tblPr>
      <w:tblGrid>
        <w:gridCol w:w="3249"/>
        <w:gridCol w:w="3249"/>
        <w:gridCol w:w="3249"/>
      </w:tblGrid>
      <w:tr>
        <w:tc>
          <w:tcPr>
            <w:tcW w:type="dxa" w:w="1440"/>
            <w:shd w:val="clear" w:color="auto" w:fill="1A3A5C"/>
          </w:tcPr>
          <w:p>
            <w:r/>
            <w:r>
              <w:rPr>
                <w:b/>
                <w:color w:val="FFFFFF"/>
                <w:sz w:val="20"/>
              </w:rPr>
              <w:t>Score range</w:t>
            </w:r>
          </w:p>
        </w:tc>
        <w:tc>
          <w:tcPr>
            <w:tcW w:type="dxa" w:w="2016"/>
            <w:shd w:val="clear" w:color="auto" w:fill="1A3A5C"/>
          </w:tcPr>
          <w:p>
            <w:r/>
            <w:r>
              <w:rPr>
                <w:b/>
                <w:color w:val="FFFFFF"/>
                <w:sz w:val="20"/>
              </w:rPr>
              <w:t>Classification</w:t>
            </w:r>
          </w:p>
        </w:tc>
        <w:tc>
          <w:tcPr>
            <w:tcW w:type="dxa" w:w="6048"/>
            <w:shd w:val="clear" w:color="auto" w:fill="1A3A5C"/>
          </w:tcPr>
          <w:p>
            <w:r/>
            <w:r>
              <w:rPr>
                <w:b/>
                <w:color w:val="FFFFFF"/>
                <w:sz w:val="20"/>
              </w:rPr>
              <w:t>Meaning</w:t>
            </w:r>
          </w:p>
        </w:tc>
      </w:tr>
      <w:tr>
        <w:tc>
          <w:tcPr>
            <w:tcW w:type="dxa" w:w="1440"/>
          </w:tcPr>
          <w:p>
            <w:r>
              <w:rPr>
                <w:sz w:val="20"/>
              </w:rPr>
              <w:t>≥ 0.50</w:t>
            </w:r>
          </w:p>
        </w:tc>
        <w:tc>
          <w:tcPr>
            <w:tcW w:type="dxa" w:w="2016"/>
          </w:tcPr>
          <w:p>
            <w:r>
              <w:rPr>
                <w:sz w:val="20"/>
              </w:rPr>
              <w:t>Corroborated</w:t>
            </w:r>
          </w:p>
        </w:tc>
        <w:tc>
          <w:tcPr>
            <w:tcW w:type="dxa" w:w="6048"/>
          </w:tcPr>
          <w:p>
            <w:r>
              <w:rPr>
                <w:sz w:val="20"/>
              </w:rPr>
              <w:t>Report and video describe the same damage</w:t>
            </w:r>
          </w:p>
        </w:tc>
      </w:tr>
      <w:tr>
        <w:tc>
          <w:tcPr>
            <w:tcW w:type="dxa" w:w="1440"/>
          </w:tcPr>
          <w:p>
            <w:r>
              <w:rPr>
                <w:sz w:val="20"/>
              </w:rPr>
              <w:t>0.30 – 0.49</w:t>
            </w:r>
          </w:p>
        </w:tc>
        <w:tc>
          <w:tcPr>
            <w:tcW w:type="dxa" w:w="2016"/>
          </w:tcPr>
          <w:p>
            <w:r>
              <w:rPr>
                <w:sz w:val="20"/>
              </w:rPr>
              <w:t>Discrepancy</w:t>
            </w:r>
          </w:p>
        </w:tc>
        <w:tc>
          <w:tcPr>
            <w:tcW w:type="dxa" w:w="6048"/>
          </w:tcPr>
          <w:p>
            <w:r>
              <w:rPr>
                <w:sz w:val="20"/>
              </w:rPr>
              <w:t>Report and video describe related damage but disagree on severity, type, or precise location</w:t>
            </w:r>
          </w:p>
        </w:tc>
      </w:tr>
      <w:tr>
        <w:tc>
          <w:tcPr>
            <w:tcW w:type="dxa" w:w="1440"/>
          </w:tcPr>
          <w:p>
            <w:r>
              <w:rPr>
                <w:sz w:val="20"/>
              </w:rPr>
              <w:t>&lt; 0.30 with a claim</w:t>
            </w:r>
          </w:p>
        </w:tc>
        <w:tc>
          <w:tcPr>
            <w:tcW w:type="dxa" w:w="2016"/>
          </w:tcPr>
          <w:p>
            <w:r>
              <w:rPr>
                <w:sz w:val="20"/>
              </w:rPr>
              <w:t>Unverified</w:t>
            </w:r>
          </w:p>
        </w:tc>
        <w:tc>
          <w:tcPr>
            <w:tcW w:type="dxa" w:w="6048"/>
          </w:tcPr>
          <w:p>
            <w:r>
              <w:rPr>
                <w:sz w:val="20"/>
              </w:rPr>
              <w:t>Report claim has no plausible video support above threshold</w:t>
            </w:r>
          </w:p>
        </w:tc>
      </w:tr>
      <w:tr>
        <w:tc>
          <w:tcPr>
            <w:tcW w:type="dxa" w:w="1440"/>
          </w:tcPr>
          <w:p>
            <w:r>
              <w:rPr>
                <w:sz w:val="20"/>
              </w:rPr>
              <w:t>&lt; 0.30 with no claim</w:t>
            </w:r>
          </w:p>
        </w:tc>
        <w:tc>
          <w:tcPr>
            <w:tcW w:type="dxa" w:w="2016"/>
          </w:tcPr>
          <w:p>
            <w:r>
              <w:rPr>
                <w:sz w:val="20"/>
              </w:rPr>
              <w:t>Unreported</w:t>
            </w:r>
          </w:p>
        </w:tc>
        <w:tc>
          <w:tcPr>
            <w:tcW w:type="dxa" w:w="6048"/>
          </w:tcPr>
          <w:p>
            <w:r>
              <w:rPr>
                <w:sz w:val="20"/>
              </w:rPr>
              <w:t>Video finding has no report claim within reach — surfaced for analyst attention</w:t>
            </w:r>
          </w:p>
        </w:tc>
      </w:tr>
    </w:tbl>
    <w:p>
      <w:pPr>
        <w:pStyle w:val="Heading2"/>
      </w:pPr>
      <w:r>
        <w:t>5.4 Conflict resolution (handling contradictory information)</w:t>
      </w:r>
    </w:p>
    <w:p>
      <w:pPr>
        <w:spacing w:after="80"/>
      </w:pPr>
      <w:r>
        <w:rPr>
          <w:b w:val="0"/>
          <w:i w:val="0"/>
          <w:sz w:val="22"/>
        </w:rPr>
        <w:t>When the system finds a corroboration but the two sources disagree, it does not pick a winner — it emits a discrepancy with both sides preserved. The discrepancy_type field records what kind of mismatch was detected (severity_mismatch, damage_type_mismatch, location_offset) and discrepancy_detail records the human-readable summary. The analyst decides; the system supplies the comparison.</w:t>
      </w:r>
    </w:p>
    <w:p>
      <w:pPr>
        <w:pStyle w:val="Heading2"/>
      </w:pPr>
      <w:r>
        <w:t>5.5 Comparison to single-source analysis</w:t>
      </w:r>
    </w:p>
    <w:p>
      <w:pPr>
        <w:spacing w:after="80"/>
      </w:pPr>
      <w:r>
        <w:rPr>
          <w:b w:val="0"/>
          <w:i w:val="0"/>
          <w:sz w:val="22"/>
        </w:rPr>
        <w:t>Single-source analysis can answer two of the four DisasterFusion classifications: video alone surfaces all observed damage (some of which a corresponding report would have validated), and reports alone surface all claimed damage (some of which video would have invalidated). Neither alone surfaces unreported damage that a report missed, nor unverified claims that footage contradicts. Those two categories — the entire reason emergency-management intelligence cells exist — are emergent from fusion.</w:t>
      </w:r>
    </w:p>
    <w:p>
      <w:r>
        <w:br w:type="page"/>
      </w:r>
    </w:p>
    <w:p>
      <w:pPr>
        <w:pStyle w:val="Heading1"/>
      </w:pPr>
      <w:r>
        <w:t>6. Entity Resolution</w:t>
      </w:r>
    </w:p>
    <w:p>
      <w:pPr>
        <w:spacing w:after="80"/>
      </w:pPr>
      <w:r>
        <w:rPr>
          <w:b w:val="0"/>
          <w:i w:val="0"/>
          <w:sz w:val="22"/>
        </w:rPr>
        <w:t>Entity resolution in DisasterFusion is the question: when two sources mention the same place, asset, or building, how do we know? The system uses three complementary mechanisms — name matching, spatial proximity, and Overture place IDs — and surfaces all three in the evidence chain so that humans can audit any decision.</w:t>
      </w:r>
    </w:p>
    <w:p>
      <w:pPr>
        <w:pStyle w:val="Heading2"/>
      </w:pPr>
      <w:r>
        <w:t>6.1 Name-based matching</w:t>
      </w:r>
    </w:p>
    <w:p>
      <w:pPr>
        <w:spacing w:after="80"/>
      </w:pPr>
      <w:r>
        <w:rPr>
          <w:b w:val="0"/>
          <w:i w:val="0"/>
          <w:sz w:val="22"/>
        </w:rPr>
        <w:t>Both VideoFinding and ReportClaim carry a building_name field whenever a specific named asset is identified. Pegasus extracts business names, building names, and street signs visible in the footage; Claude extracts the same from report text. At Pass B, the two strings are normalised (lowercased, punctuation-stripped, diacritics-folded) and tested for substring overlap. A positive match imposes a confidence floor of 0.85 (Tier 1).</w:t>
      </w:r>
    </w:p>
    <w:p>
      <w:pPr>
        <w:spacing w:after="80"/>
      </w:pPr>
      <w:r>
        <w:rPr>
          <w:b w:val="0"/>
          <w:i w:val="0"/>
          <w:sz w:val="22"/>
        </w:rPr>
        <w:t>Name matching alone is unreliable for generic names ("Main Street Diner" exists in many towns), so it is always confirmed by a second signal — either spatial proximity or matching disaster context.</w:t>
      </w:r>
    </w:p>
    <w:p>
      <w:pPr>
        <w:pStyle w:val="Heading2"/>
      </w:pPr>
      <w:r>
        <w:t>6.2 Spatial matching</w:t>
      </w:r>
    </w:p>
    <w:p>
      <w:pPr>
        <w:spacing w:after="80"/>
      </w:pPr>
      <w:r>
        <w:rPr>
          <w:b w:val="0"/>
          <w:i w:val="0"/>
          <w:sz w:val="22"/>
        </w:rPr>
        <w:t>Coordinates come from three sources. Report claims are geocoded against Overture; high-confidence geocodes have decimal-degree precision. Video findings with onboard GPS metadata carry exact coordinates. Video findings without GPS are placed by the geo simulator (described below) within the disaster zone, with geo_confidence=low. Pass B uses haversine distance to score proximity, and only treats matches under 200 metres as a Tier 1 signal — a deliberately tight radius designed to avoid false positives in dense urban damage clusters.</w:t>
      </w:r>
    </w:p>
    <w:p>
      <w:pPr>
        <w:pStyle w:val="Heading2"/>
      </w:pPr>
      <w:r>
        <w:t>6.3 Overture place IDs as a global key</w:t>
      </w:r>
    </w:p>
    <w:p>
      <w:pPr>
        <w:spacing w:after="80"/>
      </w:pPr>
      <w:r>
        <w:rPr>
          <w:b w:val="0"/>
          <w:i w:val="0"/>
          <w:sz w:val="22"/>
        </w:rPr>
        <w:t>When a report claim is geocoded via the Overture places table (Tier 1 of the geocoder, requiring an exact landmark match), the resolved place's Overture ID is attached to the geocoded claim. The frontend export carries this ID through to the master findings document, which means downstream systems can join DisasterFusion outputs to any other dataset that also references Overture IDs (building footprints, ownership records, etc.).</w:t>
      </w:r>
    </w:p>
    <w:p>
      <w:pPr>
        <w:pStyle w:val="Heading2"/>
      </w:pPr>
      <w:r>
        <w:t>6.4 Geo simulator — placing GPS-less video</w:t>
      </w:r>
    </w:p>
    <w:p>
      <w:pPr>
        <w:spacing w:after="80"/>
      </w:pPr>
      <w:r>
        <w:rPr>
          <w:b w:val="0"/>
          <w:i w:val="0"/>
          <w:sz w:val="22"/>
        </w:rPr>
        <w:t>Most aerial damage footage on the public web does not carry GPS telemetry. DisasterFusion's geo simulator reconstructs plausible coordinates in two steps:</w:t>
      </w:r>
    </w:p>
    <w:p>
      <w:pPr>
        <w:pStyle w:val="ListNumber"/>
        <w:spacing w:after="40"/>
        <w:ind w:left="360"/>
      </w:pPr>
      <w:r>
        <w:t>Claude is given the concatenated descriptions from all video findings plus an optional region hint and asked to identify the disaster's primary location, named landmarks, area type (rural / suburban / urban / coastal), an estimated centre point, and a confidence score.</w:t>
      </w:r>
    </w:p>
    <w:p>
      <w:pPr>
        <w:pStyle w:val="ListNumber"/>
        <w:spacing w:after="40"/>
        <w:ind w:left="360"/>
      </w:pPr>
      <w:r>
        <w:t>Findings are then scattered around that centre via a Gaussian distribution (σ = spread/2). Findings whose descriptions mention a named landmark are snapped to that landmark's coordinates with small jitter, so corroborated pairs end up within Pass B's 200 m proximity radius without being identical.</w:t>
      </w:r>
    </w:p>
    <w:p>
      <w:pPr>
        <w:spacing w:after="80"/>
      </w:pPr>
      <w:r>
        <w:rPr>
          <w:b w:val="0"/>
          <w:i w:val="0"/>
          <w:sz w:val="22"/>
        </w:rPr>
        <w:t>Every simulated coordinate is tagged with geo_method = "simulated_within_disaster_zone" and geo_confidence = "low". Downstream consumers — including the map and the alert engine — can filter on these tags. The simulator is reproducible: it accepts a numpy seed and produces identical coordinates across runs. For the Grafton worked example, the simulator placed 27 findings within a 0.04° × 0.06° lat/lon window centred on Grafton, IL.</w:t>
      </w:r>
    </w:p>
    <w:p>
      <w:pPr>
        <w:pStyle w:val="Heading2"/>
      </w:pPr>
      <w:r>
        <w:t>6.5 Three-tier geocoding fallback</w:t>
      </w:r>
    </w:p>
    <w:tbl>
      <w:tblPr>
        <w:tblStyle w:val="LightGrid-Accent1"/>
        <w:tblW w:type="auto" w:w="0"/>
        <w:tblLook w:firstColumn="1" w:firstRow="1" w:lastColumn="0" w:lastRow="0" w:noHBand="0" w:noVBand="1" w:val="04A0"/>
      </w:tblPr>
      <w:tblGrid>
        <w:gridCol w:w="2436"/>
        <w:gridCol w:w="2436"/>
        <w:gridCol w:w="2436"/>
        <w:gridCol w:w="2436"/>
      </w:tblGrid>
      <w:tr>
        <w:tc>
          <w:tcPr>
            <w:tcW w:type="dxa" w:w="720"/>
            <w:shd w:val="clear" w:color="auto" w:fill="1A3A5C"/>
          </w:tcPr>
          <w:p>
            <w:r/>
            <w:r>
              <w:rPr>
                <w:b/>
                <w:color w:val="FFFFFF"/>
                <w:sz w:val="20"/>
              </w:rPr>
              <w:t>Tier</w:t>
            </w:r>
          </w:p>
        </w:tc>
        <w:tc>
          <w:tcPr>
            <w:tcW w:type="dxa" w:w="3744"/>
            <w:shd w:val="clear" w:color="auto" w:fill="1A3A5C"/>
          </w:tcPr>
          <w:p>
            <w:r/>
            <w:r>
              <w:rPr>
                <w:b/>
                <w:color w:val="FFFFFF"/>
                <w:sz w:val="20"/>
              </w:rPr>
              <w:t>Strategy</w:t>
            </w:r>
          </w:p>
        </w:tc>
        <w:tc>
          <w:tcPr>
            <w:tcW w:type="dxa" w:w="2304"/>
            <w:shd w:val="clear" w:color="auto" w:fill="1A3A5C"/>
          </w:tcPr>
          <w:p>
            <w:r/>
            <w:r>
              <w:rPr>
                <w:b/>
                <w:color w:val="FFFFFF"/>
                <w:sz w:val="20"/>
              </w:rPr>
              <w:t>Overture table</w:t>
            </w:r>
          </w:p>
        </w:tc>
        <w:tc>
          <w:tcPr>
            <w:tcW w:type="dxa" w:w="2160"/>
            <w:shd w:val="clear" w:color="auto" w:fill="1A3A5C"/>
          </w:tcPr>
          <w:p>
            <w:r/>
            <w:r>
              <w:rPr>
                <w:b/>
                <w:color w:val="FFFFFF"/>
                <w:sz w:val="20"/>
              </w:rPr>
              <w:t>Resulting confidence</w:t>
            </w:r>
          </w:p>
        </w:tc>
      </w:tr>
      <w:tr>
        <w:tc>
          <w:tcPr>
            <w:tcW w:type="dxa" w:w="720"/>
          </w:tcPr>
          <w:p>
            <w:r>
              <w:rPr>
                <w:sz w:val="20"/>
              </w:rPr>
              <w:t>1</w:t>
            </w:r>
          </w:p>
        </w:tc>
        <w:tc>
          <w:tcPr>
            <w:tcW w:type="dxa" w:w="3744"/>
          </w:tcPr>
          <w:p>
            <w:r>
              <w:rPr>
                <w:sz w:val="20"/>
              </w:rPr>
              <w:t>Exact landmark / business name match</w:t>
            </w:r>
          </w:p>
        </w:tc>
        <w:tc>
          <w:tcPr>
            <w:tcW w:type="dxa" w:w="2304"/>
          </w:tcPr>
          <w:p>
            <w:r>
              <w:rPr>
                <w:sz w:val="20"/>
              </w:rPr>
              <w:t>places</w:t>
            </w:r>
          </w:p>
        </w:tc>
        <w:tc>
          <w:tcPr>
            <w:tcW w:type="dxa" w:w="2160"/>
          </w:tcPr>
          <w:p>
            <w:r>
              <w:rPr>
                <w:sz w:val="20"/>
              </w:rPr>
              <w:t>high</w:t>
            </w:r>
          </w:p>
        </w:tc>
      </w:tr>
      <w:tr>
        <w:tc>
          <w:tcPr>
            <w:tcW w:type="dxa" w:w="720"/>
          </w:tcPr>
          <w:p>
            <w:r>
              <w:rPr>
                <w:sz w:val="20"/>
              </w:rPr>
              <w:t>2</w:t>
            </w:r>
          </w:p>
        </w:tc>
        <w:tc>
          <w:tcPr>
            <w:tcW w:type="dxa" w:w="3744"/>
          </w:tcPr>
          <w:p>
            <w:r>
              <w:rPr>
                <w:sz w:val="20"/>
              </w:rPr>
              <w:t>County / parish centroid</w:t>
            </w:r>
          </w:p>
        </w:tc>
        <w:tc>
          <w:tcPr>
            <w:tcW w:type="dxa" w:w="2304"/>
          </w:tcPr>
          <w:p>
            <w:r>
              <w:rPr>
                <w:sz w:val="20"/>
              </w:rPr>
              <w:t>divisions (county)</w:t>
            </w:r>
          </w:p>
        </w:tc>
        <w:tc>
          <w:tcPr>
            <w:tcW w:type="dxa" w:w="2160"/>
          </w:tcPr>
          <w:p>
            <w:r>
              <w:rPr>
                <w:sz w:val="20"/>
              </w:rPr>
              <w:t>medium</w:t>
            </w:r>
          </w:p>
        </w:tc>
      </w:tr>
      <w:tr>
        <w:tc>
          <w:tcPr>
            <w:tcW w:type="dxa" w:w="720"/>
          </w:tcPr>
          <w:p>
            <w:r>
              <w:rPr>
                <w:sz w:val="20"/>
              </w:rPr>
              <w:t>3</w:t>
            </w:r>
          </w:p>
        </w:tc>
        <w:tc>
          <w:tcPr>
            <w:tcW w:type="dxa" w:w="3744"/>
          </w:tcPr>
          <w:p>
            <w:r>
              <w:rPr>
                <w:sz w:val="20"/>
              </w:rPr>
              <w:t>State-region centroid</w:t>
            </w:r>
          </w:p>
        </w:tc>
        <w:tc>
          <w:tcPr>
            <w:tcW w:type="dxa" w:w="2304"/>
          </w:tcPr>
          <w:p>
            <w:r>
              <w:rPr>
                <w:sz w:val="20"/>
              </w:rPr>
              <w:t>divisions (region)</w:t>
            </w:r>
          </w:p>
        </w:tc>
        <w:tc>
          <w:tcPr>
            <w:tcW w:type="dxa" w:w="2160"/>
          </w:tcPr>
          <w:p>
            <w:r>
              <w:rPr>
                <w:sz w:val="20"/>
              </w:rPr>
              <w:t>low</w:t>
            </w:r>
          </w:p>
        </w:tc>
      </w:tr>
    </w:tbl>
    <w:p>
      <w:pPr>
        <w:spacing w:after="80"/>
      </w:pPr>
      <w:r>
        <w:rPr>
          <w:b w:val="0"/>
          <w:i w:val="0"/>
          <w:sz w:val="22"/>
        </w:rPr>
        <w:t>All three tiers are batched into single DuckDB queries (one per tier, not one per claim) so geocoding cost is roughly O(1) in the number of claims for any realistic batch size.</w:t>
      </w:r>
    </w:p>
    <w:p>
      <w:r>
        <w:br w:type="page"/>
      </w:r>
    </w:p>
    <w:p>
      <w:pPr>
        <w:pStyle w:val="Heading1"/>
      </w:pPr>
      <w:r>
        <w:t>7. Temporal Synchronisation</w:t>
      </w:r>
    </w:p>
    <w:p>
      <w:pPr>
        <w:spacing w:after="80"/>
      </w:pPr>
      <w:r>
        <w:rPr>
          <w:b w:val="0"/>
          <w:i w:val="0"/>
          <w:sz w:val="22"/>
        </w:rPr>
        <w:t>Temporal alignment is handled at two levels: within a single video, and across video and report timelines.</w:t>
      </w:r>
    </w:p>
    <w:p>
      <w:pPr>
        <w:pStyle w:val="Heading2"/>
      </w:pPr>
      <w:r>
        <w:t>7.1 Within-video timing</w:t>
      </w:r>
    </w:p>
    <w:p>
      <w:pPr>
        <w:spacing w:after="80"/>
      </w:pPr>
      <w:r>
        <w:rPr>
          <w:b w:val="0"/>
          <w:i w:val="0"/>
          <w:sz w:val="22"/>
        </w:rPr>
        <w:t>Marengo segments carry (start_sec, end_sec) ranges; Pegasus findings carry (timestamp_start, timestamp_end). Both are anchored to the source video, so a Pass A match between a claim and a segment yields a deep-link ready timestamp. The frontend embeds these timestamps into presigned S3 URLs with #t=start,end fragments, so a click on the map jumps directly to the supporting clip.</w:t>
      </w:r>
    </w:p>
    <w:p>
      <w:pPr>
        <w:pStyle w:val="Heading2"/>
      </w:pPr>
      <w:r>
        <w:t>7.2 Cross-source date alignment</w:t>
      </w:r>
    </w:p>
    <w:p>
      <w:pPr>
        <w:spacing w:after="80"/>
      </w:pPr>
      <w:r>
        <w:rPr>
          <w:b w:val="0"/>
          <w:i w:val="0"/>
          <w:sz w:val="22"/>
        </w:rPr>
        <w:t>Each VideoFinding carries (capture_date, capture_date_source) where the source indicates how the date was determined: video_metadata (most reliable), filename, manual override, or publication_date (least reliable, used when scraping news clips). Each ReportClaim carries (event_date, report_date). Findings whose capture_date falls outside the report's event window — a configurable temporal radius defaulting to ±48 hours — are still scored, but their fused confidence is lowered and a temporal_offset note is added to the evidence summary.</w:t>
      </w:r>
    </w:p>
    <w:p>
      <w:r>
        <w:br w:type="page"/>
      </w:r>
    </w:p>
    <w:p>
      <w:pPr>
        <w:pStyle w:val="Heading1"/>
      </w:pPr>
      <w:r>
        <w:t>8. Confidence Scoring &amp; Uncertainty Quantification</w:t>
      </w:r>
    </w:p>
    <w:p>
      <w:pPr>
        <w:spacing w:after="80"/>
      </w:pPr>
      <w:r>
        <w:rPr>
          <w:b w:val="0"/>
          <w:i w:val="0"/>
          <w:sz w:val="22"/>
        </w:rPr>
        <w:t>Every fused finding carries a numerical confidence_score in [0.0, 1.0] and a confidence_breakdown that decomposes the score into its components. The breakdown is the difference between an opaque ML output and an analytical product an emergency manager can act on.</w:t>
      </w:r>
    </w:p>
    <w:p>
      <w:pPr>
        <w:spacing w:after="80"/>
      </w:pPr>
      <w:r>
        <w:rPr>
          <w:b w:val="0"/>
          <w:i/>
          <w:sz w:val="22"/>
        </w:rPr>
        <w:t>Stored shape:</w:t>
      </w:r>
    </w:p>
    <w:p>
      <w:pPr>
        <w:pStyle w:val="CodeBlock"/>
        <w:spacing w:before="40" w:after="160"/>
        <w:ind w:left="360"/>
        <w:shd w:val="clear" w:color="auto" w:fill="F4F4F0"/>
      </w:pPr>
      <w:r>
        <w:rPr>
          <w:rFonts w:ascii="Consolas" w:hAnsi="Consolas"/>
          <w:sz w:val="18"/>
        </w:rPr>
        <w:t>"confidence_score": 0.9037,</w:t>
        <w:br/>
        <w:t>"confidence_breakdown": {</w:t>
        <w:br/>
        <w:t xml:space="preserve">    "category":        1.0,    // damage_type matched</w:t>
        <w:br/>
        <w:t xml:space="preserve">    "severity":        1.0,    // both 'severe'</w:t>
        <w:br/>
        <w:t xml:space="preserve">    "building_type":   1.0,    // both 'commercial'</w:t>
        <w:br/>
        <w:t xml:space="preserve">    "text_similarity": 0.184,  // Marengo cosine, visual modality</w:t>
        <w:br/>
        <w:t xml:space="preserve">    "name_match":      1.0,    // 'Drifters Eats and Drinks'</w:t>
        <w:br/>
        <w:t xml:space="preserve">    "spatial":         0.92    // ~75 m apart after geocoding</w:t>
        <w:br/>
        <w:t>}</w:t>
      </w:r>
    </w:p>
    <w:p>
      <w:pPr>
        <w:spacing w:after="80"/>
      </w:pPr>
      <w:r>
        <w:rPr>
          <w:b w:val="0"/>
          <w:i w:val="0"/>
          <w:sz w:val="22"/>
        </w:rPr>
        <w:t>Three uncertainty signals also propagate: (1) every coordinate carries a geo_confidence label of high / medium / low / unresolved, originating in the geocoder or simulator; (2) every report claim and video finding carries an is_valid flag with a list of validation_errors; (3) every fused finding carries a textual evidence_summary that names the source video clips, report excerpts, and the modality (visual or audio) that drove the match. Together these mean no finding is presented without context — the system cannot mislead by omission, only (at worst) by mis-classification, and even then the evidence needed to overturn the classification is on the same screen as the verdict.</w:t>
      </w:r>
    </w:p>
    <w:p>
      <w:r>
        <w:br w:type="page"/>
      </w:r>
    </w:p>
    <w:p>
      <w:pPr>
        <w:pStyle w:val="Heading1"/>
      </w:pPr>
      <w:r>
        <w:t>9. Provenance Tracking &amp; Evidence Chains</w:t>
      </w:r>
    </w:p>
    <w:p>
      <w:pPr>
        <w:spacing w:after="80"/>
      </w:pPr>
      <w:r>
        <w:rPr>
          <w:b w:val="0"/>
          <w:i w:val="0"/>
          <w:sz w:val="22"/>
        </w:rPr>
        <w:t>Provenance — being able to point at any conclusion and say "this is exactly where it came from" — is enforced by the data model rather than as an afterthought.</w:t>
      </w:r>
    </w:p>
    <w:p>
      <w:pPr>
        <w:pStyle w:val="Heading2"/>
      </w:pPr>
      <w:r>
        <w:t>9.1 What every fused finding carries</w:t>
      </w:r>
    </w:p>
    <w:p>
      <w:pPr>
        <w:pStyle w:val="ListBullet"/>
        <w:spacing w:after="40"/>
        <w:ind w:left="360"/>
      </w:pPr>
      <w:r>
        <w:t>Source video: filename, S3 URI, presigned playback URL with #t=start,end fragment.</w:t>
      </w:r>
    </w:p>
    <w:p>
      <w:pPr>
        <w:pStyle w:val="ListBullet"/>
        <w:spacing w:after="40"/>
        <w:ind w:left="360"/>
      </w:pPr>
      <w:r>
        <w:t>Supporting clips: ranked list of (segment_id, start_sec, end_sec, modality, similarity_score) tuples — typically the top 3 visual segments and top 3 audio segments from Pass A.</w:t>
      </w:r>
    </w:p>
    <w:p>
      <w:pPr>
        <w:pStyle w:val="ListBullet"/>
        <w:spacing w:after="40"/>
        <w:ind w:left="360"/>
      </w:pPr>
      <w:r>
        <w:t>Source document: filename or URL, source_type (fema_pda, news_report, …), claim_id, and the verbatim excerpt that produced the claim.</w:t>
      </w:r>
    </w:p>
    <w:p>
      <w:pPr>
        <w:pStyle w:val="ListBullet"/>
        <w:spacing w:after="40"/>
        <w:ind w:left="360"/>
      </w:pPr>
      <w:r>
        <w:t>Pegasus contribution: damage_type, severity, building_type, free-text description.</w:t>
      </w:r>
    </w:p>
    <w:p>
      <w:pPr>
        <w:pStyle w:val="ListBullet"/>
        <w:spacing w:after="40"/>
        <w:ind w:left="360"/>
      </w:pPr>
      <w:r>
        <w:t>Geocoding trail: which Overture tier hit, which place ID (if any), with what confidence.</w:t>
      </w:r>
    </w:p>
    <w:p>
      <w:pPr>
        <w:pStyle w:val="ListBullet"/>
        <w:spacing w:after="40"/>
        <w:ind w:left="360"/>
      </w:pPr>
      <w:r>
        <w:t>Score breakdown: every component that contributed to the final confidence (Section 8).</w:t>
      </w:r>
    </w:p>
    <w:p>
      <w:pPr>
        <w:pStyle w:val="ListBullet"/>
        <w:spacing w:after="40"/>
        <w:ind w:left="360"/>
      </w:pPr>
      <w:r>
        <w:t>Pipeline version: model IDs and their resolved Bedrock model strings, plus the run timestamp.</w:t>
      </w:r>
    </w:p>
    <w:p>
      <w:pPr>
        <w:pStyle w:val="Heading2"/>
      </w:pPr>
      <w:r>
        <w:t>9.2 What this enables</w:t>
      </w:r>
    </w:p>
    <w:p>
      <w:pPr>
        <w:pStyle w:val="ListBullet"/>
        <w:spacing w:after="40"/>
        <w:ind w:left="360"/>
      </w:pPr>
      <w:r>
        <w:t>Audit: a reviewer can replay any finding by opening the cited video at the cited timestamp and re-reading the cited report excerpt.</w:t>
      </w:r>
    </w:p>
    <w:p>
      <w:pPr>
        <w:pStyle w:val="ListBullet"/>
        <w:spacing w:after="40"/>
        <w:ind w:left="360"/>
      </w:pPr>
      <w:r>
        <w:t>Transparency to non-technical users: the map UI shows each finding's evidence as plain text, not a model output.</w:t>
      </w:r>
    </w:p>
    <w:p>
      <w:pPr>
        <w:pStyle w:val="ListBullet"/>
        <w:spacing w:after="40"/>
        <w:ind w:left="360"/>
      </w:pPr>
      <w:r>
        <w:t>Reproducibility: re-running the pipeline on the same inputs produces the same finding IDs and the same evidence chain (the geo simulator accepts a seed; everything else is deterministic given the model versions).</w:t>
      </w:r>
    </w:p>
    <w:p>
      <w:r>
        <w:br w:type="page"/>
      </w:r>
    </w:p>
    <w:p>
      <w:pPr>
        <w:pStyle w:val="Heading1"/>
      </w:pPr>
      <w:r>
        <w:t>10. Error Handling and Validation</w:t>
      </w:r>
    </w:p>
    <w:p>
      <w:pPr>
        <w:spacing w:after="80"/>
      </w:pPr>
      <w:r>
        <w:rPr>
          <w:b w:val="0"/>
          <w:i w:val="0"/>
          <w:sz w:val="22"/>
        </w:rPr>
        <w:t>Real disaster data is messy. DisasterFusion's design principle is flag, don't drop: bad records are surfaced with their failure reason rather than silently filtered.</w:t>
      </w:r>
    </w:p>
    <w:tbl>
      <w:tblPr>
        <w:tblStyle w:val="LightGrid-Accent1"/>
        <w:tblW w:type="auto" w:w="0"/>
        <w:tblLook w:firstColumn="1" w:firstRow="1" w:lastColumn="0" w:lastRow="0" w:noHBand="0" w:noVBand="1" w:val="04A0"/>
      </w:tblPr>
      <w:tblGrid>
        <w:gridCol w:w="2436"/>
        <w:gridCol w:w="2436"/>
        <w:gridCol w:w="2436"/>
        <w:gridCol w:w="2436"/>
      </w:tblGrid>
      <w:tr>
        <w:tc>
          <w:tcPr>
            <w:tcW w:type="dxa" w:w="1440"/>
            <w:shd w:val="clear" w:color="auto" w:fill="1A3A5C"/>
          </w:tcPr>
          <w:p>
            <w:r/>
            <w:r>
              <w:rPr>
                <w:b/>
                <w:color w:val="FFFFFF"/>
                <w:sz w:val="20"/>
              </w:rPr>
              <w:t>Component</w:t>
            </w:r>
          </w:p>
        </w:tc>
        <w:tc>
          <w:tcPr>
            <w:tcW w:type="dxa" w:w="2448"/>
            <w:shd w:val="clear" w:color="auto" w:fill="1A3A5C"/>
          </w:tcPr>
          <w:p>
            <w:r/>
            <w:r>
              <w:rPr>
                <w:b/>
                <w:color w:val="FFFFFF"/>
                <w:sz w:val="20"/>
              </w:rPr>
              <w:t>Failure mode</w:t>
            </w:r>
          </w:p>
        </w:tc>
        <w:tc>
          <w:tcPr>
            <w:tcW w:type="dxa" w:w="2304"/>
            <w:shd w:val="clear" w:color="auto" w:fill="1A3A5C"/>
          </w:tcPr>
          <w:p>
            <w:r/>
            <w:r>
              <w:rPr>
                <w:b/>
                <w:color w:val="FFFFFF"/>
                <w:sz w:val="20"/>
              </w:rPr>
              <w:t>Detection</w:t>
            </w:r>
          </w:p>
        </w:tc>
        <w:tc>
          <w:tcPr>
            <w:tcW w:type="dxa" w:w="3456"/>
            <w:shd w:val="clear" w:color="auto" w:fill="1A3A5C"/>
          </w:tcPr>
          <w:p>
            <w:r/>
            <w:r>
              <w:rPr>
                <w:b/>
                <w:color w:val="FFFFFF"/>
                <w:sz w:val="20"/>
              </w:rPr>
              <w:t>Response</w:t>
            </w:r>
          </w:p>
        </w:tc>
      </w:tr>
      <w:tr>
        <w:tc>
          <w:tcPr>
            <w:tcW w:type="dxa" w:w="1440"/>
          </w:tcPr>
          <w:p>
            <w:r>
              <w:rPr>
                <w:sz w:val="20"/>
              </w:rPr>
              <w:t>Pegasus</w:t>
            </w:r>
          </w:p>
        </w:tc>
        <w:tc>
          <w:tcPr>
            <w:tcW w:type="dxa" w:w="2448"/>
          </w:tcPr>
          <w:p>
            <w:r>
              <w:rPr>
                <w:sz w:val="20"/>
              </w:rPr>
              <w:t>Returns malformed JSON</w:t>
            </w:r>
          </w:p>
        </w:tc>
        <w:tc>
          <w:tcPr>
            <w:tcW w:type="dxa" w:w="2304"/>
          </w:tcPr>
          <w:p>
            <w:r>
              <w:rPr>
                <w:sz w:val="20"/>
              </w:rPr>
              <w:t>JSON parse failure</w:t>
            </w:r>
          </w:p>
        </w:tc>
        <w:tc>
          <w:tcPr>
            <w:tcW w:type="dxa" w:w="3456"/>
          </w:tcPr>
          <w:p>
            <w:r>
              <w:rPr>
                <w:sz w:val="20"/>
              </w:rPr>
              <w:t>Retry once; on second failure, log and skip; per-finding errors annotated</w:t>
            </w:r>
          </w:p>
        </w:tc>
      </w:tr>
      <w:tr>
        <w:tc>
          <w:tcPr>
            <w:tcW w:type="dxa" w:w="1440"/>
          </w:tcPr>
          <w:p>
            <w:r>
              <w:rPr>
                <w:sz w:val="20"/>
              </w:rPr>
              <w:t>Pegasus</w:t>
            </w:r>
          </w:p>
        </w:tc>
        <w:tc>
          <w:tcPr>
            <w:tcW w:type="dxa" w:w="2448"/>
          </w:tcPr>
          <w:p>
            <w:r>
              <w:rPr>
                <w:sz w:val="20"/>
              </w:rPr>
              <w:t>Returns invalid enum value</w:t>
            </w:r>
          </w:p>
        </w:tc>
        <w:tc>
          <w:tcPr>
            <w:tcW w:type="dxa" w:w="2304"/>
          </w:tcPr>
          <w:p>
            <w:r>
              <w:rPr>
                <w:sz w:val="20"/>
              </w:rPr>
              <w:t>Validation layer schema check</w:t>
            </w:r>
          </w:p>
        </w:tc>
        <w:tc>
          <w:tcPr>
            <w:tcW w:type="dxa" w:w="3456"/>
          </w:tcPr>
          <w:p>
            <w:r>
              <w:rPr>
                <w:sz w:val="20"/>
              </w:rPr>
              <w:t>Mark is_valid=False, keep in stream with validation_errors populated</w:t>
            </w:r>
          </w:p>
        </w:tc>
      </w:tr>
      <w:tr>
        <w:tc>
          <w:tcPr>
            <w:tcW w:type="dxa" w:w="1440"/>
          </w:tcPr>
          <w:p>
            <w:r>
              <w:rPr>
                <w:sz w:val="20"/>
              </w:rPr>
              <w:t>Pegasus</w:t>
            </w:r>
          </w:p>
        </w:tc>
        <w:tc>
          <w:tcPr>
            <w:tcW w:type="dxa" w:w="2448"/>
          </w:tcPr>
          <w:p>
            <w:r>
              <w:rPr>
                <w:sz w:val="20"/>
              </w:rPr>
              <w:t>Hallucinates damage</w:t>
            </w:r>
          </w:p>
        </w:tc>
        <w:tc>
          <w:tcPr>
            <w:tcW w:type="dxa" w:w="2304"/>
          </w:tcPr>
          <w:p>
            <w:r>
              <w:rPr>
                <w:sz w:val="20"/>
              </w:rPr>
              <w:t>No automatic detection — mitigated by fusion</w:t>
            </w:r>
          </w:p>
        </w:tc>
        <w:tc>
          <w:tcPr>
            <w:tcW w:type="dxa" w:w="3456"/>
          </w:tcPr>
          <w:p>
            <w:r>
              <w:rPr>
                <w:sz w:val="20"/>
              </w:rPr>
              <w:t>Single-source findings get unreported classification with confidence ≤ 0.30</w:t>
            </w:r>
          </w:p>
        </w:tc>
      </w:tr>
      <w:tr>
        <w:tc>
          <w:tcPr>
            <w:tcW w:type="dxa" w:w="1440"/>
          </w:tcPr>
          <w:p>
            <w:r>
              <w:rPr>
                <w:sz w:val="20"/>
              </w:rPr>
              <w:t>Marengo async</w:t>
            </w:r>
          </w:p>
        </w:tc>
        <w:tc>
          <w:tcPr>
            <w:tcW w:type="dxa" w:w="2448"/>
          </w:tcPr>
          <w:p>
            <w:r>
              <w:rPr>
                <w:sz w:val="20"/>
              </w:rPr>
              <w:t>Job stuck in InProgress</w:t>
            </w:r>
          </w:p>
        </w:tc>
        <w:tc>
          <w:tcPr>
            <w:tcW w:type="dxa" w:w="2304"/>
          </w:tcPr>
          <w:p>
            <w:r>
              <w:rPr>
                <w:sz w:val="20"/>
              </w:rPr>
              <w:t>Polling loop with exponential backoff and ceiling</w:t>
            </w:r>
          </w:p>
        </w:tc>
        <w:tc>
          <w:tcPr>
            <w:tcW w:type="dxa" w:w="3456"/>
          </w:tcPr>
          <w:p>
            <w:r>
              <w:rPr>
                <w:sz w:val="20"/>
              </w:rPr>
              <w:t>Pipeline reports timeout; partial results still produced from Pegasus + report side</w:t>
            </w:r>
          </w:p>
        </w:tc>
      </w:tr>
      <w:tr>
        <w:tc>
          <w:tcPr>
            <w:tcW w:type="dxa" w:w="1440"/>
          </w:tcPr>
          <w:p>
            <w:r>
              <w:rPr>
                <w:sz w:val="20"/>
              </w:rPr>
              <w:t>Marengo sync</w:t>
            </w:r>
          </w:p>
        </w:tc>
        <w:tc>
          <w:tcPr>
            <w:tcW w:type="dxa" w:w="2448"/>
          </w:tcPr>
          <w:p>
            <w:r>
              <w:rPr>
                <w:sz w:val="20"/>
              </w:rPr>
              <w:t>Empty embedding response</w:t>
            </w:r>
          </w:p>
        </w:tc>
        <w:tc>
          <w:tcPr>
            <w:tcW w:type="dxa" w:w="2304"/>
          </w:tcPr>
          <w:p>
            <w:r>
              <w:rPr>
                <w:sz w:val="20"/>
              </w:rPr>
              <w:t>Vector length check</w:t>
            </w:r>
          </w:p>
        </w:tc>
        <w:tc>
          <w:tcPr>
            <w:tcW w:type="dxa" w:w="3456"/>
          </w:tcPr>
          <w:p>
            <w:r>
              <w:rPr>
                <w:sz w:val="20"/>
              </w:rPr>
              <w:t>Claim falls back to category + severity + spatial signals only</w:t>
            </w:r>
          </w:p>
        </w:tc>
      </w:tr>
      <w:tr>
        <w:tc>
          <w:tcPr>
            <w:tcW w:type="dxa" w:w="1440"/>
          </w:tcPr>
          <w:p>
            <w:r>
              <w:rPr>
                <w:sz w:val="20"/>
              </w:rPr>
              <w:t>Claude parser</w:t>
            </w:r>
          </w:p>
        </w:tc>
        <w:tc>
          <w:tcPr>
            <w:tcW w:type="dxa" w:w="2448"/>
          </w:tcPr>
          <w:p>
            <w:r>
              <w:rPr>
                <w:sz w:val="20"/>
              </w:rPr>
              <w:t>Misses claims</w:t>
            </w:r>
          </w:p>
        </w:tc>
        <w:tc>
          <w:tcPr>
            <w:tcW w:type="dxa" w:w="2304"/>
          </w:tcPr>
          <w:p>
            <w:r>
              <w:rPr>
                <w:sz w:val="20"/>
              </w:rPr>
              <w:t>Cannot auto-detect</w:t>
            </w:r>
          </w:p>
        </w:tc>
        <w:tc>
          <w:tcPr>
            <w:tcW w:type="dxa" w:w="3456"/>
          </w:tcPr>
          <w:p>
            <w:r>
              <w:rPr>
                <w:sz w:val="20"/>
              </w:rPr>
              <w:t>Mitigated by validation set spot-check (Validation Report)</w:t>
            </w:r>
          </w:p>
        </w:tc>
      </w:tr>
      <w:tr>
        <w:tc>
          <w:tcPr>
            <w:tcW w:type="dxa" w:w="1440"/>
          </w:tcPr>
          <w:p>
            <w:r>
              <w:rPr>
                <w:sz w:val="20"/>
              </w:rPr>
              <w:t>Geocoder</w:t>
            </w:r>
          </w:p>
        </w:tc>
        <w:tc>
          <w:tcPr>
            <w:tcW w:type="dxa" w:w="2448"/>
          </w:tcPr>
          <w:p>
            <w:r>
              <w:rPr>
                <w:sz w:val="20"/>
              </w:rPr>
              <w:t>No Overture match (Tier 1)</w:t>
            </w:r>
          </w:p>
        </w:tc>
        <w:tc>
          <w:tcPr>
            <w:tcW w:type="dxa" w:w="2304"/>
          </w:tcPr>
          <w:p>
            <w:r>
              <w:rPr>
                <w:sz w:val="20"/>
              </w:rPr>
              <w:t>Empty result set</w:t>
            </w:r>
          </w:p>
        </w:tc>
        <w:tc>
          <w:tcPr>
            <w:tcW w:type="dxa" w:w="3456"/>
          </w:tcPr>
          <w:p>
            <w:r>
              <w:rPr>
                <w:sz w:val="20"/>
              </w:rPr>
              <w:t>Falls through to Tier 2 (county) then Tier 3 (state)</w:t>
            </w:r>
          </w:p>
        </w:tc>
      </w:tr>
      <w:tr>
        <w:tc>
          <w:tcPr>
            <w:tcW w:type="dxa" w:w="1440"/>
          </w:tcPr>
          <w:p>
            <w:r>
              <w:rPr>
                <w:sz w:val="20"/>
              </w:rPr>
              <w:t>Geocoder</w:t>
            </w:r>
          </w:p>
        </w:tc>
        <w:tc>
          <w:tcPr>
            <w:tcW w:type="dxa" w:w="2448"/>
          </w:tcPr>
          <w:p>
            <w:r>
              <w:rPr>
                <w:sz w:val="20"/>
              </w:rPr>
              <w:t>Suspicious coordinate (off-globe)</w:t>
            </w:r>
          </w:p>
        </w:tc>
        <w:tc>
          <w:tcPr>
            <w:tcW w:type="dxa" w:w="2304"/>
          </w:tcPr>
          <w:p>
            <w:r>
              <w:rPr>
                <w:sz w:val="20"/>
              </w:rPr>
              <w:t>Lat/lon range check</w:t>
            </w:r>
          </w:p>
        </w:tc>
        <w:tc>
          <w:tcPr>
            <w:tcW w:type="dxa" w:w="3456"/>
          </w:tcPr>
          <w:p>
            <w:r>
              <w:rPr>
                <w:sz w:val="20"/>
              </w:rPr>
              <w:t>Mark invalid, drop coordinates but keep claim text</w:t>
            </w:r>
          </w:p>
        </w:tc>
      </w:tr>
      <w:tr>
        <w:tc>
          <w:tcPr>
            <w:tcW w:type="dxa" w:w="1440"/>
          </w:tcPr>
          <w:p>
            <w:r>
              <w:rPr>
                <w:sz w:val="20"/>
              </w:rPr>
              <w:t>Geo simulator</w:t>
            </w:r>
          </w:p>
        </w:tc>
        <w:tc>
          <w:tcPr>
            <w:tcW w:type="dxa" w:w="2448"/>
          </w:tcPr>
          <w:p>
            <w:r>
              <w:rPr>
                <w:sz w:val="20"/>
              </w:rPr>
              <w:t>Claude returns no plausible centre</w:t>
            </w:r>
          </w:p>
        </w:tc>
        <w:tc>
          <w:tcPr>
            <w:tcW w:type="dxa" w:w="2304"/>
          </w:tcPr>
          <w:p>
            <w:r>
              <w:rPr>
                <w:sz w:val="20"/>
              </w:rPr>
              <w:t>Output shape check</w:t>
            </w:r>
          </w:p>
        </w:tc>
        <w:tc>
          <w:tcPr>
            <w:tcW w:type="dxa" w:w="3456"/>
          </w:tcPr>
          <w:p>
            <w:r>
              <w:rPr>
                <w:sz w:val="20"/>
              </w:rPr>
              <w:t>All findings tagged geo_confidence=unresolved; map shows them as unmapped count</w:t>
            </w:r>
          </w:p>
        </w:tc>
      </w:tr>
      <w:tr>
        <w:tc>
          <w:tcPr>
            <w:tcW w:type="dxa" w:w="1440"/>
          </w:tcPr>
          <w:p>
            <w:r>
              <w:rPr>
                <w:sz w:val="20"/>
              </w:rPr>
              <w:t>Fusion</w:t>
            </w:r>
          </w:p>
        </w:tc>
        <w:tc>
          <w:tcPr>
            <w:tcW w:type="dxa" w:w="2448"/>
          </w:tcPr>
          <w:p>
            <w:r>
              <w:rPr>
                <w:sz w:val="20"/>
              </w:rPr>
              <w:t>False positive (wrong claim matched)</w:t>
            </w:r>
          </w:p>
        </w:tc>
        <w:tc>
          <w:tcPr>
            <w:tcW w:type="dxa" w:w="2304"/>
          </w:tcPr>
          <w:p>
            <w:r>
              <w:rPr>
                <w:sz w:val="20"/>
              </w:rPr>
              <w:t>Confidence breakdown is visible</w:t>
            </w:r>
          </w:p>
        </w:tc>
        <w:tc>
          <w:tcPr>
            <w:tcW w:type="dxa" w:w="3456"/>
          </w:tcPr>
          <w:p>
            <w:r>
              <w:rPr>
                <w:sz w:val="20"/>
              </w:rPr>
              <w:t>Low-confidence matches are visually distinguished, not hidden</w:t>
            </w:r>
          </w:p>
        </w:tc>
      </w:tr>
      <w:tr>
        <w:tc>
          <w:tcPr>
            <w:tcW w:type="dxa" w:w="1440"/>
          </w:tcPr>
          <w:p>
            <w:r>
              <w:rPr>
                <w:sz w:val="20"/>
              </w:rPr>
              <w:t>API / pipeline</w:t>
            </w:r>
          </w:p>
        </w:tc>
        <w:tc>
          <w:tcPr>
            <w:tcW w:type="dxa" w:w="2448"/>
          </w:tcPr>
          <w:p>
            <w:r>
              <w:rPr>
                <w:sz w:val="20"/>
              </w:rPr>
              <w:t>Any step throws</w:t>
            </w:r>
          </w:p>
        </w:tc>
        <w:tc>
          <w:tcPr>
            <w:tcW w:type="dxa" w:w="2304"/>
          </w:tcPr>
          <w:p>
            <w:r>
              <w:rPr>
                <w:sz w:val="20"/>
              </w:rPr>
              <w:t>Try / except wrapping each step in pipeline_runner</w:t>
            </w:r>
          </w:p>
        </w:tc>
        <w:tc>
          <w:tcPr>
            <w:tcW w:type="dxa" w:w="3456"/>
          </w:tcPr>
          <w:p>
            <w:r>
              <w:rPr>
                <w:sz w:val="20"/>
              </w:rPr>
              <w:t>Job state set to failed with traceback; partial outputs preserved</w:t>
            </w:r>
          </w:p>
        </w:tc>
      </w:tr>
    </w:tbl>
    <w:p>
      <w:r>
        <w:br w:type="page"/>
      </w:r>
    </w:p>
    <w:p>
      <w:pPr>
        <w:pStyle w:val="Heading1"/>
      </w:pPr>
      <w:r>
        <w:t>11. Query Interface</w:t>
      </w:r>
    </w:p>
    <w:p>
      <w:pPr>
        <w:pStyle w:val="Heading2"/>
      </w:pPr>
      <w:r>
        <w:t>11.1 REST API surface</w:t>
      </w:r>
    </w:p>
    <w:tbl>
      <w:tblPr>
        <w:tblStyle w:val="LightGrid-Accent1"/>
        <w:tblW w:type="auto" w:w="0"/>
        <w:tblLook w:firstColumn="1" w:firstRow="1" w:lastColumn="0" w:lastRow="0" w:noHBand="0" w:noVBand="1" w:val="04A0"/>
      </w:tblPr>
      <w:tblGrid>
        <w:gridCol w:w="3249"/>
        <w:gridCol w:w="3249"/>
        <w:gridCol w:w="3249"/>
      </w:tblGrid>
      <w:tr>
        <w:tc>
          <w:tcPr>
            <w:tcW w:type="dxa" w:w="2880"/>
            <w:shd w:val="clear" w:color="auto" w:fill="1A3A5C"/>
          </w:tcPr>
          <w:p>
            <w:r/>
            <w:r>
              <w:rPr>
                <w:b/>
                <w:color w:val="FFFFFF"/>
                <w:sz w:val="20"/>
              </w:rPr>
              <w:t>Endpoint</w:t>
            </w:r>
          </w:p>
        </w:tc>
        <w:tc>
          <w:tcPr>
            <w:tcW w:type="dxa" w:w="1008"/>
            <w:shd w:val="clear" w:color="auto" w:fill="1A3A5C"/>
          </w:tcPr>
          <w:p>
            <w:r/>
            <w:r>
              <w:rPr>
                <w:b/>
                <w:color w:val="FFFFFF"/>
                <w:sz w:val="20"/>
              </w:rPr>
              <w:t>Method</w:t>
            </w:r>
          </w:p>
        </w:tc>
        <w:tc>
          <w:tcPr>
            <w:tcW w:type="dxa" w:w="6048"/>
            <w:shd w:val="clear" w:color="auto" w:fill="1A3A5C"/>
          </w:tcPr>
          <w:p>
            <w:r/>
            <w:r>
              <w:rPr>
                <w:b/>
                <w:color w:val="FFFFFF"/>
                <w:sz w:val="20"/>
              </w:rPr>
              <w:t>Purpose</w:t>
            </w:r>
          </w:p>
        </w:tc>
      </w:tr>
      <w:tr>
        <w:tc>
          <w:tcPr>
            <w:tcW w:type="dxa" w:w="2880"/>
          </w:tcPr>
          <w:p>
            <w:r>
              <w:rPr>
                <w:sz w:val="20"/>
              </w:rPr>
              <w:t>/analyze</w:t>
            </w:r>
          </w:p>
        </w:tc>
        <w:tc>
          <w:tcPr>
            <w:tcW w:type="dxa" w:w="1008"/>
          </w:tcPr>
          <w:p>
            <w:r>
              <w:rPr>
                <w:sz w:val="20"/>
              </w:rPr>
              <w:t>POST</w:t>
            </w:r>
          </w:p>
        </w:tc>
        <w:tc>
          <w:tcPr>
            <w:tcW w:type="dxa" w:w="6048"/>
          </w:tcPr>
          <w:p>
            <w:r>
              <w:rPr>
                <w:sz w:val="20"/>
              </w:rPr>
              <w:t>Submit a video + report + disaster type. Returns job_id.</w:t>
            </w:r>
          </w:p>
        </w:tc>
      </w:tr>
      <w:tr>
        <w:tc>
          <w:tcPr>
            <w:tcW w:type="dxa" w:w="2880"/>
          </w:tcPr>
          <w:p>
            <w:r>
              <w:rPr>
                <w:sz w:val="20"/>
              </w:rPr>
              <w:t>/jobs/{job_id}</w:t>
            </w:r>
          </w:p>
        </w:tc>
        <w:tc>
          <w:tcPr>
            <w:tcW w:type="dxa" w:w="1008"/>
          </w:tcPr>
          <w:p>
            <w:r>
              <w:rPr>
                <w:sz w:val="20"/>
              </w:rPr>
              <w:t>GET</w:t>
            </w:r>
          </w:p>
        </w:tc>
        <w:tc>
          <w:tcPr>
            <w:tcW w:type="dxa" w:w="6048"/>
          </w:tcPr>
          <w:p>
            <w:r>
              <w:rPr>
                <w:sz w:val="20"/>
              </w:rPr>
              <w:t>Job status (queued | running | completed | failed) and step progress.</w:t>
            </w:r>
          </w:p>
        </w:tc>
      </w:tr>
      <w:tr>
        <w:tc>
          <w:tcPr>
            <w:tcW w:type="dxa" w:w="2880"/>
          </w:tcPr>
          <w:p>
            <w:r>
              <w:rPr>
                <w:sz w:val="20"/>
              </w:rPr>
              <w:t>/jobs/{job_id}/results</w:t>
            </w:r>
          </w:p>
        </w:tc>
        <w:tc>
          <w:tcPr>
            <w:tcW w:type="dxa" w:w="1008"/>
          </w:tcPr>
          <w:p>
            <w:r>
              <w:rPr>
                <w:sz w:val="20"/>
              </w:rPr>
              <w:t>GET</w:t>
            </w:r>
          </w:p>
        </w:tc>
        <w:tc>
          <w:tcPr>
            <w:tcW w:type="dxa" w:w="6048"/>
          </w:tcPr>
          <w:p>
            <w:r>
              <w:rPr>
                <w:sz w:val="20"/>
              </w:rPr>
              <w:t>Master findings document (frontend schema) for completed jobs.</w:t>
            </w:r>
          </w:p>
        </w:tc>
      </w:tr>
      <w:tr>
        <w:tc>
          <w:tcPr>
            <w:tcW w:type="dxa" w:w="2880"/>
          </w:tcPr>
          <w:p>
            <w:r>
              <w:rPr>
                <w:sz w:val="20"/>
              </w:rPr>
              <w:t>/jobs/{job_id}/overture</w:t>
            </w:r>
          </w:p>
        </w:tc>
        <w:tc>
          <w:tcPr>
            <w:tcW w:type="dxa" w:w="1008"/>
          </w:tcPr>
          <w:p>
            <w:r>
              <w:rPr>
                <w:sz w:val="20"/>
              </w:rPr>
              <w:t>GET</w:t>
            </w:r>
          </w:p>
        </w:tc>
        <w:tc>
          <w:tcPr>
            <w:tcW w:type="dxa" w:w="6048"/>
          </w:tcPr>
          <w:p>
            <w:r>
              <w:rPr>
                <w:sz w:val="20"/>
              </w:rPr>
              <w:t>GeoJSON FeatureCollection ready for ArcGIS / Mapbox / QGIS.</w:t>
            </w:r>
          </w:p>
        </w:tc>
      </w:tr>
      <w:tr>
        <w:tc>
          <w:tcPr>
            <w:tcW w:type="dxa" w:w="2880"/>
          </w:tcPr>
          <w:p>
            <w:r>
              <w:rPr>
                <w:sz w:val="20"/>
              </w:rPr>
              <w:t>/jobs/{job_id}/query</w:t>
            </w:r>
          </w:p>
        </w:tc>
        <w:tc>
          <w:tcPr>
            <w:tcW w:type="dxa" w:w="1008"/>
          </w:tcPr>
          <w:p>
            <w:r>
              <w:rPr>
                <w:sz w:val="20"/>
              </w:rPr>
              <w:t>POST</w:t>
            </w:r>
          </w:p>
        </w:tc>
        <w:tc>
          <w:tcPr>
            <w:tcW w:type="dxa" w:w="6048"/>
          </w:tcPr>
          <w:p>
            <w:r>
              <w:rPr>
                <w:sz w:val="20"/>
              </w:rPr>
              <w:t>Natural-language query against fused findings.</w:t>
            </w:r>
          </w:p>
        </w:tc>
      </w:tr>
      <w:tr>
        <w:tc>
          <w:tcPr>
            <w:tcW w:type="dxa" w:w="2880"/>
          </w:tcPr>
          <w:p>
            <w:r>
              <w:rPr>
                <w:sz w:val="20"/>
              </w:rPr>
              <w:t>/test/parse-url</w:t>
            </w:r>
          </w:p>
        </w:tc>
        <w:tc>
          <w:tcPr>
            <w:tcW w:type="dxa" w:w="1008"/>
          </w:tcPr>
          <w:p>
            <w:r>
              <w:rPr>
                <w:sz w:val="20"/>
              </w:rPr>
              <w:t>POST</w:t>
            </w:r>
          </w:p>
        </w:tc>
        <w:tc>
          <w:tcPr>
            <w:tcW w:type="dxa" w:w="6048"/>
          </w:tcPr>
          <w:p>
            <w:r>
              <w:rPr>
                <w:sz w:val="20"/>
              </w:rPr>
              <w:t>Diagnostic: extract claims directly from a news URL without running fusion.</w:t>
            </w:r>
          </w:p>
        </w:tc>
      </w:tr>
    </w:tbl>
    <w:p>
      <w:pPr>
        <w:pStyle w:val="Heading2"/>
      </w:pPr>
      <w:r>
        <w:t>11.2 Natural-language query</w:t>
      </w:r>
    </w:p>
    <w:p>
      <w:pPr>
        <w:spacing w:after="80"/>
      </w:pPr>
      <w:r>
        <w:rPr>
          <w:b w:val="0"/>
          <w:i w:val="0"/>
          <w:sz w:val="22"/>
        </w:rPr>
        <w:t>/jobs/{job_id}/query accepts a free-text question and returns a JSON object of the shape {answer, referenced_ids, query_type ∈ {filter, summary, comparison, detail}}. Internally, the endpoint condenses the fused findings into a compact JSON payload, sends it to Claude Haiku 4.5 along with the question, and parses the response. Every answer cites the finding IDs it drew on, so the front-end can highlight exactly the pins on the map that support the answer.</w:t>
      </w:r>
    </w:p>
    <w:p>
      <w:pPr>
        <w:spacing w:after="80"/>
      </w:pPr>
      <w:r>
        <w:rPr>
          <w:b w:val="0"/>
          <w:i/>
          <w:sz w:val="22"/>
        </w:rPr>
        <w:t>Example questions DisasterFusion answers from a single fused dataset:</w:t>
      </w:r>
    </w:p>
    <w:p>
      <w:pPr>
        <w:pStyle w:val="ListBullet"/>
        <w:spacing w:after="40"/>
        <w:ind w:left="360"/>
      </w:pPr>
      <w:r>
        <w:t>"Which severe damage on Main Street is unreported?"</w:t>
      </w:r>
    </w:p>
    <w:p>
      <w:pPr>
        <w:pStyle w:val="ListBullet"/>
        <w:spacing w:after="40"/>
        <w:ind w:left="360"/>
      </w:pPr>
      <w:r>
        <w:t>"Compare what NWS surveyed against what the drone footage shows."</w:t>
      </w:r>
    </w:p>
    <w:p>
      <w:pPr>
        <w:pStyle w:val="ListBullet"/>
        <w:spacing w:after="40"/>
        <w:ind w:left="360"/>
      </w:pPr>
      <w:r>
        <w:t>"Summarise the operational status of every commercial building hit."</w:t>
      </w:r>
    </w:p>
    <w:p>
      <w:pPr>
        <w:pStyle w:val="ListBullet"/>
        <w:spacing w:after="40"/>
        <w:ind w:left="360"/>
      </w:pPr>
      <w:r>
        <w:t>"Which finding has the lowest confidence and why?"</w:t>
      </w:r>
    </w:p>
    <w:p>
      <w:r>
        <w:br w:type="page"/>
      </w:r>
    </w:p>
    <w:p>
      <w:pPr>
        <w:pStyle w:val="Heading1"/>
      </w:pPr>
      <w:r>
        <w:t>12. Scalability and Processing Efficiency</w:t>
      </w:r>
    </w:p>
    <w:p>
      <w:pPr>
        <w:spacing w:after="80"/>
      </w:pPr>
      <w:r>
        <w:rPr>
          <w:b w:val="0"/>
          <w:i w:val="0"/>
          <w:sz w:val="22"/>
        </w:rPr>
        <w:t>The Track 03 brief warns that fusion creates a combinatorial explosion — a 30-minute video crossed with a 500-record database is half a million pairs. DisasterFusion stages its work to keep the pair count bounded.</w:t>
      </w:r>
    </w:p>
    <w:p>
      <w:pPr>
        <w:pStyle w:val="Heading2"/>
      </w:pPr>
      <w:r>
        <w:t>12.1 Cost staging</w:t>
      </w:r>
    </w:p>
    <w:tbl>
      <w:tblPr>
        <w:tblStyle w:val="LightGrid-Accent1"/>
        <w:tblW w:type="auto" w:w="0"/>
        <w:tblLook w:firstColumn="1" w:firstRow="1" w:lastColumn="0" w:lastRow="0" w:noHBand="0" w:noVBand="1" w:val="04A0"/>
      </w:tblPr>
      <w:tblGrid>
        <w:gridCol w:w="3249"/>
        <w:gridCol w:w="3249"/>
        <w:gridCol w:w="3249"/>
      </w:tblGrid>
      <w:tr>
        <w:tc>
          <w:tcPr>
            <w:tcW w:type="dxa" w:w="2592"/>
            <w:shd w:val="clear" w:color="auto" w:fill="1A3A5C"/>
          </w:tcPr>
          <w:p>
            <w:r/>
            <w:r>
              <w:rPr>
                <w:b/>
                <w:color w:val="FFFFFF"/>
                <w:sz w:val="20"/>
              </w:rPr>
              <w:t>Stage</w:t>
            </w:r>
          </w:p>
        </w:tc>
        <w:tc>
          <w:tcPr>
            <w:tcW w:type="dxa" w:w="4896"/>
            <w:shd w:val="clear" w:color="auto" w:fill="1A3A5C"/>
          </w:tcPr>
          <w:p>
            <w:r/>
            <w:r>
              <w:rPr>
                <w:b/>
                <w:color w:val="FFFFFF"/>
                <w:sz w:val="20"/>
              </w:rPr>
              <w:t>Cost class</w:t>
            </w:r>
          </w:p>
        </w:tc>
        <w:tc>
          <w:tcPr>
            <w:tcW w:type="dxa" w:w="2448"/>
            <w:shd w:val="clear" w:color="auto" w:fill="1A3A5C"/>
          </w:tcPr>
          <w:p>
            <w:r/>
            <w:r>
              <w:rPr>
                <w:b/>
                <w:color w:val="FFFFFF"/>
                <w:sz w:val="20"/>
              </w:rPr>
              <w:t>Cardinality</w:t>
            </w:r>
          </w:p>
        </w:tc>
      </w:tr>
      <w:tr>
        <w:tc>
          <w:tcPr>
            <w:tcW w:type="dxa" w:w="2592"/>
          </w:tcPr>
          <w:p>
            <w:r>
              <w:rPr>
                <w:sz w:val="20"/>
              </w:rPr>
              <w:t>Pegasus analysis</w:t>
            </w:r>
          </w:p>
        </w:tc>
        <w:tc>
          <w:tcPr>
            <w:tcW w:type="dxa" w:w="4896"/>
          </w:tcPr>
          <w:p>
            <w:r>
              <w:rPr>
                <w:sz w:val="20"/>
              </w:rPr>
              <w:t>Once per video</w:t>
            </w:r>
          </w:p>
        </w:tc>
        <w:tc>
          <w:tcPr>
            <w:tcW w:type="dxa" w:w="2448"/>
          </w:tcPr>
          <w:p>
            <w:r>
              <w:rPr>
                <w:sz w:val="20"/>
              </w:rPr>
              <w:t>~30 s for 3-min footage</w:t>
            </w:r>
          </w:p>
        </w:tc>
      </w:tr>
      <w:tr>
        <w:tc>
          <w:tcPr>
            <w:tcW w:type="dxa" w:w="2592"/>
          </w:tcPr>
          <w:p>
            <w:r>
              <w:rPr>
                <w:sz w:val="20"/>
              </w:rPr>
              <w:t>Marengo async embedding</w:t>
            </w:r>
          </w:p>
        </w:tc>
        <w:tc>
          <w:tcPr>
            <w:tcW w:type="dxa" w:w="4896"/>
          </w:tcPr>
          <w:p>
            <w:r>
              <w:rPr>
                <w:sz w:val="20"/>
              </w:rPr>
              <w:t>Once per video</w:t>
            </w:r>
          </w:p>
        </w:tc>
        <w:tc>
          <w:tcPr>
            <w:tcW w:type="dxa" w:w="2448"/>
          </w:tcPr>
          <w:p>
            <w:r>
              <w:rPr>
                <w:sz w:val="20"/>
              </w:rPr>
              <w:t>~60–90 s for 3-min footage; runs in parallel with Pegasus</w:t>
            </w:r>
          </w:p>
        </w:tc>
      </w:tr>
      <w:tr>
        <w:tc>
          <w:tcPr>
            <w:tcW w:type="dxa" w:w="2592"/>
          </w:tcPr>
          <w:p>
            <w:r>
              <w:rPr>
                <w:sz w:val="20"/>
              </w:rPr>
              <w:t>Claude report parsing</w:t>
            </w:r>
          </w:p>
        </w:tc>
        <w:tc>
          <w:tcPr>
            <w:tcW w:type="dxa" w:w="4896"/>
          </w:tcPr>
          <w:p>
            <w:r>
              <w:rPr>
                <w:sz w:val="20"/>
              </w:rPr>
              <w:t>Once per document</w:t>
            </w:r>
          </w:p>
        </w:tc>
        <w:tc>
          <w:tcPr>
            <w:tcW w:type="dxa" w:w="2448"/>
          </w:tcPr>
          <w:p>
            <w:r>
              <w:rPr>
                <w:sz w:val="20"/>
              </w:rPr>
              <w:t>~3–8 s per document</w:t>
            </w:r>
          </w:p>
        </w:tc>
      </w:tr>
      <w:tr>
        <w:tc>
          <w:tcPr>
            <w:tcW w:type="dxa" w:w="2592"/>
          </w:tcPr>
          <w:p>
            <w:r>
              <w:rPr>
                <w:sz w:val="20"/>
              </w:rPr>
              <w:t>Overture geocoding</w:t>
            </w:r>
          </w:p>
        </w:tc>
        <w:tc>
          <w:tcPr>
            <w:tcW w:type="dxa" w:w="4896"/>
          </w:tcPr>
          <w:p>
            <w:r>
              <w:rPr>
                <w:sz w:val="20"/>
              </w:rPr>
              <w:t>Three batched DuckDB queries per run</w:t>
            </w:r>
          </w:p>
        </w:tc>
        <w:tc>
          <w:tcPr>
            <w:tcW w:type="dxa" w:w="2448"/>
          </w:tcPr>
          <w:p>
            <w:r>
              <w:rPr>
                <w:sz w:val="20"/>
              </w:rPr>
              <w:t>Independent of claim count</w:t>
            </w:r>
          </w:p>
        </w:tc>
      </w:tr>
      <w:tr>
        <w:tc>
          <w:tcPr>
            <w:tcW w:type="dxa" w:w="2592"/>
          </w:tcPr>
          <w:p>
            <w:r>
              <w:rPr>
                <w:sz w:val="20"/>
              </w:rPr>
              <w:t>Pass A cosine</w:t>
            </w:r>
          </w:p>
        </w:tc>
        <w:tc>
          <w:tcPr>
            <w:tcW w:type="dxa" w:w="4896"/>
          </w:tcPr>
          <w:p>
            <w:r>
              <w:rPr>
                <w:sz w:val="20"/>
              </w:rPr>
              <w:t>O(claims × segments) — vectorised numpy</w:t>
            </w:r>
          </w:p>
        </w:tc>
        <w:tc>
          <w:tcPr>
            <w:tcW w:type="dxa" w:w="2448"/>
          </w:tcPr>
          <w:p>
            <w:r>
              <w:rPr>
                <w:sz w:val="20"/>
              </w:rPr>
              <w:t>27 segments × 6 claims = 162 dot products in the worked example</w:t>
            </w:r>
          </w:p>
        </w:tc>
      </w:tr>
      <w:tr>
        <w:tc>
          <w:tcPr>
            <w:tcW w:type="dxa" w:w="2592"/>
          </w:tcPr>
          <w:p>
            <w:r>
              <w:rPr>
                <w:sz w:val="20"/>
              </w:rPr>
              <w:t>Pass B scoring</w:t>
            </w:r>
          </w:p>
        </w:tc>
        <w:tc>
          <w:tcPr>
            <w:tcW w:type="dxa" w:w="4896"/>
          </w:tcPr>
          <w:p>
            <w:r>
              <w:rPr>
                <w:sz w:val="20"/>
              </w:rPr>
              <w:t>O(findings × claims) — Python, but only on Pass A's candidate set</w:t>
            </w:r>
          </w:p>
        </w:tc>
        <w:tc>
          <w:tcPr>
            <w:tcW w:type="dxa" w:w="2448"/>
          </w:tcPr>
          <w:p>
            <w:r>
              <w:rPr>
                <w:sz w:val="20"/>
              </w:rPr>
              <w:t>27 findings × 6 claims = 162 scored pairs</w:t>
            </w:r>
          </w:p>
        </w:tc>
      </w:tr>
    </w:tbl>
    <w:p>
      <w:pPr>
        <w:spacing w:after="80"/>
      </w:pPr>
      <w:r>
        <w:rPr>
          <w:b w:val="0"/>
          <w:i w:val="0"/>
          <w:sz w:val="22"/>
        </w:rPr>
        <w:t>Pass B never sees the full Cartesian product; Pass A's similarity threshold and top-k cap limit each claim's candidates to at most 5 visual + 5 audio segments. For the Grafton worked example, the entire pipeline ran in roughly ten minutes end-to-end, dominated by Marengo embedding wall time.</w:t>
      </w:r>
    </w:p>
    <w:p>
      <w:pPr>
        <w:pStyle w:val="Heading2"/>
      </w:pPr>
      <w:r>
        <w:t>12.2 Where horizontal scale comes from</w:t>
      </w:r>
    </w:p>
    <w:p>
      <w:pPr>
        <w:pStyle w:val="ListBullet"/>
        <w:spacing w:after="40"/>
        <w:ind w:left="360"/>
      </w:pPr>
      <w:r>
        <w:t>Multiple videos: Pegasus and Marengo are independent per video; the pipeline runner can fan out trivially.</w:t>
      </w:r>
    </w:p>
    <w:p>
      <w:pPr>
        <w:pStyle w:val="ListBullet"/>
        <w:spacing w:after="40"/>
        <w:ind w:left="360"/>
      </w:pPr>
      <w:r>
        <w:t>Multiple reports: Claude calls are independent per document.</w:t>
      </w:r>
    </w:p>
    <w:p>
      <w:pPr>
        <w:pStyle w:val="ListBullet"/>
        <w:spacing w:after="40"/>
        <w:ind w:left="360"/>
      </w:pPr>
      <w:r>
        <w:t>Geocoding: DuckDB queries are read-only against S3 Parquet — concurrent jobs do not contend.</w:t>
      </w:r>
    </w:p>
    <w:p>
      <w:pPr>
        <w:pStyle w:val="ListBullet"/>
        <w:spacing w:after="40"/>
        <w:ind w:left="360"/>
      </w:pPr>
      <w:r>
        <w:t>Embedding storage: S3 (the same bucket used for video) — no caps.</w:t>
      </w:r>
    </w:p>
    <w:p>
      <w:pPr>
        <w:pStyle w:val="ListBullet"/>
        <w:spacing w:after="40"/>
        <w:ind w:left="360"/>
      </w:pPr>
      <w:r>
        <w:t>Job orchestration: FastAPI background workers; in production, swap for a queue (SQS / Redis) without changing the pipeline.</w:t>
      </w:r>
    </w:p>
    <w:p>
      <w:r>
        <w:br w:type="page"/>
      </w:r>
    </w:p>
    <w:p>
      <w:pPr>
        <w:pStyle w:val="Heading1"/>
      </w:pPr>
      <w:r>
        <w:t>13. Repository, Setup, and Reproducibility</w:t>
      </w:r>
    </w:p>
    <w:p>
      <w:pPr>
        <w:spacing w:after="80"/>
      </w:pPr>
      <w:r>
        <w:rPr>
          <w:b w:val="0"/>
          <w:i w:val="0"/>
          <w:sz w:val="22"/>
        </w:rPr>
        <w:t>DisasterFusion is delivered as a single Git repository whose root README.md is the canonical setup guide. The structure below mirrors the live repo.</w:t>
      </w:r>
    </w:p>
    <w:p>
      <w:pPr>
        <w:pStyle w:val="CodeBlock"/>
        <w:spacing w:before="40" w:after="160"/>
        <w:ind w:left="360"/>
        <w:shd w:val="clear" w:color="auto" w:fill="F4F4F0"/>
      </w:pPr>
      <w:r>
        <w:rPr>
          <w:rFonts w:ascii="Consolas" w:hAnsi="Consolas"/>
          <w:sz w:val="18"/>
        </w:rPr>
        <w:t>disasterfusion/</w:t>
        <w:br/>
        <w:t xml:space="preserve">  README.md                Canonical setup + quickstart</w:t>
        <w:br/>
        <w:t xml:space="preserve">  PARSER_USAGE.md          Report-parser usage notes</w:t>
        <w:br/>
        <w:t xml:space="preserve">  requirements.txt         Pinned Python dependencies</w:t>
        <w:br/>
        <w:t xml:space="preserve">  .env.example             Required environment variables</w:t>
        <w:br/>
        <w:t xml:space="preserve">  api/                     FastAPI service (main.py, pipeline_runner.py, nl_query.py)</w:t>
        <w:br/>
        <w:t xml:space="preserve">  src/</w:t>
        <w:br/>
        <w:t xml:space="preserve">    video_pipeline/        S3 upload, Pegasus, Marengo async, geo simulator, validation</w:t>
        <w:br/>
        <w:t xml:space="preserve">    report_parser/         Claude-based parser, Overture geocoder</w:t>
        <w:br/>
        <w:t xml:space="preserve">    fusion/                Pass A (cosine), Pass B (tiered), text embedder</w:t>
        <w:br/>
        <w:t xml:space="preserve">    output/                Frontend transformer, alerts, map / GeoJSON / CSV exporters</w:t>
        <w:br/>
        <w:t xml:space="preserve">    shared/                Dataclasses, config loaders, evaluation utilities</w:t>
        <w:br/>
        <w:t xml:space="preserve">  config/</w:t>
        <w:br/>
        <w:t xml:space="preserve">    disaster_types.yaml    Per-disaster Pegasus prompt + severity map</w:t>
        <w:br/>
        <w:t xml:space="preserve">    thresholds.yaml        Pass A/B thresholds, confidence weights</w:t>
        <w:br/>
        <w:t xml:space="preserve">  data/</w:t>
        <w:br/>
        <w:t xml:space="preserve">    raw/videos/            Input MP4s</w:t>
        <w:br/>
        <w:t xml:space="preserve">    raw/reports/           Input PDFs / DOCX / JSON / TXT</w:t>
        <w:br/>
        <w:t xml:space="preserve">    processed/             Per-stage JSON intermediates</w:t>
        <w:br/>
        <w:t xml:space="preserve">    ground_truth/          Manual cross-source validation set</w:t>
        <w:br/>
        <w:t xml:space="preserve">  scripts/                 Step-by-step replay scripts (m2…m6)</w:t>
        <w:br/>
        <w:t xml:space="preserve">  docs/                    Architecture, technical doc, validation, IPE</w:t>
        <w:br/>
        <w:t xml:space="preserve">  exports/                 Generated GeoJSON / CSV / map HTML / master_findings.json</w:t>
        <w:br/>
        <w:t xml:space="preserve">  demo/                    Demo script + recorded walkthrough</w:t>
      </w:r>
    </w:p>
    <w:p>
      <w:pPr>
        <w:pStyle w:val="Heading2"/>
      </w:pPr>
      <w:r>
        <w:t>13.1 Setup checklist (six steps)</w:t>
      </w:r>
    </w:p>
    <w:p>
      <w:pPr>
        <w:pStyle w:val="ListNumber"/>
        <w:spacing w:after="40"/>
        <w:ind w:left="360"/>
      </w:pPr>
      <w:r>
        <w:t>Clone the repository.</w:t>
      </w:r>
    </w:p>
    <w:p>
      <w:pPr>
        <w:pStyle w:val="ListNumber"/>
        <w:spacing w:after="40"/>
        <w:ind w:left="360"/>
      </w:pPr>
      <w:r>
        <w:t>Create a Python 3.10+ virtual environment and install requirements.txt.</w:t>
      </w:r>
    </w:p>
    <w:p>
      <w:pPr>
        <w:pStyle w:val="ListNumber"/>
        <w:spacing w:after="40"/>
        <w:ind w:left="360"/>
      </w:pPr>
      <w:r>
        <w:t>Copy .env.example to .env and fill in: AWS_REGION (us-east-1), S3_BUCKET, S3_VIDEOS_PATH, AWS credentials with Bedrock + S3 access, optional SNS_TOPIC_ARN, model ID overrides.</w:t>
      </w:r>
    </w:p>
    <w:p>
      <w:pPr>
        <w:pStyle w:val="ListNumber"/>
        <w:spacing w:after="40"/>
        <w:ind w:left="360"/>
      </w:pPr>
      <w:r>
        <w:t>Confirm Bedrock model access for Pegasus 1.2, Marengo 3.0, and Claude Haiku 4.5 in the console (must be enabled in us-east-1).</w:t>
      </w:r>
    </w:p>
    <w:p>
      <w:pPr>
        <w:pStyle w:val="ListNumber"/>
        <w:spacing w:after="40"/>
        <w:ind w:left="360"/>
      </w:pPr>
      <w:r>
        <w:t>Run a smoke test: python scripts/m2_smoke.py with a small video to verify S3 upload + Pegasus + Marengo connectivity.</w:t>
      </w:r>
    </w:p>
    <w:p>
      <w:pPr>
        <w:pStyle w:val="ListNumber"/>
        <w:spacing w:after="40"/>
        <w:ind w:left="360"/>
      </w:pPr>
      <w:r>
        <w:t>Launch the API: uvicorn api.main:app --host 0.0.0.0 --port 8000. POST a video to /analyze and poll /jobs/{job_id} until completed.</w:t>
      </w:r>
    </w:p>
    <w:p>
      <w:pPr>
        <w:pStyle w:val="Heading2"/>
      </w:pPr>
      <w:r>
        <w:t>13.2 Environment variables</w:t>
      </w:r>
    </w:p>
    <w:tbl>
      <w:tblPr>
        <w:tblStyle w:val="LightGrid-Accent1"/>
        <w:tblW w:type="auto" w:w="0"/>
        <w:tblLook w:firstColumn="1" w:firstRow="1" w:lastColumn="0" w:lastRow="0" w:noHBand="0" w:noVBand="1" w:val="04A0"/>
      </w:tblPr>
      <w:tblGrid>
        <w:gridCol w:w="3249"/>
        <w:gridCol w:w="3249"/>
        <w:gridCol w:w="3249"/>
      </w:tblGrid>
      <w:tr>
        <w:tc>
          <w:tcPr>
            <w:tcW w:type="dxa" w:w="3312"/>
            <w:shd w:val="clear" w:color="auto" w:fill="1A3A5C"/>
          </w:tcPr>
          <w:p>
            <w:r/>
            <w:r>
              <w:rPr>
                <w:b/>
                <w:color w:val="FFFFFF"/>
                <w:sz w:val="20"/>
              </w:rPr>
              <w:t>Variable</w:t>
            </w:r>
          </w:p>
        </w:tc>
        <w:tc>
          <w:tcPr>
            <w:tcW w:type="dxa" w:w="1152"/>
            <w:shd w:val="clear" w:color="auto" w:fill="1A3A5C"/>
          </w:tcPr>
          <w:p>
            <w:r/>
            <w:r>
              <w:rPr>
                <w:b/>
                <w:color w:val="FFFFFF"/>
                <w:sz w:val="20"/>
              </w:rPr>
              <w:t>Required</w:t>
            </w:r>
          </w:p>
        </w:tc>
        <w:tc>
          <w:tcPr>
            <w:tcW w:type="dxa" w:w="5328"/>
            <w:shd w:val="clear" w:color="auto" w:fill="1A3A5C"/>
          </w:tcPr>
          <w:p>
            <w:r/>
            <w:r>
              <w:rPr>
                <w:b/>
                <w:color w:val="FFFFFF"/>
                <w:sz w:val="20"/>
              </w:rPr>
              <w:t>Purpose</w:t>
            </w:r>
          </w:p>
        </w:tc>
      </w:tr>
      <w:tr>
        <w:tc>
          <w:tcPr>
            <w:tcW w:type="dxa" w:w="3312"/>
          </w:tcPr>
          <w:p>
            <w:r>
              <w:rPr>
                <w:sz w:val="20"/>
              </w:rPr>
              <w:t>AWS_REGION</w:t>
            </w:r>
          </w:p>
        </w:tc>
        <w:tc>
          <w:tcPr>
            <w:tcW w:type="dxa" w:w="1152"/>
          </w:tcPr>
          <w:p>
            <w:r>
              <w:rPr>
                <w:sz w:val="20"/>
              </w:rPr>
              <w:t>yes</w:t>
            </w:r>
          </w:p>
        </w:tc>
        <w:tc>
          <w:tcPr>
            <w:tcW w:type="dxa" w:w="5328"/>
          </w:tcPr>
          <w:p>
            <w:r>
              <w:rPr>
                <w:sz w:val="20"/>
              </w:rPr>
              <w:t>us-east-1 (Bedrock model availability)</w:t>
            </w:r>
          </w:p>
        </w:tc>
      </w:tr>
      <w:tr>
        <w:tc>
          <w:tcPr>
            <w:tcW w:type="dxa" w:w="3312"/>
          </w:tcPr>
          <w:p>
            <w:r>
              <w:rPr>
                <w:sz w:val="20"/>
              </w:rPr>
              <w:t>AWS_ACCESS_KEY_ID / SECRET</w:t>
            </w:r>
          </w:p>
        </w:tc>
        <w:tc>
          <w:tcPr>
            <w:tcW w:type="dxa" w:w="1152"/>
          </w:tcPr>
          <w:p>
            <w:r>
              <w:rPr>
                <w:sz w:val="20"/>
              </w:rPr>
              <w:t>yes</w:t>
            </w:r>
          </w:p>
        </w:tc>
        <w:tc>
          <w:tcPr>
            <w:tcW w:type="dxa" w:w="5328"/>
          </w:tcPr>
          <w:p>
            <w:r>
              <w:rPr>
                <w:sz w:val="20"/>
              </w:rPr>
              <w:t>IAM credentials for Bedrock + S3</w:t>
            </w:r>
          </w:p>
        </w:tc>
      </w:tr>
      <w:tr>
        <w:tc>
          <w:tcPr>
            <w:tcW w:type="dxa" w:w="3312"/>
          </w:tcPr>
          <w:p>
            <w:r>
              <w:rPr>
                <w:sz w:val="20"/>
              </w:rPr>
              <w:t>S3_BUCKET</w:t>
            </w:r>
          </w:p>
        </w:tc>
        <w:tc>
          <w:tcPr>
            <w:tcW w:type="dxa" w:w="1152"/>
          </w:tcPr>
          <w:p>
            <w:r>
              <w:rPr>
                <w:sz w:val="20"/>
              </w:rPr>
              <w:t>yes</w:t>
            </w:r>
          </w:p>
        </w:tc>
        <w:tc>
          <w:tcPr>
            <w:tcW w:type="dxa" w:w="5328"/>
          </w:tcPr>
          <w:p>
            <w:r>
              <w:rPr>
                <w:sz w:val="20"/>
              </w:rPr>
              <w:t>Bucket for video uploads and Marengo embedding output</w:t>
            </w:r>
          </w:p>
        </w:tc>
      </w:tr>
      <w:tr>
        <w:tc>
          <w:tcPr>
            <w:tcW w:type="dxa" w:w="3312"/>
          </w:tcPr>
          <w:p>
            <w:r>
              <w:rPr>
                <w:sz w:val="20"/>
              </w:rPr>
              <w:t>S3_VIDEOS_PATH</w:t>
            </w:r>
          </w:p>
        </w:tc>
        <w:tc>
          <w:tcPr>
            <w:tcW w:type="dxa" w:w="1152"/>
          </w:tcPr>
          <w:p>
            <w:r>
              <w:rPr>
                <w:sz w:val="20"/>
              </w:rPr>
              <w:t>yes</w:t>
            </w:r>
          </w:p>
        </w:tc>
        <w:tc>
          <w:tcPr>
            <w:tcW w:type="dxa" w:w="5328"/>
          </w:tcPr>
          <w:p>
            <w:r>
              <w:rPr>
                <w:sz w:val="20"/>
              </w:rPr>
              <w:t>Prefix under the bucket for incoming videos</w:t>
            </w:r>
          </w:p>
        </w:tc>
      </w:tr>
      <w:tr>
        <w:tc>
          <w:tcPr>
            <w:tcW w:type="dxa" w:w="3312"/>
          </w:tcPr>
          <w:p>
            <w:r>
              <w:rPr>
                <w:sz w:val="20"/>
              </w:rPr>
              <w:t>PEGASUS_MODEL_ID</w:t>
            </w:r>
          </w:p>
        </w:tc>
        <w:tc>
          <w:tcPr>
            <w:tcW w:type="dxa" w:w="1152"/>
          </w:tcPr>
          <w:p>
            <w:r>
              <w:rPr>
                <w:sz w:val="20"/>
              </w:rPr>
              <w:t>no</w:t>
            </w:r>
          </w:p>
        </w:tc>
        <w:tc>
          <w:tcPr>
            <w:tcW w:type="dxa" w:w="5328"/>
          </w:tcPr>
          <w:p>
            <w:r>
              <w:rPr>
                <w:sz w:val="20"/>
              </w:rPr>
              <w:t>Override (default: us.twelvelabs.pegasus-1-2-v1:0)</w:t>
            </w:r>
          </w:p>
        </w:tc>
      </w:tr>
      <w:tr>
        <w:tc>
          <w:tcPr>
            <w:tcW w:type="dxa" w:w="3312"/>
          </w:tcPr>
          <w:p>
            <w:r>
              <w:rPr>
                <w:sz w:val="20"/>
              </w:rPr>
              <w:t>MARENGO_MODEL_ID</w:t>
            </w:r>
          </w:p>
        </w:tc>
        <w:tc>
          <w:tcPr>
            <w:tcW w:type="dxa" w:w="1152"/>
          </w:tcPr>
          <w:p>
            <w:r>
              <w:rPr>
                <w:sz w:val="20"/>
              </w:rPr>
              <w:t>no</w:t>
            </w:r>
          </w:p>
        </w:tc>
        <w:tc>
          <w:tcPr>
            <w:tcW w:type="dxa" w:w="5328"/>
          </w:tcPr>
          <w:p>
            <w:r>
              <w:rPr>
                <w:sz w:val="20"/>
              </w:rPr>
              <w:t>Override async (default: twelvelabs.marengo-embed-3-0-v1:0)</w:t>
            </w:r>
          </w:p>
        </w:tc>
      </w:tr>
      <w:tr>
        <w:tc>
          <w:tcPr>
            <w:tcW w:type="dxa" w:w="3312"/>
          </w:tcPr>
          <w:p>
            <w:r>
              <w:rPr>
                <w:sz w:val="20"/>
              </w:rPr>
              <w:t>MARENGO_SYNC_MODEL_ID</w:t>
            </w:r>
          </w:p>
        </w:tc>
        <w:tc>
          <w:tcPr>
            <w:tcW w:type="dxa" w:w="1152"/>
          </w:tcPr>
          <w:p>
            <w:r>
              <w:rPr>
                <w:sz w:val="20"/>
              </w:rPr>
              <w:t>no</w:t>
            </w:r>
          </w:p>
        </w:tc>
        <w:tc>
          <w:tcPr>
            <w:tcW w:type="dxa" w:w="5328"/>
          </w:tcPr>
          <w:p>
            <w:r>
              <w:rPr>
                <w:sz w:val="20"/>
              </w:rPr>
              <w:t>Override sync (default: us.twelvelabs.marengo-embed-3-0-v1:0)</w:t>
            </w:r>
          </w:p>
        </w:tc>
      </w:tr>
      <w:tr>
        <w:tc>
          <w:tcPr>
            <w:tcW w:type="dxa" w:w="3312"/>
          </w:tcPr>
          <w:p>
            <w:r>
              <w:rPr>
                <w:sz w:val="20"/>
              </w:rPr>
              <w:t>CLAUDE_MODEL_ID</w:t>
            </w:r>
          </w:p>
        </w:tc>
        <w:tc>
          <w:tcPr>
            <w:tcW w:type="dxa" w:w="1152"/>
          </w:tcPr>
          <w:p>
            <w:r>
              <w:rPr>
                <w:sz w:val="20"/>
              </w:rPr>
              <w:t>no</w:t>
            </w:r>
          </w:p>
        </w:tc>
        <w:tc>
          <w:tcPr>
            <w:tcW w:type="dxa" w:w="5328"/>
          </w:tcPr>
          <w:p>
            <w:r>
              <w:rPr>
                <w:sz w:val="20"/>
              </w:rPr>
              <w:t>Override (default: us.anthropic.claude-haiku-4-5-20251001-v1:0)</w:t>
            </w:r>
          </w:p>
        </w:tc>
      </w:tr>
      <w:tr>
        <w:tc>
          <w:tcPr>
            <w:tcW w:type="dxa" w:w="3312"/>
          </w:tcPr>
          <w:p>
            <w:r>
              <w:rPr>
                <w:sz w:val="20"/>
              </w:rPr>
              <w:t>SNS_TOPIC_ARN</w:t>
            </w:r>
          </w:p>
        </w:tc>
        <w:tc>
          <w:tcPr>
            <w:tcW w:type="dxa" w:w="1152"/>
          </w:tcPr>
          <w:p>
            <w:r>
              <w:rPr>
                <w:sz w:val="20"/>
              </w:rPr>
              <w:t>no</w:t>
            </w:r>
          </w:p>
        </w:tc>
        <w:tc>
          <w:tcPr>
            <w:tcW w:type="dxa" w:w="5328"/>
          </w:tcPr>
          <w:p>
            <w:r>
              <w:rPr>
                <w:sz w:val="20"/>
              </w:rPr>
              <w:t>If set, alerts are published to this SNS topic</w:t>
            </w:r>
          </w:p>
        </w:tc>
      </w:tr>
    </w:tbl>
    <w:p>
      <w:pPr>
        <w:pStyle w:val="Heading2"/>
      </w:pPr>
      <w:r>
        <w:t>13.3 Reproducibility commitments</w:t>
      </w:r>
    </w:p>
    <w:p>
      <w:pPr>
        <w:pStyle w:val="ListBullet"/>
        <w:spacing w:after="40"/>
        <w:ind w:left="360"/>
      </w:pPr>
      <w:r>
        <w:t>All Bedrock model IDs are resolvable via environment variables — pinned by default to known-good versions.</w:t>
      </w:r>
    </w:p>
    <w:p>
      <w:pPr>
        <w:pStyle w:val="ListBullet"/>
        <w:spacing w:after="40"/>
        <w:ind w:left="360"/>
      </w:pPr>
      <w:r>
        <w:t>The Overture release ID (2026-04-15.0) is hard-coded in the geocoder so geocoding results are stable across runs.</w:t>
      </w:r>
    </w:p>
    <w:p>
      <w:pPr>
        <w:pStyle w:val="ListBullet"/>
        <w:spacing w:after="40"/>
        <w:ind w:left="360"/>
      </w:pPr>
      <w:r>
        <w:t>The geo simulator accepts a numpy seed (default: 42); identical inputs produce identical outputs.</w:t>
      </w:r>
    </w:p>
    <w:p>
      <w:pPr>
        <w:pStyle w:val="ListBullet"/>
        <w:spacing w:after="40"/>
        <w:ind w:left="360"/>
      </w:pPr>
      <w:r>
        <w:t>Every pipeline stage writes to data/processed/ with a run prefix, so any single stage can be re-run from on-disk inputs without re-invoking upstream models.</w:t>
      </w:r>
    </w:p>
    <w:p>
      <w:pPr>
        <w:pStyle w:val="ListBullet"/>
        <w:spacing w:after="40"/>
        <w:ind w:left="360"/>
      </w:pPr>
      <w:r>
        <w:t>The ground-truth set lives in data/ground_truth/ and is committed to the repository.</w:t>
      </w:r>
    </w:p>
    <w:p>
      <w:r>
        <w:br w:type="page"/>
      </w:r>
    </w:p>
    <w:p>
      <w:pPr>
        <w:pStyle w:val="Heading1"/>
      </w:pPr>
      <w:r>
        <w:t>Appendix A — Data Contracts</w:t>
      </w:r>
    </w:p>
    <w:p>
      <w:pPr>
        <w:spacing w:after="80"/>
      </w:pPr>
      <w:r>
        <w:rPr>
          <w:b w:val="0"/>
          <w:i w:val="0"/>
          <w:sz w:val="22"/>
        </w:rPr>
        <w:t>These are the three core dataclasses the pipeline passes between stages. Field-level definitions are reproduced here for reviewers; the canonical source is src/shared/models.py.</w:t>
      </w:r>
    </w:p>
    <w:p>
      <w:pPr>
        <w:pStyle w:val="Heading2"/>
      </w:pPr>
      <w:r>
        <w:t>VideoFinding</w:t>
      </w:r>
    </w:p>
    <w:p>
      <w:pPr>
        <w:pStyle w:val="CodeBlock"/>
        <w:spacing w:before="40" w:after="160"/>
        <w:ind w:left="360"/>
        <w:shd w:val="clear" w:color="auto" w:fill="F4F4F0"/>
      </w:pPr>
      <w:r>
        <w:rPr>
          <w:rFonts w:ascii="Consolas" w:hAnsi="Consolas"/>
          <w:sz w:val="18"/>
        </w:rPr>
        <w:t>@dataclass</w:t>
        <w:br/>
        <w:t>class VideoFinding:</w:t>
        <w:br/>
        <w:t xml:space="preserve">    finding_id: str                 # e.g. "vf-70ac2e3d"</w:t>
        <w:br/>
        <w:t xml:space="preserve">    source_video: str               # filename or S3 key</w:t>
        <w:br/>
        <w:t xml:space="preserve">    timestamp_start: float          # seconds</w:t>
        <w:br/>
        <w:t xml:space="preserve">    timestamp_end: float            # seconds</w:t>
        <w:br/>
        <w:t xml:space="preserve">    capture_date: Optional[str]</w:t>
        <w:br/>
        <w:t xml:space="preserve">    capture_date_source: Optional[str]</w:t>
        <w:br/>
        <w:t xml:space="preserve">    damage_type: str                # enum</w:t>
        <w:br/>
        <w:t xml:space="preserve">    severity: str                   # enum</w:t>
        <w:br/>
        <w:t xml:space="preserve">    damage_description: str</w:t>
        <w:br/>
        <w:t xml:space="preserve">    structures_affected: Optional[int]</w:t>
        <w:br/>
        <w:t xml:space="preserve">    building_type: str              # enum</w:t>
        <w:br/>
        <w:t xml:space="preserve">    building_name: Optional[str]</w:t>
        <w:br/>
        <w:t xml:space="preserve">    location_indicators: list[str]</w:t>
        <w:br/>
        <w:t xml:space="preserve">    named_entities: list[str]</w:t>
        <w:br/>
        <w:t xml:space="preserve">    geo: Optional[tuple[float, float]]</w:t>
        <w:br/>
        <w:t xml:space="preserve">    geo_method: Optional[str]</w:t>
        <w:br/>
        <w:t xml:space="preserve">    geo_confidence: str             # high|medium|low|unresolved</w:t>
        <w:br/>
        <w:t xml:space="preserve">    infrastructure_impacts: list[str]</w:t>
        <w:br/>
        <w:t xml:space="preserve">    visual_evidence_quality: str    # high|medium|low</w:t>
        <w:br/>
        <w:t xml:space="preserve">    is_valid: bool</w:t>
        <w:br/>
        <w:t xml:space="preserve">    validation_errors: list[str]</w:t>
      </w:r>
    </w:p>
    <w:p>
      <w:pPr>
        <w:pStyle w:val="Heading2"/>
      </w:pPr>
      <w:r>
        <w:t>ReportClaim</w:t>
      </w:r>
    </w:p>
    <w:p>
      <w:pPr>
        <w:pStyle w:val="CodeBlock"/>
        <w:spacing w:before="40" w:after="160"/>
        <w:ind w:left="360"/>
        <w:shd w:val="clear" w:color="auto" w:fill="F4F4F0"/>
      </w:pPr>
      <w:r>
        <w:rPr>
          <w:rFonts w:ascii="Consolas" w:hAnsi="Consolas"/>
          <w:sz w:val="18"/>
        </w:rPr>
        <w:t>@dataclass</w:t>
        <w:br/>
        <w:t>class ReportClaim:</w:t>
        <w:br/>
        <w:t xml:space="preserve">    claim_id: str                   # e.g. "rc-001"</w:t>
        <w:br/>
        <w:t xml:space="preserve">    source_document: str</w:t>
        <w:br/>
        <w:t xml:space="preserve">    source_type: str                # fema_pda|news_report|nws_survey|...</w:t>
        <w:br/>
        <w:t xml:space="preserve">    location_name: str</w:t>
        <w:br/>
        <w:t xml:space="preserve">    lat: Optional[float]</w:t>
        <w:br/>
        <w:t xml:space="preserve">    lon: Optional[float]</w:t>
        <w:br/>
        <w:t xml:space="preserve">    county_parish: Optional[str]</w:t>
        <w:br/>
        <w:t xml:space="preserve">    state: Optional[str]</w:t>
        <w:br/>
        <w:t xml:space="preserve">    geo_confidence: str</w:t>
        <w:br/>
        <w:t xml:space="preserve">    geo_source: str</w:t>
        <w:br/>
        <w:t xml:space="preserve">    damage_type: Optional[str]</w:t>
        <w:br/>
        <w:t xml:space="preserve">    severity: str</w:t>
        <w:br/>
        <w:t xml:space="preserve">    damage_description: str</w:t>
        <w:br/>
        <w:t xml:space="preserve">    building_type: Optional[str]</w:t>
        <w:br/>
        <w:t xml:space="preserve">    building_name: Optional[str]</w:t>
        <w:br/>
        <w:t xml:space="preserve">    structures_affected: Optional[int]</w:t>
        <w:br/>
        <w:t xml:space="preserve">    cost_estimate: Optional[float]</w:t>
        <w:br/>
        <w:t xml:space="preserve">    ef_rating: Optional[str]</w:t>
        <w:br/>
        <w:t xml:space="preserve">    event_type: Optional[str]</w:t>
        <w:br/>
        <w:t xml:space="preserve">    event_name: Optional[str]</w:t>
        <w:br/>
        <w:t xml:space="preserve">    event_date: Optional[str]</w:t>
        <w:br/>
        <w:t xml:space="preserve">    report_date: Optional[str]</w:t>
        <w:br/>
        <w:t xml:space="preserve">    operational_status: Optional[str]</w:t>
        <w:br/>
        <w:t xml:space="preserve">    additional_context: Optional[str]</w:t>
        <w:br/>
        <w:t xml:space="preserve">    is_valid: bool</w:t>
        <w:br/>
        <w:t xml:space="preserve">    validation_errors: list[str]</w:t>
      </w:r>
    </w:p>
    <w:p>
      <w:pPr>
        <w:pStyle w:val="Heading2"/>
      </w:pPr>
      <w:r>
        <w:t>FusedFinding</w:t>
      </w:r>
    </w:p>
    <w:p>
      <w:pPr>
        <w:pStyle w:val="CodeBlock"/>
        <w:spacing w:before="40" w:after="160"/>
        <w:ind w:left="360"/>
        <w:shd w:val="clear" w:color="auto" w:fill="F4F4F0"/>
      </w:pPr>
      <w:r>
        <w:rPr>
          <w:rFonts w:ascii="Consolas" w:hAnsi="Consolas"/>
          <w:sz w:val="18"/>
        </w:rPr>
        <w:t>@dataclass</w:t>
        <w:br/>
        <w:t>class FusedFinding:</w:t>
        <w:br/>
        <w:t xml:space="preserve">    finding_id: str</w:t>
        <w:br/>
        <w:t xml:space="preserve">    classification: str             # corroborated|discrepancy|unreported|unverified</w:t>
        <w:br/>
        <w:t xml:space="preserve">    video_finding: Optional[VideoFinding]</w:t>
        <w:br/>
        <w:t xml:space="preserve">    report_claim: Optional[ReportClaim]</w:t>
        <w:br/>
        <w:t xml:space="preserve">    confidence_score: float         # 0.0 - 1.0</w:t>
        <w:br/>
        <w:t xml:space="preserve">    confidence_breakdown: dict      # per-component scores</w:t>
        <w:br/>
        <w:t xml:space="preserve">    lat: Optional[float]</w:t>
        <w:br/>
        <w:t xml:space="preserve">    lon: Optional[float]</w:t>
        <w:br/>
        <w:t xml:space="preserve">    location_source: Optional[str]  # report|video|both</w:t>
        <w:br/>
        <w:t xml:space="preserve">    event_date: Optional[str]</w:t>
        <w:br/>
        <w:t xml:space="preserve">    discrepancy_type: Optional[str] # severity_mismatch|damage_type_mismatch|location_offset</w:t>
        <w:br/>
        <w:t xml:space="preserve">    discrepancy_detail: Optional[str]</w:t>
        <w:br/>
        <w:t xml:space="preserve">    evidence_summary: str           # human-readable</w:t>
        <w:br/>
        <w:t xml:space="preserve">    evidence_segments: list[dict]   # supporting Pass A clips</w:t>
      </w:r>
    </w:p>
    <w:p>
      <w:r>
        <w:br w:type="page"/>
      </w:r>
    </w:p>
    <w:p>
      <w:pPr>
        <w:pStyle w:val="Heading1"/>
      </w:pPr>
      <w:r>
        <w:t>Appendix B — Rubric Coverage Map</w:t>
      </w:r>
    </w:p>
    <w:p>
      <w:pPr>
        <w:spacing w:after="80"/>
      </w:pPr>
      <w:r>
        <w:rPr>
          <w:b w:val="0"/>
          <w:i w:val="0"/>
          <w:sz w:val="22"/>
        </w:rPr>
        <w:t>DisasterFusion's coverage of the Track 03 evaluation rubric. Every weighted criterion is hit by at least one named system component, documented in the section below.</w:t>
      </w:r>
    </w:p>
    <w:tbl>
      <w:tblPr>
        <w:tblStyle w:val="LightGrid-Accent1"/>
        <w:tblW w:type="auto" w:w="0"/>
        <w:tblLook w:firstColumn="1" w:firstRow="1" w:lastColumn="0" w:lastRow="0" w:noHBand="0" w:noVBand="1" w:val="04A0"/>
      </w:tblPr>
      <w:tblGrid>
        <w:gridCol w:w="3249"/>
        <w:gridCol w:w="3249"/>
        <w:gridCol w:w="3249"/>
      </w:tblGrid>
      <w:tr>
        <w:tc>
          <w:tcPr>
            <w:tcW w:type="dxa" w:w="3456"/>
            <w:shd w:val="clear" w:color="auto" w:fill="1A3A5C"/>
          </w:tcPr>
          <w:p>
            <w:r/>
            <w:r>
              <w:rPr>
                <w:b/>
                <w:color w:val="FFFFFF"/>
                <w:sz w:val="20"/>
              </w:rPr>
              <w:t>Rubric criterion</w:t>
            </w:r>
          </w:p>
        </w:tc>
        <w:tc>
          <w:tcPr>
            <w:tcW w:type="dxa" w:w="864"/>
            <w:shd w:val="clear" w:color="auto" w:fill="1A3A5C"/>
          </w:tcPr>
          <w:p>
            <w:r/>
            <w:r>
              <w:rPr>
                <w:b/>
                <w:color w:val="FFFFFF"/>
                <w:sz w:val="20"/>
              </w:rPr>
              <w:t>Weight</w:t>
            </w:r>
          </w:p>
        </w:tc>
        <w:tc>
          <w:tcPr>
            <w:tcW w:type="dxa" w:w="5760"/>
            <w:shd w:val="clear" w:color="auto" w:fill="1A3A5C"/>
          </w:tcPr>
          <w:p>
            <w:r/>
            <w:r>
              <w:rPr>
                <w:b/>
                <w:color w:val="FFFFFF"/>
                <w:sz w:val="20"/>
              </w:rPr>
              <w:t>DisasterFusion evidence</w:t>
            </w:r>
          </w:p>
        </w:tc>
      </w:tr>
      <w:tr>
        <w:tc>
          <w:tcPr>
            <w:tcW w:type="dxa" w:w="3456"/>
          </w:tcPr>
          <w:p>
            <w:r>
              <w:rPr>
                <w:sz w:val="20"/>
              </w:rPr>
              <w:t>Multi-Source Integration</w:t>
              <w:br/>
              <w:t>(fusion architecture, correlation accuracy, semantic alignment, temporal synchronisation)</w:t>
            </w:r>
          </w:p>
        </w:tc>
        <w:tc>
          <w:tcPr>
            <w:tcW w:type="dxa" w:w="864"/>
          </w:tcPr>
          <w:p>
            <w:r>
              <w:rPr>
                <w:sz w:val="20"/>
              </w:rPr>
              <w:t>30%</w:t>
            </w:r>
          </w:p>
        </w:tc>
        <w:tc>
          <w:tcPr>
            <w:tcW w:type="dxa" w:w="5760"/>
          </w:tcPr>
          <w:p>
            <w:r>
              <w:rPr>
                <w:sz w:val="20"/>
              </w:rPr>
              <w:t>Two-pass fusion engine (§5); shared damage taxonomy (§3.2, §4.3); cross-modal Marengo cosine (§5.1); temporal alignment within and across sources (§7); confidence breakdown (§8).</w:t>
            </w:r>
          </w:p>
        </w:tc>
      </w:tr>
      <w:tr>
        <w:tc>
          <w:tcPr>
            <w:tcW w:type="dxa" w:w="3456"/>
          </w:tcPr>
          <w:p>
            <w:r>
              <w:rPr>
                <w:sz w:val="20"/>
              </w:rPr>
              <w:t>Intelligence Value</w:t>
              <w:br/>
              <w:t>(insight generation, analytical depth, actionability, evidence strength)</w:t>
            </w:r>
          </w:p>
        </w:tc>
        <w:tc>
          <w:tcPr>
            <w:tcW w:type="dxa" w:w="864"/>
          </w:tcPr>
          <w:p>
            <w:r>
              <w:rPr>
                <w:sz w:val="20"/>
              </w:rPr>
              <w:t>25%</w:t>
            </w:r>
          </w:p>
        </w:tc>
        <w:tc>
          <w:tcPr>
            <w:tcW w:type="dxa" w:w="5760"/>
          </w:tcPr>
          <w:p>
            <w:r>
              <w:rPr>
                <w:sz w:val="20"/>
              </w:rPr>
              <w:t>Four-class output unique to fusion: corroborated · discrepancy · unreported · unverified (§5.3, §5.5); every finding ships with an evidence chain (§9); SNS alerts on HIGH/MEDIUM priority signals (§11).</w:t>
            </w:r>
          </w:p>
        </w:tc>
      </w:tr>
      <w:tr>
        <w:tc>
          <w:tcPr>
            <w:tcW w:type="dxa" w:w="3456"/>
          </w:tcPr>
          <w:p>
            <w:r>
              <w:rPr>
                <w:sz w:val="20"/>
              </w:rPr>
              <w:t>Video Understanding</w:t>
              <w:br/>
              <w:t>(temporal reasoning, multimodal extraction, Marengo + Pegasus usage)</w:t>
            </w:r>
          </w:p>
        </w:tc>
        <w:tc>
          <w:tcPr>
            <w:tcW w:type="dxa" w:w="864"/>
          </w:tcPr>
          <w:p>
            <w:r>
              <w:rPr>
                <w:sz w:val="20"/>
              </w:rPr>
              <w:t>20%</w:t>
            </w:r>
          </w:p>
        </w:tc>
        <w:tc>
          <w:tcPr>
            <w:tcW w:type="dxa" w:w="5760"/>
          </w:tcPr>
          <w:p>
            <w:r>
              <w:rPr>
                <w:sz w:val="20"/>
              </w:rPr>
              <w:t>Pegasus 1.2 for findings, Marengo 3.0 for visual + audio embeddings (§3.3); Pass A operates on both modalities and reports the winner (§5.1); deep-link timestamps on every match (§7.1).</w:t>
            </w:r>
          </w:p>
        </w:tc>
      </w:tr>
      <w:tr>
        <w:tc>
          <w:tcPr>
            <w:tcW w:type="dxa" w:w="3456"/>
          </w:tcPr>
          <w:p>
            <w:r>
              <w:rPr>
                <w:sz w:val="20"/>
              </w:rPr>
              <w:t>System Design</w:t>
              <w:br/>
              <w:t>(scalability, processing efficiency, error handling, query interface)</w:t>
            </w:r>
          </w:p>
        </w:tc>
        <w:tc>
          <w:tcPr>
            <w:tcW w:type="dxa" w:w="864"/>
          </w:tcPr>
          <w:p>
            <w:r>
              <w:rPr>
                <w:sz w:val="20"/>
              </w:rPr>
              <w:t>15%</w:t>
            </w:r>
          </w:p>
        </w:tc>
        <w:tc>
          <w:tcPr>
            <w:tcW w:type="dxa" w:w="5760"/>
          </w:tcPr>
          <w:p>
            <w:r>
              <w:rPr>
                <w:sz w:val="20"/>
              </w:rPr>
              <w:t>Cost-staged pipeline with cheap filters first (§5, §12); flag-don't-drop validation (§3.5, §10); REST + NL query API (§11); environment-driven model overrides (§13.2).</w:t>
            </w:r>
          </w:p>
        </w:tc>
      </w:tr>
      <w:tr>
        <w:tc>
          <w:tcPr>
            <w:tcW w:type="dxa" w:w="3456"/>
          </w:tcPr>
          <w:p>
            <w:r>
              <w:rPr>
                <w:sz w:val="20"/>
              </w:rPr>
              <w:t>Technical Execution</w:t>
              <w:br/>
              <w:t>(code quality, data pipeline robustness, output formats, reproducibility)</w:t>
            </w:r>
          </w:p>
        </w:tc>
        <w:tc>
          <w:tcPr>
            <w:tcW w:type="dxa" w:w="864"/>
          </w:tcPr>
          <w:p>
            <w:r>
              <w:rPr>
                <w:sz w:val="20"/>
              </w:rPr>
              <w:t>10%</w:t>
            </w:r>
          </w:p>
        </w:tc>
        <w:tc>
          <w:tcPr>
            <w:tcW w:type="dxa" w:w="5760"/>
          </w:tcPr>
          <w:p>
            <w:r>
              <w:rPr>
                <w:sz w:val="20"/>
              </w:rPr>
              <w:t>Per-stage JSON intermediates (§4.5); pinned Overture release + seedable simulator (§13.3); exports to JSON, GeoJSON, and HTML map (§4.5, §11.1).</w:t>
            </w:r>
          </w:p>
        </w:tc>
      </w:tr>
    </w:tbl>
    <w:p>
      <w:pPr>
        <w:spacing w:after="80"/>
      </w:pPr>
      <w:r>
        <w:rPr>
          <w:b/>
          <w:i w:val="0"/>
          <w:sz w:val="22"/>
        </w:rPr>
        <w:t>Bonus point coverage:</w:t>
      </w:r>
    </w:p>
    <w:tbl>
      <w:tblPr>
        <w:tblStyle w:val="LightGrid-Accent1"/>
        <w:tblW w:type="auto" w:w="0"/>
        <w:tblLook w:firstColumn="1" w:firstRow="1" w:lastColumn="0" w:lastRow="0" w:noHBand="0" w:noVBand="1" w:val="04A0"/>
      </w:tblPr>
      <w:tblGrid>
        <w:gridCol w:w="4873"/>
        <w:gridCol w:w="4873"/>
      </w:tblGrid>
      <w:tr>
        <w:tc>
          <w:tcPr>
            <w:tcW w:type="dxa" w:w="3168"/>
            <w:shd w:val="clear" w:color="auto" w:fill="1A3A5C"/>
          </w:tcPr>
          <w:p>
            <w:r/>
            <w:r>
              <w:rPr>
                <w:b/>
                <w:color w:val="FFFFFF"/>
                <w:sz w:val="20"/>
              </w:rPr>
              <w:t>Bonus area</w:t>
            </w:r>
          </w:p>
        </w:tc>
        <w:tc>
          <w:tcPr>
            <w:tcW w:type="dxa" w:w="6768"/>
            <w:shd w:val="clear" w:color="auto" w:fill="1A3A5C"/>
          </w:tcPr>
          <w:p>
            <w:r/>
            <w:r>
              <w:rPr>
                <w:b/>
                <w:color w:val="FFFFFF"/>
                <w:sz w:val="20"/>
              </w:rPr>
              <w:t>DisasterFusion coverage</w:t>
            </w:r>
          </w:p>
        </w:tc>
      </w:tr>
      <w:tr>
        <w:tc>
          <w:tcPr>
            <w:tcW w:type="dxa" w:w="3168"/>
          </w:tcPr>
          <w:p>
            <w:r>
              <w:rPr>
                <w:sz w:val="20"/>
              </w:rPr>
              <w:t>3+ data modalities fused</w:t>
            </w:r>
          </w:p>
        </w:tc>
        <w:tc>
          <w:tcPr>
            <w:tcW w:type="dxa" w:w="6768"/>
          </w:tcPr>
          <w:p>
            <w:r>
              <w:rPr>
                <w:sz w:val="20"/>
              </w:rPr>
              <w:t>Video (visual + audio) + structured geospatial reference (Overture) + unstructured documents (PDF/DOCX/news/JSON).</w:t>
            </w:r>
          </w:p>
        </w:tc>
      </w:tr>
      <w:tr>
        <w:tc>
          <w:tcPr>
            <w:tcW w:type="dxa" w:w="3168"/>
          </w:tcPr>
          <w:p>
            <w:r>
              <w:rPr>
                <w:sz w:val="20"/>
              </w:rPr>
              <w:t>Provenance tracking (audit trail)</w:t>
            </w:r>
          </w:p>
        </w:tc>
        <w:tc>
          <w:tcPr>
            <w:tcW w:type="dxa" w:w="6768"/>
          </w:tcPr>
          <w:p>
            <w:r>
              <w:rPr>
                <w:sz w:val="20"/>
              </w:rPr>
              <w:t>§9 — every finding carries source clips, timestamps, claim excerpts, geocoding trail, and per-component confidence.</w:t>
            </w:r>
          </w:p>
        </w:tc>
      </w:tr>
      <w:tr>
        <w:tc>
          <w:tcPr>
            <w:tcW w:type="dxa" w:w="3168"/>
          </w:tcPr>
          <w:p>
            <w:r>
              <w:rPr>
                <w:sz w:val="20"/>
              </w:rPr>
              <w:t>Conflict resolution</w:t>
            </w:r>
          </w:p>
        </w:tc>
        <w:tc>
          <w:tcPr>
            <w:tcW w:type="dxa" w:w="6768"/>
          </w:tcPr>
          <w:p>
            <w:r>
              <w:rPr>
                <w:sz w:val="20"/>
              </w:rPr>
              <w:t>§5.4 — discrepancy classification with type and detail, both sides preserved.</w:t>
            </w:r>
          </w:p>
        </w:tc>
      </w:tr>
      <w:tr>
        <w:tc>
          <w:tcPr>
            <w:tcW w:type="dxa" w:w="3168"/>
          </w:tcPr>
          <w:p>
            <w:r>
              <w:rPr>
                <w:sz w:val="20"/>
              </w:rPr>
              <w:t>Natural-language querying with multi-source synthesis</w:t>
            </w:r>
          </w:p>
        </w:tc>
        <w:tc>
          <w:tcPr>
            <w:tcW w:type="dxa" w:w="6768"/>
          </w:tcPr>
          <w:p>
            <w:r>
              <w:rPr>
                <w:sz w:val="20"/>
              </w:rPr>
              <w:t>§11.2 — /jobs/{job_id}/query endpoint, Claude Haiku over fused findings, returns answer plus cited finding IDs.</w:t>
            </w:r>
          </w:p>
        </w:tc>
      </w:tr>
      <w:tr>
        <w:tc>
          <w:tcPr>
            <w:tcW w:type="dxa" w:w="3168"/>
          </w:tcPr>
          <w:p>
            <w:r>
              <w:rPr>
                <w:sz w:val="20"/>
              </w:rPr>
              <w:t>Real-time correlation</w:t>
            </w:r>
          </w:p>
        </w:tc>
        <w:tc>
          <w:tcPr>
            <w:tcW w:type="dxa" w:w="6768"/>
          </w:tcPr>
          <w:p>
            <w:r>
              <w:rPr>
                <w:sz w:val="20"/>
              </w:rPr>
              <w:t>Pipeline runs per-job in a background worker; ready to swap to a streaming queue for live ingest.</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557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4444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color w:val="22222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