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/>
        <w:jc w:val="center"/>
      </w:pPr>
      <w:r>
        <w:rPr>
          <w:rFonts w:ascii="Georgia" w:cs="Georgia" w:eastAsia="Georgia" w:hAnsi="Georgia"/>
          <w:b/>
          <w:bCs/>
          <w:color w:val="FFFFFF"/>
          <w:sz w:val="120"/>
          <w:szCs w:val="120"/>
        </w:rPr>
        <w:t xml:space="preserve">ChronoGrid</w:t>
      </w:r>
    </w:p>
    <w:p>
      <w:pPr>
        <w:pBdr>
          <w:bottom w:val="single" w:color="17A589" w:sz="6" w:space="1"/>
        </w:pBdr>
        <w:spacing w:after="120" w:before="0"/>
      </w:pPr>
    </w:p>
    <w:p>
      <w:pPr>
        <w:spacing w:after="60" w:before="120"/>
        <w:jc w:val="center"/>
      </w:pPr>
      <w:r>
        <w:rPr>
          <w:rFonts w:ascii="Georgia" w:cs="Georgia" w:eastAsia="Georgia" w:hAnsi="Georgia"/>
          <w:b/>
          <w:bCs/>
          <w:color w:val="17A589"/>
          <w:sz w:val="52"/>
          <w:szCs w:val="52"/>
        </w:rPr>
        <w:t xml:space="preserve">CRA / SBOM Timestamp Profile</w:t>
      </w:r>
    </w:p>
    <w:p>
      <w:pPr>
        <w:pBdr>
          <w:bottom w:val="single" w:color="C8D8E8" w:sz="2" w:space="1"/>
        </w:pBdr>
        <w:spacing w:after="0" w:before="0"/>
        <w:jc w:val="center"/>
      </w:pPr>
      <w:r>
        <w:rPr>
          <w:rFonts w:ascii="Georgia" w:cs="Georgia" w:eastAsia="Georgia" w:hAnsi="Georgia"/>
          <w:i/>
          <w:iCs/>
          <w:color w:val="333333"/>
          <w:sz w:val="18"/>
          <w:szCs w:val="18"/>
        </w:rPr>
        <w:t xml:space="preserve">CGFI als normativer Build-Timestamp  ·  CycloneDX / SPDX Integration  ·  GitHub Action PoC  ·  EU Cyber Resilience Act</w:t>
      </w:r>
    </w:p>
    <w:p>
      <w:pPr>
        <w:spacing w:after="100"/>
      </w:pPr>
    </w:p>
    <w:p>
      <w:pPr>
        <w:spacing w:after="40" w:before="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CG-APP-0910-2026  ·  Version 0.1 DRAFT  ·  April 2026  ·  Erstausgabe</w:t>
      </w:r>
    </w:p>
    <w:p>
      <w:pPr>
        <w:spacing w:after="40" w:before="0"/>
      </w:pPr>
      <w:r>
        <w:rPr>
          <w:rFonts w:ascii="Georgia" w:cs="Georgia" w:eastAsia="Georgia" w:hAnsi="Georgia"/>
          <w:color w:val="1A1A1A"/>
          <w:sz w:val="17"/>
          <w:szCs w:val="17"/>
        </w:rPr>
        <w:t xml:space="preserve">Herausgeber: ChronoGrid Systems  ·  Autor: Kurt, Founder &amp; Lead Architect</w:t>
      </w:r>
    </w:p>
    <w:p>
      <w:pPr>
        <w:spacing w:after="160" w:before="0"/>
      </w:pPr>
      <w:r>
        <w:rPr>
          <w:rFonts w:ascii="Georgia" w:cs="Georgia" w:eastAsia="Georgia" w:hAnsi="Georgia"/>
          <w:color w:val="17A589"/>
          <w:sz w:val="17"/>
          <w:szCs w:val="17"/>
        </w:rPr>
        <w:t xml:space="preserve">Dokumentstatus: DRAFT  ·  Anwendungsdokument  ·  nicht normativ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6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Wert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Dokument-Nr.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CG-APP-0910-2026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0.1  —  DRAFT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DRAFT  —  Anwendungsdokument  —  nicht normativ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Abhängigkeiten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CG-STD-1000 v1.2, CG-STD-6100 v0.5, CG-STD-4100 v0.7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Referenziert von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CG-APP-0600 v0.5 (Analogie UC-Struktur), CG-APP-0900 v0.1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Ersetzt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  (Erstausgabe)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Zweck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Nicht-normatives Anwendungsprofil: CGFI als beweissicherer Build-Timestamp in SBOM-Workflows (CycloneDX, SPDX) zur Erfüllung der EU Cyber Resilience Act (CRA) Nachweispflichten.</w:t>
            </w:r>
          </w:p>
        </w:tc>
      </w:tr>
    </w:tbl>
    <w:p>
      <w:pPr>
        <w:spacing w:after="12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1  Zweck und Geltungsbereich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Nicht normativ.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Dieses Dokument zeigt, wie der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ChronoGrid File Identifier (CGFI)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als beweissicherer Build-Timestamp in Software Bill of Materials (SBOM)-Workflows eingesetzt wird, um die Nachweispflichten des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EU Cyber Resilience Act (CRA, Verordnung 2024/2847)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zu erfüllen.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Der CRA (gültig ab 2027) verpflichtet Hersteller digitaler Produkte zur Offenlegung vollständiger SBOMs. Das zentrale, noch ungelöste Problem: aktuelle SBOM-Formate (CycloneDX, SPDX) verwenden Unix-Timestamps ohne kryptographische Verankerung — ein einfacher Texteditor kann sie nachträglich ändern. ChronoGrid löst dieses Problem durch CGFI: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SHA-256(TAI-Zeitpunkt ‖ ContentHash ‖ TypID)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— mathematisch unveränderlich, unabhängig verifizierbar, ohne Vertrauen in den Hersteller.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Darstellung folgt der Use-Case-Struktur aus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CG-APP-0600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(Implementation Cookbook, UC 1–5) und ist direkt anschlussfähig an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CG-APP-0900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(NIS2 Compliance Profile). UC-NIS2-1 bis UC-NIS2-3 in CG-APP-0900 demonstrieren die Audit-Log-Seite; dieses Dokument demonstriert die Build-Pipeline-Seite. Beide Profile ergänzen sich zu einem vollständigen Supply-Chain-Integrity-Anwendungsprofil.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Hinweis: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Dieses Dokument ersetzt keine Rechtsberatung. Die Aussagen beziehen sich auf die technische Konformität der ChronoGrid-Mechanismen mit den CRA-Nachweispflichten. Ob eine Gesamtimplementierung CRA-konform ist, hängt von weiteren organisatorischen und prozessualen Maßnahmen ab.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2  CRA-Anforderungen an SBOM-Timestamps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Der EU Cyber Resilience Act stellt folgende technische Anforderungen an SBOM und Build-Nachweise, die für ChronoGrid direkt relevant sind: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Artikel / Anhang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Technische Anforderung (Extrakt)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5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SBOM-Pflicht</w:t>
            </w:r>
          </w:p>
        </w:tc>
        <w:tc>
          <w:tcPr>
            <w:tcW w:type="dxa" w:w="5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Vollständige maschinenlesbare SBOM aller Drittkomponenten; zugänglich für Marktüberwachungsbehörden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Anhang I, Teil II Abs. 2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Build-Zeitnachweis</w:t>
            </w:r>
          </w:p>
        </w:tc>
        <w:tc>
          <w:tcPr>
            <w:tcW w:type="dxa" w:w="5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Nachweis wann welche Komponente in welchem Zustand eingesetzt wurde — Grundlage für Schwachstellen-Triage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14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Meldepflicht 24h</w:t>
            </w:r>
          </w:p>
        </w:tc>
        <w:tc>
          <w:tcPr>
            <w:tcW w:type="dxa" w:w="5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Aktiv ausgenutzte Schwachstellen müssen binnen 24 h gemeldet werden — erfordert beweissichere Build-Zeitstempel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47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Konformitätsvermutung</w:t>
            </w:r>
          </w:p>
        </w:tc>
        <w:tc>
          <w:tcPr>
            <w:tcW w:type="dxa" w:w="5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CE-Konformität bei Einhaltung harmonisierter Normen — CGFI als normativer Timestamp stärkt Konformitätsvermutung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Erwäg. 34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Tamper-evidence</w:t>
            </w:r>
          </w:p>
        </w:tc>
        <w:tc>
          <w:tcPr>
            <w:tcW w:type="dxa" w:w="50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Zeitstempel müssen nachträgliche Manipulationen erkennbar machen — strukturelle Anforderung, nicht nur Policy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Das zentrale Gap bestehender Lösungen: CycloneDX und SPDX nutzen 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timestamp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als einfaches Textfeld (ISO 8601 String). Dieser Wert kann nachträglich editiert werden — ohne dass eine Prüfsumme bricht. Ein Auditor muss dem Hersteller vertrauen. CGFI löst das durch kryptographische Verankerung: der Timestamp ist Teil des Hash-Inputs; Manipulation bricht den CGFI.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3  CGFI als Build-Timestamp — Technisches Fundament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3.1  CGFI-Berechnung</w:t>
      </w: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Normative Quelle: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CG-STD-6100 §5.4 (CGFI-Algorithmus), CG-STD-3100 §5.4, CG-STD-1000 v1.2 §2.1.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 = SHA-256( TAI-Zeitpunkt || ContentHash || Typ-ID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Komponenten für einen Build-Artefakt: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TAI-Zeitpunkt : CG:TAI:1742041937000000000/v1   (Nanosekunden-Granularität)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ContentHash   : SHA-256( SBOM-Datei-Rohdaten )   (z. B. cyclonedx.json)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Typ-ID        : urn:cgns:filetype:sbom-cyclonedx:v1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→ CGFI        : a3f7b2c1d4e8...  (256 Bit, hex-codiert)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Eigenschaften des CGFI im Build-Kontext: (1)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Tamper-evident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Jede Änderung an SBOM-Inhalt, Zeitpunkt oder Typ-ID ändert den CGFI — erkannt durch 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CG-E-011.008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(CGFIMismatch). (2)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Unabhängig verifizierbar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Ein Auditor kann den CGFI mit SHA-256 selbst nachrechnen, ohne Zugang zum ChronoGrid-System. (3)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Dauerhaft eindeutig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: I-D1 garantiert, dass die verwendete Domain-Definition unveränderlich bleibt — CGFI-Referenzen bleiben auch in 20 Jahren auflösbar.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3.2  TAI als Zeitdomäne für Builds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Builds in globalen CI/CD-Pipelines laufen in verschiedenen Zeitzonen, Infrastrukturen und Systemuhren. TAI (Temps Atomique International) als Zeitdomäne eliminiert alle Ambiguítäten: keine Schaltsekunden, keine Sommerzeit, keine UTC-Offset-Drift. Der TAI-Zeitpunkt eines Builds ist weltweit eindeutig und reproduzierbar.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Relevanz für CRA: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Art. 14 (24h-Meldepflicht) erfordert exakte Zeitangaben. TAI-basierte CGFIs sind forensisch belastbar — auch wenn Systemuhren zum Zeitpunkt des Builds drifted waren, bleibt der TAI-Zeitpunkt absolut.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3.3  Verhältnis zu CycloneDX und SPDX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Aspekt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CycloneDX / SPDX (ohne CGFI)</w:t>
            </w:r>
          </w:p>
        </w:tc>
        <w:tc>
          <w:tcPr>
            <w:tcW w:type="dxa" w:w="261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CycloneDX / SPDX + CGFI</w:t>
            </w:r>
          </w:p>
        </w:tc>
        <w:tc>
          <w:tcPr>
            <w:tcW w:type="dxa" w:w="2613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Vorteil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Timestamp-Format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ISO 8601 Textfeld (editierbar)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TAI-CGTA + CGFI (SHA-256 verankert)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Tamper-evident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Verifikation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Systemvertrauen erforderlich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Unabhängig per SHA-256 prüfbar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Auditierbar ohne Systemzugang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Eindeutigkeit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Nicht garantiert (Timezone-Probleme)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Absolut eindeutig (TAI, Nanosek.)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Forensisch belastbar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Langzeitarchiv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Format-abhängig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CGFI + OAIS/WORM (CGFS-3)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30+ Jahre nachweisbar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CRA-Konformität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Strukturell nicht nachweisbar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Strukturell erfüllt</w:t>
            </w:r>
          </w:p>
        </w:tc>
        <w:tc>
          <w:tcPr>
            <w:tcW w:type="dxa" w:w="2613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Compliance by design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Integration: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CGFI wird als zusätzliches Metadatenfeld in bestehende SBOM-Dokumente eingetragen — kein Umbau des SBOM-Formats nötig.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4  Anwendungsfälle (UC-CRA-1 bis UC-CRA-3)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folgenden drei Use Cases folgen der Struktur aus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CG-APP-0600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(UC 1–5) und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CG-APP-0900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(UC-NIS2-1 bis UC-NIS2-3). Sie decken die drei zentralen CRA-Szenarien ab: Single-Build-SBOM, Multi-Stage-Pipeline und Vulnerability-Disclosure.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UC-CRA-1 — Single-Build SBOM Timestamp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urn:cgns:audit:build-sbom:v1  (TAI-linear, Granularität: Nanosekunde)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CI/CD-System (GitHub Actions, GitLab CI), ChronoGrid Engine, SBOM-Store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CRA-Referenz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5 (SBOM-Pflicht), Anhang I Teil II Abs. 2 (Build-Zeitnachweis)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SBOM-Format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CycloneDX 1.6 (JSON) oder SPDX 2.3 (SPDX-JSON)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(CGTA, REST API, JWT/RBAC) + CGFS-1 (CGFI-Berechnung, Manifest)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Build-Artefakt (Container-Image, npm-Paket, Binary) fertig — SBOM wird generiert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4.1.1  Ablauf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CI/CD-System baut Artefakt und generiert SBOM (z. B. via Syft oder cdxgen als CycloneDX 1.6 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ChronoGrid Engine erhält SBOM via REST API: POST /timepoints mit SBOM als Payload-Hash.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Engine berechnet CGFI: SHA-256(TAI-Zeitpunkt ‖ SHA-256(sbom.json) ‖ urn:cgns:filetype:sbom-cyclonedx:v1).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CGFI + CGTA werden als externalReference in die SBOM eingetragen und signiert in CGFS-1-Manifest gespeichert.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Bei CRA-Prüfung: Auditor berechnet CGFI aus vorliegender SBOM selbst nach — kein Systemzugang nötig.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4.1.2  GitHub Action (PoC-Schritt)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 .github/workflows/sbom-timestamp.yml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- name: Generate SBOM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run: syft packages . -o cyclonedx-json &gt; sbom.json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- name: ChronoGrid CGFI Timestamp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run: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CONTENT_HASH=$(sha256sum sbom.json | cut -d' ' -f1)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CGFI=$(curl -s -X POST https://api.chronogrid.io/v1/cgfi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-H 'Authorization: Bearer ${{ secrets.CG_API_KEY }}'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-d '{"content_hash":"'$CONTENT_HASH'","type_id":"urn:cgns:filetype:sbom-cyclonedx:v1"}'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| jq -r '.cgfi')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echo "CGFI=$CGFI" &gt;&gt; $GITHUB_OUTPUT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- name: Embed CGFI in SBOM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run: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jq --arg cgfi "$CGFI" --arg cgta "$CGTA"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'.externalReferences += [{"type":"other","url":"cgfi://"+ $cgfi,"comment":"ChronoGrid TAI Timestamp: " + $cgta}]'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sbom.json &gt; sbom-timestamped.json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4.1.3  CRA-Zuordnung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CRA-Artikel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5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Maschinenlesbare SBOM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CycloneDX/SPDX + CGFI: vollständig maschinenlesbar, kryptographisch verankert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Anhang I Teil II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Build-Zeitnachweis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TAI-CGTA ist absolut und eindeutig; CGFI beweist Inhalt zum Zeitpunkt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Erwäg. 34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Tamper-evidence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Jede SBOM-Änderung bricht CGFI — erkannt durch SHA-256-Verifikation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UC-CRA-2 — Multi-Stage Build Pipeline mit CGFI-Chain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urn:cgns:audit:build-pipeline:v1  (TAI-linear, Granularität: 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CI/CD-System (mehrstufig), ChronoGrid Engine, Dependency-Track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CRA-Referenz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5, Art. 14 (Schwachstellen-Triage — welche Komponente, wann eingesetzt?)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Szenario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Microservice-Architektur: 12 Services, jeder mit eigenem Build-Zyklus; gemeinsame Basis-Images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+ CGFS-2 (Tombstone bei deprecation von Komponenten)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 einer Abhängigkeit ändert sich — alle abhängigen Services müssen SBOM aktualisieren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4.2.1  Problem: Transitive Abhängigkeiten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In modernen Microservice-Architekturen haben SBOMs transitive Abhängigkeiten über mehrere Build-Stufen. Wenn log4j 2.14.1 (hypothetisch) eine Lücke hat, muss ein Hersteller nachweisen: wann hat welcher Service welche Version eingesetzt? Ohne kryptographisch verankerte Build-Timestamps ist das nicht möglich.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4.2.2  CGFI-Chain als Lösung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Stufe 1: Basis-Image (ubuntu:22.04 + java:17)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CGTA_base : CG:build-pipeline:1742000000/v1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CGFI_base : SHA-256(CGTA_base || SHA-256(base-image.tar) || urn:cgns:filetype:container-image:v1)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Stufe 2: Service-Image (basiert auf Basis-Image)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CGTA_svc  : CG:build-pipeline:1742041937/v1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CGFI_svc  : SHA-256(CGTA_svc || SHA-256(service-image.tar) || urn:cgns:filetype:container-image:v1)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SBOM des Service enthält Rückverweis: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{ "cgfi": "CGFI_svc",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"base_image_cgfi": "CGFI_base",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"components":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{ "name": "log4j", "version": "2.17.2", "cgfi_at_build": "CGFI_base"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Vulnerability Triage: log4j 2.14.1 Lücke → suche alle CGFIs die log4j &lt; 2.15 enthalten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→ exakter TAI-Zeitraum der Exposition ist beweisbar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4.2.3  CRA-Zuordnung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CRA-Artikel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14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24h-Meldepflicht Schwachstellen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CGFI-Chain ermöglicht exakte Triage: welcher Service, welche Version, welcher Zeitraum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5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Vollständige SBOM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Transitive Abhängigkeiten über CGFI-Chain lückenlos dokumentiert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47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Konformitätsvermutung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Lückenlose, verifizierbare Build-Historie stärkt CE-Konformitätsnachweis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UC-CRA-3 — Vulnerability Disclosure mit beweissicherem Timeline-Nachweis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Domäne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urn:cgns:audit:vuln-disclosure:v1  (TAI-linear, Granularität: Sekunde)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Akteure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Hersteller, CVE-Datenbank (NVD/OSV), ChronoGrid Engine, Marktüberwachungsbehörde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CRA-Referenz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14 (Meldepflicht), Art. 13 Abs. 6 (Nachweispflicht gegenüber Behörde)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Szenario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Kritische CVE in eingesetzter Bibliothek — Hersteller muss nachweisen: wann war er informiert, wann hat er reagiert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Konformitätsstufe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+ CGFS-3 (WORM — Disclosure-Dokumente müssen unveränderlich archiviert sein)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4.3.1  Das forensische Timeline-Problem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Wenn eine Marktüberwachungsbehörde fragt, wann der Hersteller von CVE-2027-XXXXX erfuhr und wann er reagiert hat, kann ein Hersteller ohne beweissichere Timestamps nur seine eigenen editierbaren Aufzeichnungen vorlegen. ChronoGrid macht die Timeline beweissicher: Ersteller des CGFI ist das System, nicht der Mensch.</w:t>
      </w:r>
    </w:p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4.3.2  Timeline-Sequenz mit CGFI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Ereignis 1: CVE veröffentlicht (externe Quelle, NVD)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CVE-2027-XXXXX published: 2027-03-15T09:00:00Z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Ereignis 2: Hersteller erstellt CGFI-Eintrag für Benachrichtigungs-Eingang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CGTA_notif : CG:vuln-disclosure:1772136000/v1  (2027-03-15T09:23:00 TAI)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CGFI_notif : SHA-256(CGTA_notif || SHA-256(nvd-cve-alert.json) || urn:cgns:filetype:vuln-notification:v1)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Ereignis 3: Patch-Build mit neuer Komponente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CGTA_patch : CG:build-pipeline:1772222400/v1  (2027-03-16T09:00:00 TAI)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CGFI_patch : SHA-256(CGTA_patch || SHA-256(patched-sbom.json) || urn:cgns:filetype:sbom-cyclonedx:v1)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Nachweis gegenüber Behörde: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CGFI_notif → Kenntnis um 09:23 TAI  (&lt; 24h Meldepflicht-Frist: ok)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CGFI_patch → Patch deployed 2027-03-16  (Reaktionszeit: 24h)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Beide CGFIs in WORM gespeichert — unveränderlich, unabhängig verifizierbar</w:t>
            </w:r>
          </w:p>
        </w:tc>
      </w:tr>
    </w:tbl>
    <w:p>
      <w:pPr>
        <w:spacing w:after="120"/>
      </w:pPr>
    </w:p>
    <w:p>
      <w:pPr>
        <w:pStyle w:val="Heading3"/>
        <w:spacing w:after="60" w:before="160"/>
      </w:pPr>
      <w:r>
        <w:rPr>
          <w:rFonts w:ascii="Georgia" w:cs="Georgia" w:eastAsia="Georgia" w:hAnsi="Georgia"/>
          <w:b/>
          <w:bCs/>
          <w:color w:val="1B3A6B"/>
          <w:sz w:val="19"/>
          <w:szCs w:val="19"/>
        </w:rPr>
        <w:t xml:space="preserve">4.3.3  CRA-Zuordnung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CRA-Artikel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44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ChronoGrid-Erfüllung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14 Abs. 1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24h-Frühwarnung bei ausgenutzter Lücke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CGFI_notif beweist Kenntniszeitpunkt; TAI-Delta zur Meldung berechenbar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Art. 13 Abs. 6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Nachweispflicht gegenüber Behörde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CGFI-Sequenz (Notifikation → Patch-SBOM) ist unabhängig verifizierbar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CGFS-3 (Archiv)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Langzeitarchivierung Disclosure-Dokumente</w:t>
            </w:r>
          </w:p>
        </w:tc>
        <w:tc>
          <w:tcPr>
            <w:tcW w:type="dxa" w:w="4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WORM + OAIS garantiert Unveränderlichkeit für Aufsichtszwecke</w:t>
            </w:r>
          </w:p>
        </w:tc>
      </w:tr>
    </w:tbl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5  SBOM-Format-Integration (CycloneDX und SPDX)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5.1  CycloneDX 1.6 — CGFI als ExternalReference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// cyclonedx-sbom-mit-cgfi.json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"bomFormat": "CycloneDX",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"specVersion": "1.6",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"serialNumber": "urn:uuid:...",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"metadata":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"timestamp": "2027-03-15T10:30:00Z",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"tools": [{ "name": "ChronoGrid", "version": "1.0" 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"externalReferences":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"type": "other",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"url": "cgfi://a3f7b2c1d4e8f09a...",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"comment": "ChronoGrid TAI Timestamp: CG:TAI:1772136600000000000/v1"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"type": "other",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"url": "https://chronogrid.io/verify/a3f7b2c1d4e8f09a...",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  "comment": "CGFI Verification Endpoint"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  "components": [ /* ... */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5.2  SPDX 2.3 — CGFI als ExternalDocumentRef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 spdx-sbom-mit-cgfi.spdx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SPDXVersion: SPDX-2.3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DataLicense: CC0-1.0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SPDXID: SPDXRef-DOCUMENT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DocumentName: MyProduct-SBOM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DocumentNamespace: https://example.com/sbom/myproduct-2027-03-15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## ChronoGrid CGFI Timestamp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ExternalDocumentRef: DocumentRef-ChronoGrid https://chronogrid.io/verify/a3f7b2c1... SHA256:a3f7b2c1...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 CGTA: CG:TAI:1772136600000000000/v1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 Typ-ID: urn:cgns:filetype:sbom-spdx:v1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PackageName: MyProduct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PackageVersion: 2.1.0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6"/>
                <w:szCs w:val="16"/>
              </w:rPr>
              <w:t xml:space="preserve"># ...</w:t>
            </w:r>
          </w:p>
        </w:tc>
      </w:tr>
    </w:tbl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6  Post-Quantum Kryptographie (PQC) — Strategische Positionierung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RFC 3161 (klassisches Trusted Timestamping) basiert auf RSA/ECDSA-Signaturen, die durch Shors Algorithmus auf einem hinreichend leistungsfähigen Quantencomputer gebrochen werden könnten. Für SBOMs mit Langzeit-Relevanz (CRA-Archivierungspflicht, OAIS 30+ Jahre) ist das ein strukturelles Risiko. ChronoGrid ist hier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strukturell besser positioniert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— ohne zusätzlichen Entwicklungsaufwand: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Eigenschaft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RFC 3161</w:t>
            </w:r>
          </w:p>
        </w:tc>
        <w:tc>
          <w:tcPr>
            <w:tcW w:type="dxa" w:w="3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ChronoGrid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Hash-Algorithmus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SHA-1 / SHA-256 (signiert)</w:t>
            </w:r>
          </w:p>
        </w:tc>
        <w:tc>
          <w:tcPr>
            <w:tcW w:type="dxa" w:w="3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SHA-256 (direkt, keine Signatur-Abhängigkeit)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Quantenresistenz Hash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SHA-1: gebrochen. SHA-256: 128 Bit effektiv gegen Grover</w:t>
            </w:r>
          </w:p>
        </w:tc>
        <w:tc>
          <w:tcPr>
            <w:tcW w:type="dxa" w:w="3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SHA-256: 128 Bit effektiv gegen Grover — ausreichend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Signatur-Algorithmus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RSA / ECDSA — Shor-angreifbar</w:t>
            </w:r>
          </w:p>
        </w:tc>
        <w:tc>
          <w:tcPr>
            <w:tcW w:type="dxa" w:w="3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Noch nicht normiert — erweiterbar auf CRYSTALS-Dilithium (FIPS 204)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Migrationspfad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Kompletter Stack-Umbau nötig</w:t>
            </w:r>
          </w:p>
        </w:tc>
        <w:tc>
          <w:tcPr>
            <w:tcW w:type="dxa" w:w="3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Neue CTDDL-Domain-Definition genügt — kein Stack-Umbau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Historische Zeitpunkte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Nachträgliche Signaturfälschung möglich (wenn RSA gebrochen)</w:t>
            </w:r>
          </w:p>
        </w:tc>
        <w:tc>
          <w:tcPr>
            <w:tcW w:type="dxa" w:w="3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I-D1: publizierte Domains unveränderlich — Hash-Grundlage bleibt stabil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Fazit für FFG-Antrag und OCG-Paper: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ChronoGrid ist Post-Quantum-ready für Hashing (MachineID, CGFI). Für Signaturen ist der Migrationspfad zu CRYSTALS-Dilithium (NIST FIPS 204, 2024) durch die CTDDL-Architektur ohne Stack-Umbau realisierbar. Dieser Differenziator ist im Vergleich zu RFC 3161 erheblich — und kostet in der Kommunikation null Entwicklungsaufwand.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7  Gesamtübersicht: CRA-Anforderungen und ChronoGrid-Mechanismen</w:t>
      </w:r>
    </w:p>
    <w:p>
      <w:pPr>
        <w:spacing w:after="80"/>
      </w:pP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Die folgende Matrix fasst zusammen, welche ChronoGrid-Mechanismen welche CRA-Anforderungen adressieren.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1200"/>
        <w:gridCol w:w="1200"/>
        <w:gridCol w:w="1626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CGFI / SHA-256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I-D1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WORM (CGFS-3)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TAI-Domäne</w:t>
            </w:r>
          </w:p>
        </w:tc>
        <w:tc>
          <w:tcPr>
            <w:tcW w:type="dxa" w:w="16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UC-Referenz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SBOM Tamper-evidence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alle UC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Build-Zeitnachweis (absolut)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UC-CRA-1,2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Transitive Abhängigkeiten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 (Chain)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UC-CRA-2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24h-Meldepflicht (Nachweis)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UC-CRA-3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Langzeitarchivierung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UC-CRA-3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Unabhängige Verifizierbarkeit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alle UC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PQC-Resistenz (Hash)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✓ (SHA-256)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strukturell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Legende: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✓ = Mechanismus adressiert Anforderung direkt. — = nicht primär zuständig.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8  Implementierungshinweise (nicht normativ)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8.1  Minimale Integration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Ein Hersteller der CRA-Konformität mit minimalem Aufwand erreichen will, benötigt: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ChronoGrid API-Key (SaaS, kein eigenes Deployment nötig für Stufe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GitHub Action oder GitLab CI Job (Vorlage in UC-CRA-1 §4.1.2).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SBOM-Generator (Syft, cdxgen, trivy SBOM) — bestehende Tools, kein Umbau.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2 zusätzliche Felder in der SBOM-Datei (CGFI + CGTA) — vollständig rückwärtskompatibel.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8.2  Empfohlene Konformitätsstufen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Minimale Basis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Level 2 + CGFS-1 (CGFI-Berechnung, Manifest-Validierung)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Empfohlen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CGFS-3 (WORM + OAIS) für alle Build-Artefakte mit CRA-Relevanz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18"/>
                <w:szCs w:val="18"/>
              </w:rPr>
              <w:t xml:space="preserve">Vulnerability-Nachweis</w:t>
            </w:r>
          </w:p>
        </w:tc>
        <w:tc>
          <w:tcPr>
            <w:tcW w:type="dxa" w:w="6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CGFS-2 (Tombstone) bei Deprecation von Komponenten + CGFS-3 für Archiv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8.3  Offene Punkte (Stand April 2026)</w:t>
      </w:r>
    </w:p>
    <w:p>
      <w:pPr>
        <w:spacing w:after="120" w:line="276"/>
      </w:pPr>
      <w:r>
        <w:rPr>
          <w:rFonts w:ascii="Georgia" w:cs="Georgia" w:eastAsia="Georgia" w:hAnsi="Georgia"/>
          <w:color w:val="1A1A1A"/>
          <w:sz w:val="18"/>
          <w:szCs w:val="18"/>
        </w:rPr>
        <w:t xml:space="preserve">GitHub Action (PoC) ist im Briefing als </w:t>
      </w:r>
      <w:r>
        <w:rPr>
          <w:rFonts w:ascii="Georgia" w:cs="Georgia" w:eastAsia="Georgia" w:hAnsi="Georgia"/>
          <w:b/>
          <w:bCs/>
          <w:color w:val="1A1A1A"/>
          <w:sz w:val="18"/>
          <w:szCs w:val="18"/>
        </w:rPr>
        <w:t xml:space="preserve">3-Monats-Ziel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 definiert (CG-DOK-0000 v2.7 Sequenz). CG-STD-4100 v0.7 (DRAFT) muss freigegeben sein, bevor die REST-API für Produktivbetrieb empfohlen werden kann. Die IANA-Einreichung für das </w:t>
      </w: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cgua://</w:t>
      </w:r>
      <w:r>
        <w:rPr>
          <w:rFonts w:ascii="Georgia" w:cs="Georgia" w:eastAsia="Georgia" w:hAnsi="Georgia"/>
          <w:color w:val="1A1A1A"/>
          <w:sz w:val="18"/>
          <w:szCs w:val="18"/>
        </w:rPr>
        <w:t xml:space="preserve">-URI-Schema (CG-STD-6100, OP-12) ist für die URI-Referenzierung in SBOM-Formaten relevant.</w:t>
      </w:r>
    </w:p>
    <w:p>
      <w:pPr>
        <w:spacing w:after="80"/>
      </w:pPr>
    </w:p>
    <w:p>
      <w:pPr>
        <w:shd w:fill="1B3A6B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0"/>
          <w:szCs w:val="20"/>
        </w:rPr>
        <w:t xml:space="preserve">9  Referenzen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9.1  Normative ChronoGrid-Dokumente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Dok-Nr.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CG-STD-1000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v1.2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Terminologie &amp; Abkürzungen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CG-STD-6100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CGUAS &amp; CGFS — CGFI-Algorithmus (§5.4), WORM, Tombstone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CG-STD-4100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v0.7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Storage &amp; API Spezifikation (DRAFT)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CG-STD-3100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v1.5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Engine-Spezifikation — CGFI-Berechnung (§5.4)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CG-STD-0000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Mathematische Grundlagen — I-D1 (Th. 2.1)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9.2  Nicht-normative ChronoGrid-Dokumente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Dok-Nr.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CG-APP-0600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v0.5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Implementation Cookbook UC 1–5 (UC-Struktur-Vorlage)</w:t>
            </w:r>
          </w:p>
        </w:tc>
      </w:tr>
      <w:tr>
        <w:tc>
          <w:tcPr>
            <w:tcW w:type="dxa" w:w="15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CG-APP-0900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v0.1</w:t>
            </w:r>
          </w:p>
        </w:tc>
        <w:tc>
          <w:tcPr>
            <w:tcW w:type="dxa" w:w="5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NIS2 Compliance Profile (Komplementärdokument)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17A589"/>
          <w:sz w:val="22"/>
          <w:szCs w:val="22"/>
        </w:rPr>
        <w:t xml:space="preserve">9.3  Externe Referenzen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Quelle</w:t>
            </w:r>
          </w:p>
        </w:tc>
        <w:tc>
          <w:tcPr>
            <w:tcW w:type="dxa" w:w="68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Titel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EU 2024/2847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EU Cyber Resilience Act — Verordnung über Anforderungen an die Cybersicherheit von Produkten mit digitalen Elementen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CycloneDX 1.6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OWASP CycloneDX Bill of Materials Standard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SPDX 2.3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System Package Data Exchange (SPDX) Standard — ISO/IEC 5962:2021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NIST FIPS 204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Module-Lattice-Based Digital Signature Standard (CRYSTALS-Dilithium), 2024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SHA-256 (FIPS 180-4)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Secure Hash Standard — Grundlage für CGFI und MachineID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RFC 3161</w:t>
            </w:r>
          </w:p>
        </w:tc>
        <w:tc>
          <w:tcPr>
            <w:tcW w:type="dxa" w:w="6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Internet X.509 PKI Time-Stamp Protocol — Abgrenzung: RSA/ECDSA-abhängig, nicht PQC-ready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spacing w:before="60"/>
      <w:jc w:val="center"/>
    </w:pPr>
    <w:r>
      <w:rPr>
        <w:rFonts w:ascii="Georgia" w:cs="Georgia" w:eastAsia="Georgia" w:hAnsi="Georgia"/>
        <w:color w:val="555555"/>
        <w:sz w:val="14"/>
        <w:szCs w:val="14"/>
      </w:rPr>
      <w:t xml:space="preserve">CG-APP-0910  ·  CRA/SBOM Timestamp Profile  ·  Version 0.1 DRAFT  ·  April 2026  ·  ChronoGrid Systems    Seite </w:t>
    </w:r>
    <w:r>
      <w:rPr>
        <w:rFonts w:ascii="Georgia" w:cs="Georgia" w:eastAsia="Georgia" w:hAnsi="Georgia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17A58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Georgia" w:cs="Georgia" w:eastAsia="Georgia" w:hAnsi="Georgia"/>
      <w:b/>
      <w:bCs/>
      <w:color w:val="1B3A6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2026-04-25T07:51:21.241Z</dcterms:created>
  <dcterms:modified xsi:type="dcterms:W3CDTF">2026-04-25T07:51:21.243Z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