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</w:pPr>
      <w:r>
        <w:t xml:space="preserve"/>
      </w:r>
    </w:p>
    <w:p>
      <w:pPr>
        <w:shd w:fill="1B3A6B" w:val="clear"/>
        <w:spacing w:after="0" w:before="200"/>
      </w:pPr>
      <w:r>
        <w:rPr>
          <w:rFonts w:ascii="Georgia" w:cs="Georgia" w:eastAsia="Georgia" w:hAnsi="Georgia"/>
          <w:b/>
          <w:bCs/>
          <w:color w:val="FFFFFF"/>
          <w:sz w:val="80"/>
          <w:szCs w:val="80"/>
        </w:rPr>
        <w:t xml:space="preserve">ChronoGrid</w:t>
      </w:r>
    </w:p>
    <w:p>
      <w:pPr>
        <w:shd w:fill="1B3A6B" w:val="clear"/>
        <w:spacing w:after="0" w:before="0"/>
      </w:pPr>
      <w:r>
        <w:rPr>
          <w:rFonts w:ascii="Arial" w:cs="Arial" w:eastAsia="Arial" w:hAnsi="Arial"/>
          <w:b/>
          <w:bCs/>
          <w:color w:val="17A589"/>
          <w:sz w:val="36"/>
          <w:szCs w:val="36"/>
        </w:rPr>
        <w:t xml:space="preserve">Level 1 Conformance Report</w:t>
      </w:r>
    </w:p>
    <w:p>
      <w:pPr>
        <w:shd w:fill="1B3A6B" w:val="clear"/>
        <w:spacing w:after="0" w:before="0"/>
      </w:pPr>
      <w:r>
        <w:rPr>
          <w:rFonts w:ascii="Arial" w:cs="Arial" w:eastAsia="Arial" w:hAnsi="Arial"/>
          <w:i/>
          <w:iCs/>
          <w:color w:val="C0CDE0"/>
          <w:sz w:val="20"/>
          <w:szCs w:val="20"/>
        </w:rPr>
        <w:t xml:space="preserve">Nachweis der Basis-Konformität der Referenzimplementierung für FFG Basisprogramm</w:t>
      </w:r>
    </w:p>
    <w:p>
      <w:pPr>
        <w:shd w:fill="1B3A6B" w:val="clear"/>
        <w:spacing w:after="200" w:before="0"/>
      </w:pPr>
      <w:r>
        <w:rPr>
          <w:rFonts w:ascii="Arial" w:cs="Arial" w:eastAsia="Arial" w:hAnsi="Arial"/>
          <w:color w:val="C0CDE0"/>
          <w:sz w:val="18"/>
          <w:szCs w:val="18"/>
        </w:rPr>
        <w:t xml:space="preserve">CG-CONF-001  ·  Version 1.0  ·  April 2026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Dokument-Nr.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CG-CONF-001-2026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Version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1.0 — Freigegeben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Datum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Status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Freigegeben · Technischer Nachweis · FFG Basisprogramm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Abhängigkeiten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CG-STD-5100 v1.3  ·  CG-STD-3100 v1.5  ·  CG-STD-1000 v1.2  ·  CG-STD-0000 v0.5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Implementierung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cg-engine v0.9.0  ·  TypeScript 5.4  ·  Node.js 22 LTS (CG-APP-0700 v0.3)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Ergebnis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55/55 Tests PASS — Level 1 KONFORM (100 %)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Referenziert von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FFG-Projektbeschreibung  ·  CG-APP-0200 v0.4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Zweck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Technischer Nachweis der Level-1-Konformität (CG-STD-5100 §2.2) für FFG-Förderungsantrag. Alle 55 normativen T-L1-Tests bestanden.</w:t>
            </w:r>
          </w:p>
        </w:tc>
      </w:tr>
    </w:tbl>
    <w:p>
      <w:pPr>
        <w:spacing w:after="280" w:before="0"/>
      </w:pPr>
      <w:r>
        <w:t xml:space="preserve"/>
      </w:r>
    </w:p>
    <w:p>
      <w:pPr>
        <w:shd w:fill="1B3A6B" w:val="clear"/>
        <w:spacing w:after="120" w:before="2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1  Testergebnis-Übersicht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6"/>
        <w:gridCol w:w="1800"/>
      </w:tblGrid>
      <w:tr>
        <w:tc>
          <w:tcPr>
            <w:tcW w:type="dxa" w:w="7226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 1 — KONFORM</w:t>
            </w:r>
          </w:p>
          <w:p>
            <w:r>
              <w:rPr>
                <w:rFonts w:ascii="Arial" w:cs="Arial" w:eastAsia="Arial" w:hAnsi="Arial"/>
                <w:color w:val="C0CDE0"/>
                <w:sz w:val="18"/>
                <w:szCs w:val="18"/>
              </w:rPr>
              <w:t xml:space="preserve">Alle 55 normativen Tests bestanden (100 %). Gemäß CG-STD-5100 v1.3 §2.2: Zertifikat gültig 1 Jahr.</w:t>
            </w:r>
          </w:p>
        </w:tc>
        <w:tc>
          <w:tcPr>
            <w:tcW w:type="dxa" w:w="1800"/>
            <w:tcBorders>
              <w:top w:val="single" w:color="17A589" w:sz="4"/>
              <w:left w:val="single" w:color="17A589" w:sz="4"/>
              <w:bottom w:val="single" w:color="17A589" w:sz="4"/>
              <w:right w:val="single" w:color="17A589" w:sz="4"/>
            </w:tcBorders>
            <w:shd w:fill="17A58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55/55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T-L1-* PASSED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28"/>
                <w:szCs w:val="28"/>
              </w:rPr>
              <w:t xml:space="preserve">55</w:t>
            </w:r>
          </w:p>
        </w:tc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8"/>
                <w:szCs w:val="28"/>
              </w:rPr>
              <w:t xml:space="preserve">0</w:t>
            </w:r>
          </w:p>
        </w:tc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8"/>
                <w:szCs w:val="28"/>
              </w:rPr>
              <w:t xml:space="preserve">100 %</w:t>
            </w:r>
          </w:p>
        </w:tc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8"/>
                <w:szCs w:val="28"/>
              </w:rPr>
              <w:t xml:space="preserve">6</w:t>
            </w:r>
          </w:p>
        </w:tc>
      </w:tr>
      <w:tr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7A3E"/>
                <w:sz w:val="18"/>
                <w:szCs w:val="18"/>
              </w:rPr>
              <w:t xml:space="preserve">Tests bestanden</w:t>
            </w:r>
          </w:p>
        </w:tc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Tests fehlgeschlagen</w:t>
            </w:r>
          </w:p>
        </w:tc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Erfüllungsquote</w:t>
            </w:r>
          </w:p>
        </w:tc>
        <w:tc>
          <w:tcPr>
            <w:tcW w:type="dxa" w:w="2257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Testgruppen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hd w:fill="1B3A6B" w:val="clear"/>
        <w:spacing w:after="120" w:before="2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2  Testumgebung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Implementierung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ChronoGrid Reference Implementation  ·  cg-engine v0.9.0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Architektur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TypeScript 5.4 Monorepo  ·  7 Packages (cg-types, cg-ctddl, cg-engine, cg-cguas, cg-cgfs, cg-storage, cg-testkit)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Laufzeit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Node.js 22.3.0 LTS  ·  V8 12.4  ·  Linux x64 (Ubuntu 24.04)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Storage-Backend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In-Memory (STORAGE=memory) für Conformance-Tests  ·  PostgreSQL 16 verfügbar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Test-Framework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Vitest 2.x  ·  cg-testkit  ·  Testdauer &lt; 1,2 s gesamt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BigInt-Arithmetik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Native JS BigInt (ℤ∞)  ·  keine externe Bibliothek  ·  plattform-unabhängig (I-R3)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MachineID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Node.js crypto.createHash('sha256')  ·  FIPS 180-4 konform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Normative Basis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CG-STD-5100 v1.3  ·  CG-STD-3100 v1.5  ·  CG-STD-1000 v1.2  ·  CG-STD-2100 v1.4</w:t>
            </w:r>
          </w:p>
        </w:tc>
      </w:tr>
      <w:tr>
        <w:tc>
          <w:tcPr>
            <w:tcW w:type="dxa" w:w="2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Testdatum</w:t>
            </w:r>
          </w:p>
        </w:tc>
        <w:tc>
          <w:tcPr>
            <w:tcW w:type="dxa" w:w="6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April 2026  ·  ChronoGrid Systems, Neunkirchen, NÖ, Österreich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hd w:fill="1B3A6B" w:val="clear"/>
        <w:spacing w:after="120" w:before="2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3  Detaillierte Testergebnisse (T-L1-*)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6"/>
        <w:gridCol w:w="2200"/>
      </w:tblGrid>
      <w:tr>
        <w:tc>
          <w:tcPr>
            <w:tcW w:type="dxa" w:w="68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 — CGTA-Syntax &amp; Parsing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T-L1-001 – T-L1-010  ·  10 Tests</w:t>
            </w:r>
          </w:p>
        </w:tc>
      </w:tr>
    </w:tbl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3426"/>
        <w:gridCol w:w="600"/>
      </w:tblGrid>
      <w:t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Test-ID</w:t>
            </w:r>
          </w:p>
        </w:tc>
        <w:tc>
          <w:tcPr>
            <w:tcW w:type="dxa" w:w="3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3426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Normative Referenz</w:t>
            </w:r>
          </w:p>
        </w:tc>
        <w:tc>
          <w:tcPr>
            <w:tcW w:type="dxa" w:w="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T-L1-001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CGTA Minimalsyntax gültig — kein Timezone-Suffix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Def. 1.4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T-L1-002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CGTA mit Timezone-Suffix [UTC] korrekt geparst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CG-STD-1100 §4.3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T-L1-003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CGTA mit Timezone-Suffix [TAI] korrekt geparst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CG-STD-1100 §4.3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T-L1-004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CGTA mit negativem Zeitwert (Prä-Epoch-Domain)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I-R2, Th. 1.1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T-L1-005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CGTA mit BigInt-Wert &gt; 2^63 — kein Overflow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§1.2 ℤ∞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T-L1-006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CGTA Round-Trip: serialize → parse → serialize identisch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I-R3, Th. 5.2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T-L1-007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Versionsnummer /v{n} korrekt extrahiert (v1, v2, v100)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CG-STD-1100 §4.3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T-L1-008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Ungültige Syntax (fehlendes CG:-Präfix) → CG-E-001.001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CG-E-001, §9.1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T-L1-009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Fehlender Domain-Name → CG-E-001.002 FATAL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CG-E-001, §9.1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T-L1-010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Domain-Name case-sensitiv: CG:TAI ≠ CG:tai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CG-STD-1100 §4.2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6"/>
        <w:gridCol w:w="2200"/>
      </w:tblGrid>
      <w:tr>
        <w:tc>
          <w:tcPr>
            <w:tcW w:type="dxa" w:w="68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 — Lineare Domain — Encode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T-L1-011 – T-L1-021  ·  11 Tests</w:t>
            </w:r>
          </w:p>
        </w:tc>
      </w:tr>
    </w:tbl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3426"/>
        <w:gridCol w:w="600"/>
      </w:tblGrid>
      <w:t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Test-ID</w:t>
            </w:r>
          </w:p>
        </w:tc>
        <w:tc>
          <w:tcPr>
            <w:tcW w:type="dxa" w:w="3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3426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Normative Referenz</w:t>
            </w:r>
          </w:p>
        </w:tc>
        <w:tc>
          <w:tcPr>
            <w:tcW w:type="dxa" w:w="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T-L1-011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TAI encode — Testvektor Anh. A: t=1682899200 → CG:TAI:1682899237[TAI]/v1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§A.2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T-L1-012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GPS encode — Testvektor: t_TAI=1682899237 → CG:GPS:1682899218/v1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§A.3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T-L1-013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Unix-Epoch encode: t=0 → CG:Unix:0/v1 (Referenzpunkt I-M3)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I-M3, Th. 3.3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T-L1-014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Negativer Zeitwert encode: t=−86400 (1 Tag vor Epoch)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I-R2, Th. 1.1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T-L1-015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Lineare Abbildung: a=1, b=0 (Identität) — kein Informationsverlust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§6.1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T-L1-016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Lineare Abbildung: a=1, b=+37 (TAI-Offset) — Ergebnis exakt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§6.1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T-L1-017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Lineare Abbildung: a=1, b=−19 (GPS-Offset) — negativer Offset korrekt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§6.1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T-L1-018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Encode am Extent-Minimum — Randwert auf Grenze: kein Fehler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§5.4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T-L1-019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Encode am Extent-Maximum — Randwert auf Grenze: kein Fehler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§5.4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T-L1-020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Encode außerhalb Extent (max+1) → CG-E-003 FATAL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CG-E-003, §9.3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T-L1-021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BigInt Precision: Cosmic-Domain t=4,35×10^23 encode ohne Verlust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§1.2 ℤ∞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6"/>
        <w:gridCol w:w="2200"/>
      </w:tblGrid>
      <w:tr>
        <w:tc>
          <w:tcPr>
            <w:tcW w:type="dxa" w:w="68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 — Lineare Domain — Decode &amp; Konvertierung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T-L1-022 – T-L1-031  ·  10 Tests</w:t>
            </w:r>
          </w:p>
        </w:tc>
      </w:tr>
    </w:tbl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3426"/>
        <w:gridCol w:w="600"/>
      </w:tblGrid>
      <w:t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Test-ID</w:t>
            </w:r>
          </w:p>
        </w:tc>
        <w:tc>
          <w:tcPr>
            <w:tcW w:type="dxa" w:w="3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3426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Normative Referenz</w:t>
            </w:r>
          </w:p>
        </w:tc>
        <w:tc>
          <w:tcPr>
            <w:tcW w:type="dxa" w:w="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T-L1-022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TAI decode — Testvektor: CG:TAI:1682899237[TAI]/v1 → 1682899237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§A.2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T-L1-023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GPS decode — Testvektor: CG:GPS:1682899218/v1 → 1682899218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§A.3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T-L1-024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Unix-Epoch decode: CG:Unix:0/v1 → t=0 (Referenzpunkt korrekt)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I-M3, Th. 3.3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T-L1-025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Negativer Zeitwert decode: korrekt ohne Vorzeichenfehler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I-R2, ℤ∞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T-L1-026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Decode am Extent-Minimum — Randwert korrekt dekodiert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§5.4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T-L1-027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Decode mit inkompatibel Version → CG-E-007.001 FATAL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CG-E-007, §9.7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T-L1-028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Round-Trip TAI: encode(t) → decode(cgta) = t (Korollar 3.1)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Kor. 3.1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T-L1-029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Cross-Domain GPS→Unix: Testvektor 1682899218 → 1682899200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§A.4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T-L1-030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Mapping-Chain Unix→TAI→GPS→Unix vollständig korrekt (Th. 3.2)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Th. 3.2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T-L1-031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Determinismus (I-R3): encode(t) zweimal → identische CGTA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I-R3, Th. 5.2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6"/>
        <w:gridCol w:w="2200"/>
      </w:tblGrid>
      <w:tr>
        <w:tc>
          <w:tcPr>
            <w:tcW w:type="dxa" w:w="68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 — MachineID (SHA-256)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T-L1-032 – T-L1-041  ·  10 Tests</w:t>
            </w:r>
          </w:p>
        </w:tc>
      </w:tr>
    </w:tbl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3426"/>
        <w:gridCol w:w="600"/>
      </w:tblGrid>
      <w:t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Test-ID</w:t>
            </w:r>
          </w:p>
        </w:tc>
        <w:tc>
          <w:tcPr>
            <w:tcW w:type="dxa" w:w="3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3426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Normative Referenz</w:t>
            </w:r>
          </w:p>
        </w:tc>
        <w:tc>
          <w:tcPr>
            <w:tcW w:type="dxa" w:w="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T-L1-032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Basisberechnung: SHA-256(DomainName ‖ AbsoluterWert ‖ Version ‖ σ)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Def. 1.4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T-L1-033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Testvektor: TAI, t=1682899237, v1 — deterministisch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I-R3, §A.2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T-L1-034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Testvektor: GPS, t=1682899218, v1 — deterministisch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I-R3, §A.3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T-L1-035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inkludiert Domain-Namen: TAI vs. tai → verschiedene Hashes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CG-STD-1100 §4.4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T-L1-036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inkludiert Zeitwert: t=100 vs. t=101 → verschiedene Hashes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Th. 1.2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T-L1-037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inkludiert Version: v1 vs. v2 → verschiedene Hashes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I-D1, Th. 2.1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T-L1-038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inkludiert σ-Feld: σ=time vs. σ=address → verschiedene Hashes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Def. 1.4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T-L1-039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Eindeutigkeit: alle Einträge der Testsuite haben verschiedene Hashes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Th. 1.2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T-L1-040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Ausgabelänge: exakt 256 Bit = 64 Hex-Zeichen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FIPS 180-4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T-L1-041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MachineID bei BigInt-Wert (&gt;2^63): korrekte Byte-Darstellung für SHA-256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CG-STD-0000 §1.2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6"/>
        <w:gridCol w:w="2200"/>
      </w:tblGrid>
      <w:tr>
        <w:tc>
          <w:tcPr>
            <w:tcW w:type="dxa" w:w="68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 — ISO8601-Label-Generierung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T-L1-042 – T-L1-049  ·  8 Tests</w:t>
            </w:r>
          </w:p>
        </w:tc>
      </w:tr>
    </w:tbl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3426"/>
        <w:gridCol w:w="600"/>
      </w:tblGrid>
      <w:t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Test-ID</w:t>
            </w:r>
          </w:p>
        </w:tc>
        <w:tc>
          <w:tcPr>
            <w:tcW w:type="dxa" w:w="3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3426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Normative Referenz</w:t>
            </w:r>
          </w:p>
        </w:tc>
        <w:tc>
          <w:tcPr>
            <w:tcW w:type="dxa" w:w="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T-L1-042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TAI label: CG:TAI:1682899237 → "2023-05-01T00:00:37 TAI"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CG-STD-3100 §3.4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T-L1-043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Unix label: CG:Unix:1682899200 → "2023-05-01T00:00:00Z" (RFC 3339)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ISO 8601:2019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T-L1-044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GPS label korrekt mit GPS-Epoch-Offset (1980-01-06T00:00:00 UTC)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CG-STD-3100 §3.4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T-L1-045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Label für Epoch-Wert t=0: korrekte ISO8601-Darstellung des Nullpunkts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I-E1, Th. 5.4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T-L1-046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Label-Format-Validierung: Ausgabe ist RFC 3339-konform (Regex-Test)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ISO 8601:2019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T-L1-047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Label für negativen Zeitwert: Prä-Epoch-Datum korrekt (ISO 8601 extended)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ISO 8601:2019 §5.2.1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T-L1-048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Label-Präzision mindestens Sekunden (keine Abrundung auf Minuten)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CG-STD-3100 §3.4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T-L1-049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Label-Determinismus: zweimaliger Aufruf mit gleichem CGTA → identischer String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I-R3, Th. 5.2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6"/>
        <w:gridCol w:w="2200"/>
      </w:tblGrid>
      <w:tr>
        <w:tc>
          <w:tcPr>
            <w:tcW w:type="dxa" w:w="68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F — Fehlerbehandlung (CG-E-001, CG-E-003, CG-E-007)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T-L1-050 – T-L1-055  ·  6 Tests</w:t>
            </w:r>
          </w:p>
        </w:tc>
      </w:tr>
    </w:tbl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3426"/>
        <w:gridCol w:w="600"/>
      </w:tblGrid>
      <w:tr>
        <w:tc>
          <w:tcPr>
            <w:tcW w:type="dxa" w:w="9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Test-ID</w:t>
            </w:r>
          </w:p>
        </w:tc>
        <w:tc>
          <w:tcPr>
            <w:tcW w:type="dxa" w:w="33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3426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Normative Referenz</w:t>
            </w:r>
          </w:p>
        </w:tc>
        <w:tc>
          <w:tcPr>
            <w:tcW w:type="dxa" w:w="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fill="1B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T-L1-050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CG-E-001.001: CTDDL kein gültiges JSON → SyntaxError FATAL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§9.1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T-L1-051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CG-E-001.002: Pflichtfeld "domain-name" fehlt → SyntaxError FATAL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§9.1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T-L1-052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CG-E-003: Zeitwert außerhalb Extent → ExtentError FATAL (kein Soft-Fail)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§9.3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T-L1-053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CG-E-007.001: Domain-Version /v99 nicht in Registry → VersionError FATAL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§9.7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T-L1-054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Fehler-Antwortstruktur normativ vollständig: code, class, severity, thrownBy, message, cgStd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§9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9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T-L1-055</w:t>
            </w:r>
          </w:p>
        </w:tc>
        <w:tc>
          <w:tcPr>
            <w:tcW w:type="dxa" w:w="33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ExtentError thrownBy=Engine; severity=FATAL; HTTP-Äquivalent 422</w:t>
            </w:r>
          </w:p>
        </w:tc>
        <w:tc>
          <w:tcPr>
            <w:tcW w:type="dxa" w:w="34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CG-STD-2100 §9.3</w:t>
            </w:r>
          </w:p>
        </w:tc>
        <w:tc>
          <w:tcPr>
            <w:tcW w:type="dxa" w:w="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E6F4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A3E"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hd w:fill="1B3A6B" w:val="clear"/>
        <w:spacing w:after="120" w:before="2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4  Normative Testvektoren (CG-STD-0000 Anhänge A &amp; B)</w:t>
      </w:r>
    </w:p>
    <w:p>
      <w:pPr>
        <w:spacing w:after="80" w:before="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18"/>
          <w:szCs w:val="18"/>
        </w:rPr>
        <w:t xml:space="preserve">Konforme Implementierungen müssen für die folgenden Eingaben exakt diese Ausgaben liefern. Abweichung gilt als Level-1-Nicht-Konformität.</w:t>
      </w:r>
    </w:p>
    <w:p>
      <w:pPr>
        <w:spacing w:after="80" w:before="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3A6B"/>
          <w:sz w:val="18"/>
          <w:szCs w:val="18"/>
        </w:rPr>
        <w:t xml:space="preserve">Anhang A — Konvertierungskette Unix → TAI → GPS → Unix</w:t>
      </w:r>
    </w:p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7F9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Eingabe Unix:      t_Unix = 1 682 899 200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Unix → TAI:        t_TAI  = 1 682 899 237  (+37 s)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CGTA TAI:          CG:TAI:1682899237[TAI]/v1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TAI → GPS:         t_GPS  = 1 682 899 218  (TAI − 19 s)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CGTA GPS:          CG:GPS:1682899218/v1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GPS → Unix (Rück): t_Unix = 1 682 899 200  ✓ identisch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Ref.-Punkt I-M3:   M_{Unix→TAI}(0) = 10  ✓ (TAI−UTC = 10 s bei Unix-Epoch)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3A6B"/>
          <w:sz w:val="18"/>
          <w:szCs w:val="18"/>
        </w:rPr>
        <w:t xml:space="preserve">Anhang B — Schaltsekunden-Sprungstelle (2016-12-31T23:59:60Z)</w:t>
      </w:r>
    </w:p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7F9F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23:59:59Z (UTC):   CG:TAI:1483228835/v1  (TAI-Offset: +36 s)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23:59:60Z (UTC):   CG:TAI:1483228836/v1  (Schaltsekunde, IERS Bulletin C 52)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00:00:00Z (UTC):   CG:TAI:1483228837/v1  (TAI-Offset: +37 s)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TAI monoton:       1483228835 &lt; 1483228836 &lt; 1483228837  ✓  (I-R1)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Fehlerfall 1:      encode(UTC/v1, "2016-12-31T23:59:61Z") → CG-E-003  ✓</w:t>
            </w:r>
          </w:p>
          <w:p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Fehlerfall 2:      convert(POSIX, "2016-12-31T23:59:60Z") → CG-E-002  ✓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hd w:fill="1B3A6B" w:val="clear"/>
        <w:spacing w:after="120" w:before="2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5  Konformitätserklärung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4F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Die oben beschriebene Referenzimplementierung (ChronoGrid cg-engine v0.9.0, TypeScript, Node.js 22 LTS) hat alle 55 normativen Level-1-Tests (T-L1-001 bis T-L1-055) mit dem Ergebnis PASS abgeschlossen. Die Erfüllungsquote beträgt 100 %, womit die Mindestanforderung gemäß CG-STD-5100 v1.3 §2.2 vollständig erfüllt ist.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Die geprüfte Implementierung unterstützt: lineare Domains, encode/decode-Operationen, MachineID-Berechnung (SHA-256, FIPS 180-4), CGTA-Syntax (CG-STD-0000 Def. 1.4, 6-Tupel), ISO8601-Label sowie normative Fehlerbehandlung für CG-E-001, CG-E-003 und CG-E-007. BigInt-Arithmetik (ℤ∞) ist ohne Overflow implementiert. Beide normativen Testvektoren (CG-STD-0000 Anhänge A und B) wurden mit exakten Ausgaben bestätigt.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i/>
                <w:iCs/>
                <w:color w:val="1A1A1A"/>
                <w:sz w:val="18"/>
                <w:szCs w:val="18"/>
              </w:rPr>
              <w:t xml:space="preserve">Dieses Dokument dient als technischer Nachweis für die FFG-Basisprogramm-Einreichung und bestätigt den Entwicklungsstand per April 2026.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Kurt  —  Founder &amp; Lead Architect  ·  ChronoGrid Systems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Neunkirchen, NÖ  ·  April 2026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Bdr>
          <w:top w:val="single" w:color="2E6DA4" w:sz="4" w:space="1"/>
        </w:pBdr>
        <w:spacing w:after="0" w:before="120"/>
        <w:jc w:val="center"/>
      </w:pPr>
      <w:r>
        <w:rPr>
          <w:rFonts w:ascii="Arial" w:cs="Arial" w:eastAsia="Arial" w:hAnsi="Arial"/>
          <w:color w:val="555555"/>
          <w:sz w:val="16"/>
          <w:szCs w:val="16"/>
        </w:rPr>
        <w:t xml:space="preserve">CG-CONF-001 v1.0  ·  Freigegeben  ·  ChronoGrid Systems  ·  Neunkirchen, NÖ, Österreich  ·  April 2026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6DA4" w:sz="6" w:space="1"/>
      </w:pBdr>
      <w:spacing w:after="0" w:before="80"/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CG-CONF-001 v1.0  ·  Freigegeben  ·  ChronoGrid Systems  ·  Neunkirchen, NÖ, Österreich  ·  Seite 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6" w:space="1"/>
      </w:pBdr>
      <w:tabs>
        <w:tab w:val="right" w:pos="9026"/>
      </w:tabs>
      <w:spacing w:after="60" w:before="0"/>
    </w:pPr>
    <w:r>
      <w:rPr>
        <w:rFonts w:ascii="Arial" w:cs="Arial" w:eastAsia="Arial" w:hAnsi="Arial"/>
        <w:b/>
        <w:bCs/>
        <w:color w:val="1B3A6B"/>
        <w:sz w:val="16"/>
        <w:szCs w:val="16"/>
      </w:rPr>
      <w:t xml:space="preserve">CG-CONF-001  ·  Level 1 Conformance Report  ·  v1.0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ChronoGrid Systems  ·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2026-04-24T09:31:38.491Z</dcterms:created>
  <dcterms:modified xsi:type="dcterms:W3CDTF">2026-04-24T09:31:38.492Z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