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F216" w14:textId="77777777" w:rsidR="005E7706" w:rsidRDefault="00A8604A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40F7F217" w14:textId="77777777" w:rsidR="005E7706" w:rsidRDefault="00A8604A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36"/>
          <w:szCs w:val="36"/>
        </w:rPr>
        <w:t>Terminologie und Abkürzungen</w:t>
      </w:r>
    </w:p>
    <w:p w14:paraId="40F7F218" w14:textId="77777777" w:rsidR="005E7706" w:rsidRDefault="00A8604A">
      <w:pPr>
        <w:shd w:val="clear" w:color="auto" w:fill="1B3A6B"/>
        <w:jc w:val="center"/>
      </w:pPr>
      <w:r>
        <w:rPr>
          <w:i/>
          <w:iCs/>
          <w:color w:val="B0C4D8"/>
        </w:rPr>
        <w:t>Normatives Glossar aller ChronoGrid-Begriffe, Identifier und Invarianten</w:t>
      </w:r>
    </w:p>
    <w:p w14:paraId="40F7F219" w14:textId="77777777" w:rsidR="005E7706" w:rsidRDefault="00A8604A">
      <w:pPr>
        <w:shd w:val="clear" w:color="auto" w:fill="1B3A6B"/>
      </w:pPr>
      <w:r>
        <w:rPr>
          <w:color w:val="B0C4D8"/>
          <w:sz w:val="20"/>
          <w:szCs w:val="20"/>
        </w:rPr>
        <w:t>CG-STD-1000-2026  ·  Version 1.2  ·  April 2026  ·  Ersetzt v1.0</w:t>
      </w:r>
    </w:p>
    <w:p w14:paraId="40F7F21A" w14:textId="77777777" w:rsidR="005E7706" w:rsidRDefault="00A8604A">
      <w:pPr>
        <w:shd w:val="clear" w:color="auto" w:fill="1B3A6B"/>
      </w:pPr>
      <w:r>
        <w:rPr>
          <w:color w:val="B0C4D8"/>
          <w:sz w:val="20"/>
          <w:szCs w:val="20"/>
        </w:rPr>
        <w:t>Herausgeber: ChronoGrid Systems  ·  Autor: Kurt, Founder &amp; Lead Architect</w:t>
      </w:r>
    </w:p>
    <w:p w14:paraId="40F7F21B" w14:textId="77777777" w:rsidR="005E7706" w:rsidRDefault="00A8604A">
      <w:pPr>
        <w:shd w:val="clear" w:color="auto" w:fill="1B3A6B"/>
      </w:pPr>
      <w:r>
        <w:rPr>
          <w:color w:val="17A589"/>
          <w:sz w:val="20"/>
          <w:szCs w:val="20"/>
        </w:rPr>
        <w:t>Dokumentstatus: Freigegeben  ·  Versioniert  ·  Langzeitstabil</w:t>
      </w:r>
    </w:p>
    <w:p w14:paraId="40F7F21C" w14:textId="77777777" w:rsidR="005E7706" w:rsidRDefault="005E770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E7706" w14:paraId="40F7F21F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1D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Feld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1E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Wert</w:t>
            </w:r>
          </w:p>
        </w:tc>
      </w:tr>
      <w:tr w:rsidR="005E7706" w14:paraId="40F7F22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0" w14:textId="77777777" w:rsidR="005E7706" w:rsidRDefault="00A8604A">
            <w:r>
              <w:rPr>
                <w:color w:val="1A1A1A"/>
                <w:sz w:val="19"/>
                <w:szCs w:val="19"/>
              </w:rPr>
              <w:t>Dokument-Nr.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1" w14:textId="77777777" w:rsidR="005E7706" w:rsidRDefault="00A8604A">
            <w:r>
              <w:rPr>
                <w:color w:val="1A1A1A"/>
                <w:sz w:val="19"/>
                <w:szCs w:val="19"/>
              </w:rPr>
              <w:t>CG-STD-1000-2026</w:t>
            </w:r>
          </w:p>
        </w:tc>
      </w:tr>
      <w:tr w:rsidR="005E7706" w14:paraId="40F7F225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3" w14:textId="77777777" w:rsidR="005E7706" w:rsidRDefault="00A8604A">
            <w:r>
              <w:rPr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4" w14:textId="77777777" w:rsidR="005E7706" w:rsidRDefault="00A8604A">
            <w:r>
              <w:rPr>
                <w:color w:val="1A1A1A"/>
                <w:sz w:val="19"/>
                <w:szCs w:val="19"/>
              </w:rPr>
              <w:t>1.2  —  Freigegeben</w:t>
            </w:r>
          </w:p>
        </w:tc>
      </w:tr>
      <w:tr w:rsidR="005E7706" w14:paraId="40F7F22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6" w14:textId="77777777" w:rsidR="005E7706" w:rsidRDefault="00A8604A">
            <w:r>
              <w:rPr>
                <w:color w:val="1A1A1A"/>
                <w:sz w:val="19"/>
                <w:szCs w:val="19"/>
              </w:rPr>
              <w:t>Datum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7" w14:textId="77777777" w:rsidR="005E7706" w:rsidRDefault="00A8604A">
            <w:r>
              <w:rPr>
                <w:color w:val="1A1A1A"/>
                <w:sz w:val="19"/>
                <w:szCs w:val="19"/>
              </w:rPr>
              <w:t>April 2026</w:t>
            </w:r>
          </w:p>
        </w:tc>
      </w:tr>
      <w:tr w:rsidR="005E7706" w14:paraId="40F7F22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9" w14:textId="77777777" w:rsidR="005E7706" w:rsidRDefault="00A8604A">
            <w:r>
              <w:rPr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A" w14:textId="77777777" w:rsidR="005E7706" w:rsidRDefault="00A8604A">
            <w:r>
              <w:rPr>
                <w:color w:val="1A1A1A"/>
                <w:sz w:val="19"/>
                <w:szCs w:val="19"/>
              </w:rPr>
              <w:t>Freigegeben  ·  Versioniert  ·  Langzeitstabil</w:t>
            </w:r>
          </w:p>
        </w:tc>
      </w:tr>
      <w:tr w:rsidR="005E7706" w14:paraId="40F7F22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C" w14:textId="77777777" w:rsidR="005E7706" w:rsidRDefault="00A8604A">
            <w:r>
              <w:rPr>
                <w:color w:val="1A1A1A"/>
                <w:sz w:val="19"/>
                <w:szCs w:val="19"/>
              </w:rPr>
              <w:t>Abhängigkeiten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D" w14:textId="77777777" w:rsidR="005E7706" w:rsidRDefault="00A8604A">
            <w:r>
              <w:rPr>
                <w:color w:val="1A1A1A"/>
                <w:sz w:val="19"/>
                <w:szCs w:val="19"/>
              </w:rPr>
              <w:t>Keine (Basisdokument für Terminologie)</w:t>
            </w:r>
          </w:p>
        </w:tc>
      </w:tr>
      <w:tr w:rsidR="005E7706" w14:paraId="50000001" w14:textId="77777777">
        <w:tc>
          <w:tcPr>
            <w:tcW w:w="2200" w:type="dxa"/>
            <w:shd w:val="clear" w:color="auto" w:fill="EEF4FA"/>
          </w:tcPr>
          <w:p w14:paraId="5000000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Ersetzt</w:t>
            </w:r>
          </w:p>
        </w:tc>
        <w:tc>
          <w:tcPr>
            <w:tcW w:w="6826" w:type="dxa"/>
            <w:shd w:val="clear" w:color="auto" w:fill="EEF4FA"/>
          </w:tcPr>
          <w:p w14:paraId="50000003" w14:textId="77777777" w:rsidR="005E7706" w:rsidRDefault="00A8604A">
            <w:r>
              <w:rPr>
                <w:color w:val="1A1A1A"/>
                <w:sz w:val="19"/>
                <w:szCs w:val="19"/>
              </w:rPr>
              <w:t>CG-STD-1000-2026 v1.0</w:t>
            </w:r>
          </w:p>
        </w:tc>
      </w:tr>
      <w:tr w:rsidR="005E7706" w14:paraId="50000004" w14:textId="77777777">
        <w:tc>
          <w:tcPr>
            <w:tcW w:w="2200" w:type="dxa"/>
            <w:shd w:val="clear" w:color="auto" w:fill="FFFFFF"/>
          </w:tcPr>
          <w:p w14:paraId="5000000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 xml:space="preserve">Änderungen v1.0→v1.2</w:t>
            </w:r>
          </w:p>
        </w:tc>
        <w:tc>
          <w:tcPr>
            <w:tcW w:w="6826" w:type="dxa"/>
            <w:shd w:val="clear" w:color="auto" w:fill="FFFFFF"/>
          </w:tcPr>
          <w:p w14:paraId="50000006" w14:textId="77777777" w:rsidR="005E7706" w:rsidRDefault="00A8604A">
            <w:r>
              <w:rPr>
                <w:color w:val="1A1A1A"/>
                <w:sz w:val="18"/>
                <w:szCs w:val="18"/>
              </w:rPr>
              <w:t>Kap. 2.2: 11 neue Kernkonzepte (BigInt, Klasse A/B, Referenzpunkt, Granularität, Extent, semantics, Manifest, FileType, Resolver, Allen-Relationen); Kap. 2.7: Fehlerklassen CG-E-001 bis CG-E-011 (NEU); Kap. 4: 15 neue Abkürzungen</w:t>
            </w:r>
          </w:p>
        </w:tc>
      </w:tr>
      <w:tr w:rsidR="005E7706" w14:paraId="40F7F23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F" w14:textId="77777777" w:rsidR="005E7706" w:rsidRDefault="00A8604A">
            <w:r>
              <w:rPr>
                <w:color w:val="1A1A1A"/>
                <w:sz w:val="19"/>
                <w:szCs w:val="19"/>
              </w:rPr>
              <w:t>Referenziert von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30" w14:textId="77777777" w:rsidR="005E7706" w:rsidRDefault="00A8604A">
            <w:r>
              <w:rPr>
                <w:color w:val="1A1A1A"/>
                <w:sz w:val="19"/>
                <w:szCs w:val="19"/>
              </w:rPr>
              <w:t>CG-STD-1100 v2.5, CG-STD-2100 v1.4, CG-STD-3100 v1.5, CG-STD-4100 v0.7, CG-ORG-2100 v1.4, CG-STD-5100 v1.3, CG-STD-6100 v0.5</w:t>
            </w:r>
          </w:p>
        </w:tc>
      </w:tr>
      <w:tr w:rsidR="005E7706" w14:paraId="40F7F23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32" w14:textId="77777777" w:rsidR="005E7706" w:rsidRDefault="00A8604A">
            <w:r>
              <w:rPr>
                <w:color w:val="1A1A1A"/>
                <w:sz w:val="19"/>
                <w:szCs w:val="19"/>
              </w:rPr>
              <w:t>Zweck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33" w14:textId="77777777" w:rsidR="005E7706" w:rsidRDefault="00A8604A">
            <w:r>
              <w:rPr>
                <w:color w:val="1A1A1A"/>
                <w:sz w:val="19"/>
                <w:szCs w:val="19"/>
              </w:rPr>
              <w:t>Normatives Glossar aller ChronoGrid-Begriffe, Abkürzungen und Identifier. Maßgeblich für alle anderen Dokumente der CG-STD-* Reihe.</w:t>
            </w:r>
          </w:p>
        </w:tc>
      </w:tr>
    </w:tbl>
    <w:p w14:paraId="40F7F235" w14:textId="77777777" w:rsidR="005E7706" w:rsidRDefault="005E7706">
      <w:pPr>
        <w:spacing w:before="80"/>
      </w:pPr>
    </w:p>
    <w:p w14:paraId="565097F3" w14:textId="77777777" w:rsidR="007A56CB" w:rsidRDefault="007A56CB">
      <w:pPr>
        <w:spacing w:before="8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de-DE"/>
        </w:rPr>
        <w:id w:val="21095416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F2509" w14:textId="05879EAC" w:rsidR="007A56CB" w:rsidRDefault="007A56CB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5DD1F9AF" w14:textId="1039568A" w:rsidR="00ED71CC" w:rsidRDefault="007A56CB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6045903" w:history="1">
            <w:r>
              <w:rPr>
                <w:rStyle w:val="Hyperlink"/>
                <w:noProof/>
              </w:rPr>
              <w:t>Vorwort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_Toc226045903 \h </w:instrText>
              <w:fldChar w:fldCharType="separate"/>
              <w:t>1</w:t>
              <w:fldChar w:fldCharType="end"/>
            </w:r>
          </w:hyperlink>
        </w:p>
        <w:p w14:paraId="5B649407" w14:textId="60F505A3" w:rsidR="00ED71CC" w:rsidRDefault="00ED71C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4" w:history="1">
            <w:r>
              <w:rPr>
                <w:rStyle w:val="Hyperlink"/>
                <w:noProof/>
              </w:rPr>
              <w:t>1.  Geltungsbereich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_Toc226045904 \h </w:instrText>
              <w:fldChar w:fldCharType="separate"/>
              <w:t>2</w:t>
              <w:fldChar w:fldCharType="end"/>
            </w:r>
          </w:hyperlink>
        </w:p>
        <w:p w14:paraId="3C8FA822" w14:textId="455FE745" w:rsidR="00ED71CC" w:rsidRDefault="00ED71C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5" w:history="1">
            <w:r>
              <w:rPr>
                <w:rStyle w:val="Hyperlink"/>
                <w:noProof/>
              </w:rPr>
              <w:t>2.  Normatives Glossar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_Toc226045905 \h </w:instrText>
              <w:fldChar w:fldCharType="separate"/>
              <w:t>2</w:t>
              <w:fldChar w:fldCharType="end"/>
            </w:r>
          </w:hyperlink>
        </w:p>
        <w:p w14:paraId="6E320727" w14:textId="0020C126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6" w:history="1">
            <w:r>
              <w:rPr>
                <w:rStyle w:val="Hyperlink"/>
                <w:noProof/>
              </w:rPr>
              <w:t>2.1  Identifier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_Toc226045906 \h </w:instrText>
              <w:fldChar w:fldCharType="separate"/>
              <w:t>2</w:t>
              <w:fldChar w:fldCharType="end"/>
            </w:r>
          </w:hyperlink>
        </w:p>
        <w:p w14:paraId="1049451A" w14:textId="754EBAED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7" w:history="1">
            <w:r>
              <w:rPr>
                <w:rStyle w:val="Hyperlink"/>
                <w:noProof/>
              </w:rPr>
              <w:t>2.2  Kernkonzepte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_Toc226045907 \h </w:instrText>
              <w:fldChar w:fldCharType="separate"/>
              <w:t>2</w:t>
              <w:fldChar w:fldCharType="end"/>
            </w:r>
          </w:hyperlink>
        </w:p>
        <w:p w14:paraId="65ECB981" w14:textId="2F8E8E69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8" w:history="1">
            <w:r>
              <w:rPr>
                <w:rStyle w:val="Hyperlink"/>
                <w:noProof/>
              </w:rPr>
              <w:t>2.3  Gremien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_Toc226045908 \h </w:instrText>
              <w:fldChar w:fldCharType="separate"/>
              <w:t>3</w:t>
              <w:fldChar w:fldCharType="end"/>
            </w:r>
          </w:hyperlink>
        </w:p>
        <w:p w14:paraId="45957982" w14:textId="37AA746C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9" w:history="1">
            <w:r>
              <w:rPr>
                <w:rStyle w:val="Hyperlink"/>
                <w:noProof/>
              </w:rPr>
              <w:t>2.4  Prozesse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_Toc226045909 \h </w:instrText>
              <w:fldChar w:fldCharType="separate"/>
              <w:t>3</w:t>
              <w:fldChar w:fldCharType="end"/>
            </w:r>
          </w:hyperlink>
        </w:p>
        <w:p w14:paraId="12633C6F" w14:textId="5AE6F508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0" w:history="1">
            <w:r>
              <w:rPr>
                <w:rStyle w:val="Hyperlink"/>
                <w:noProof/>
              </w:rPr>
              <w:t>2.5  Invarianten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_Toc226045910 \h </w:instrText>
              <w:fldChar w:fldCharType="separate"/>
              <w:t>4</w:t>
              <w:fldChar w:fldCharType="end"/>
            </w:r>
          </w:hyperlink>
        </w:p>
        <w:p w14:paraId="04121764" w14:textId="3514A999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1" w:history="1">
            <w:r>
              <w:rPr>
                <w:rStyle w:val="Hyperlink"/>
                <w:noProof/>
              </w:rPr>
              <w:t>2.6  Konformitätsstufen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_Toc226045911 \h </w:instrText>
              <w:fldChar w:fldCharType="separate"/>
              <w:t>5</w:t>
              <w:fldChar w:fldCharType="end"/>
            </w:r>
          </w:hyperlink>
        </w:p>
        <w:p w14:paraId="50000007" w14:textId="77777777" w:rsidR="005E7706" w:rsidRDefault="00A8604A">
          <w:pPr>
            <w:pStyle w:val="berschrift2"/>
          </w:pPr>
          <w:bookmarkStart w:id="99" w:name="_Toc226045999"/>
          <w:r>
            <w:t>2.7  Fehlerklassen</w:t>
          </w:r>
          <w:bookmarkEnd w:id="99"/>
        </w:p>
        <w:p w14:paraId="50000008" w14:textId="77777777" w:rsidR="005E7706" w:rsidRDefault="00A8604A">
          <w:pPr>
            <w:spacing w:before="60" w:after="120"/>
          </w:pPr>
          <w:r>
            <w:rPr>
              <w:color w:val="1A1A1A"/>
              <w:sz w:val="20"/>
              <w:szCs w:val="20"/>
            </w:rPr>
            <w:t>Normative Fehlerklassen die von konformen Implementierungen ausgelöst werden müssen. Vollständiger Katalog mit Sub-Codes in CG-STD-2100 Kap. 9.</w:t>
          </w:r>
        </w:p>
        <w:tbl>
          <w:tblPr>
            <w:tblW w:w="90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400"/>
            <w:gridCol w:w="2600"/>
            <w:gridCol w:w="3600"/>
            <w:gridCol w:w="1426"/>
          </w:tblGrid>
          <w:tr w:rsidR="005E7706" w14:paraId="50000009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A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CG-E-001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B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SyntaxError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C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CTDDL-Dokument syntaktisch ungültig (ABNF-Verletzung).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D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9.1</w:t>
                </w:r>
              </w:p>
            </w:tc>
          </w:tr>
          <w:tr w:rsidR="005E7706" w14:paraId="5000000E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F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CG-E-002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0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SemanticError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1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CTDDL syntaktisch korrekt, aber semantisch inkonsistent (z.B. Extent min &amp;gt; max).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2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9.2</w:t>
                </w:r>
              </w:p>
            </w:tc>
          </w:tr>
          <w:tr w:rsidR="005E7706" w14:paraId="50000013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4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CG-E-003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5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ExtentError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6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Zeitwert außerhalb des Domain-Extents oder BigInt-Overflow (FATAL, kein Wraparound).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7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9.3 CG-STD-3100 Kap. 2.6</w:t>
                </w:r>
              </w:p>
            </w:tc>
          </w:tr>
          <w:tr w:rsidR="005E7706" w14:paraId="50000018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9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CG-E-004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A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HierarchyError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B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Fehler in der Hierarchie-Definition (z.B. ungültiger Faktor).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C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9.4</w:t>
                </w:r>
              </w:p>
            </w:tc>
          </w:tr>
          <w:tr w:rsidR="005E7706" w14:paraId="5000001D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E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CG-E-005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F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MappingError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0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Fehler bei Mapping-Ausführung (z.B. Chain-Limit &amp;gt; 8 überschritten).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1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9.5</w:t>
                </w:r>
              </w:p>
            </w:tc>
          </w:tr>
          <w:tr w:rsidR="005E7706" w14:paraId="50000022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3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CG-E-006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4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InvariantError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5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Verletzung einer normativen Invariante (I-R1 bis I-E1, I-SEG-1).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6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9.6</w:t>
                </w:r>
              </w:p>
            </w:tc>
          </w:tr>
          <w:tr w:rsidR="005E7706" w14:paraId="50000027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8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CG-E-007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9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VersionError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A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Inkompatible Domain-Version oder API-Version.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B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9.7</w:t>
                </w:r>
              </w:p>
            </w:tc>
          </w:tr>
          <w:tr w:rsidR="005E7706" w14:paraId="5000002C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D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CG-E-008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E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ConstraintError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F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Verletzung einer Constraint-Regel (scientific_dependency, Typ-Exklusivität, Chain-Limit).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0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9.8</w:t>
                </w:r>
              </w:p>
            </w:tc>
          </w:tr>
          <w:tr w:rsidR="005E7706" w14:paraId="50000031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2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CG-E-009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3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ImmutabilityError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4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Versuch, eine veröffentlichte Domain-Version oder gespeicherten Zeitpunkt zu ändern (I-D1, I-S1).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5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CG-STD-4100 Kap. 2.1</w:t>
                </w:r>
              </w:p>
            </w:tc>
          </w:tr>
          <w:tr w:rsidR="005E7706" w14:paraId="50000036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7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CG-E-010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8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CGUASError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9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Fehler im CGUAS-Adressraum. 8 Sub-Codes: SegmentSpaceExhausted, SegmentCollision, NamespaceConflict, CGUAAddressOutOfRange u.a.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A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 CG-STD-6100 Kap. 5</w:t>
                </w:r>
              </w:p>
            </w:tc>
          </w:tr>
          <w:tr w:rsidR="005E7706" w14:paraId="5000003B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C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CG-E-011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D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CGFSError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E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Fehler im CGFS-Dateisystem. 10 Sub-Codes: ManifestInvalid, CGFIMismatch, RetentionViolation, TombstoneIllegal u.a.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F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 CG-STD-6100 Kap. 13</w:t>
                </w:r>
              </w:p>
            </w:tc>
          </w:tr>
        </w:tbl>
        <w:p w14:paraId="50000040" w14:textId="77777777" w:rsidR="005E7706" w:rsidRDefault="005E7706">
          <w:pPr>
            <w:spacing w:before="60"/>
          </w:pPr>
        </w:p>
        <w:p w14:paraId="4517F91F" w14:textId="4BC95B39" w:rsidR="00ED71CC" w:rsidRDefault="00ED71C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2" w:history="1">
            <w:r>
              <w:rPr>
                <w:rStyle w:val="Hyperlink"/>
                <w:noProof/>
              </w:rPr>
              <w:t>2.7  Fehlerklassen34.  Abkürzungsverzeichnis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_Toc226045912 \h </w:instrText>
              <w:fldChar w:fldCharType="separate"/>
              <w:t>5</w:t>
              <w:fldChar w:fldCharType="end"/>
            </w:r>
          </w:hyperlink>
        </w:p>
        <w:p w14:paraId="43BCF107" w14:textId="30706C38" w:rsidR="00ED71CC" w:rsidRDefault="00ED71C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3" w:history="1">
            <w:r>
              <w:rPr>
                <w:rStyle w:val="Hyperlink"/>
                <w:noProof/>
              </w:rPr>
              <w:t>5.  Referenzen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_Toc226045913 \h </w:instrText>
              <w:fldChar w:fldCharType="separate"/>
              <w:t>6</w:t>
              <w:fldChar w:fldCharType="end"/>
            </w:r>
          </w:hyperlink>
        </w:p>
        <w:p w14:paraId="4277806B" w14:textId="31291AFA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4" w:history="1">
            <w:r>
              <w:rPr>
                <w:rStyle w:val="Hyperlink"/>
                <w:noProof/>
              </w:rPr>
              <w:t>Normative Referenzen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_Toc226045914 \h </w:instrText>
              <w:fldChar w:fldCharType="separate"/>
              <w:t>6</w:t>
              <w:fldChar w:fldCharType="end"/>
            </w:r>
          </w:hyperlink>
        </w:p>
        <w:p w14:paraId="7D8671C4" w14:textId="4A32312C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5" w:history="1">
            <w:r>
              <w:rPr>
                <w:rStyle w:val="Hyperlink"/>
                <w:noProof/>
              </w:rPr>
              <w:t>Informative Referenzen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_Toc226045915 \h </w:instrText>
              <w:fldChar w:fldCharType="separate"/>
              <w:t>6</w:t>
              <w:fldChar w:fldCharType="end"/>
            </w:r>
          </w:hyperlink>
        </w:p>
        <w:p w14:paraId="384CA336" w14:textId="29C777CC" w:rsidR="007A56CB" w:rsidRDefault="007A56CB">
          <w:r>
            <w:rPr>
              <w:b/>
              <w:bCs/>
              <w:lang w:val="de-DE"/>
            </w:rPr>
            <w:fldChar w:fldCharType="end"/>
          </w:r>
        </w:p>
      </w:sdtContent>
    </w:sdt>
    <w:p w14:paraId="6D4EDB2C" w14:textId="0FB9647C" w:rsidR="007A56CB" w:rsidRDefault="007A56CB">
      <w:pPr>
        <w:spacing w:before="80"/>
      </w:pPr>
      <w:r>
        <w:br w:type="page"/>
      </w:r>
    </w:p>
    <w:p w14:paraId="2B38BDAD" w14:textId="77777777" w:rsidR="007A56CB" w:rsidRDefault="007A56CB">
      <w:pPr>
        <w:spacing w:before="80"/>
        <w:sectPr w:rsidR="007A56CB">
          <w:headerReference w:type="default" r:id="rId8"/>
          <w:footerReference w:type="default" r:id="rId9"/>
          <w:pgSz w:w="11906" w:h="16838"/>
          <w:pgMar w:top="1100" w:right="1200" w:bottom="1100" w:left="1200" w:header="708" w:footer="708" w:gutter="0"/>
          <w:cols w:space="720"/>
          <w:docGrid w:linePitch="360"/>
        </w:sectPr>
      </w:pPr>
    </w:p>
    <w:p w14:paraId="310DEEB4" w14:textId="77777777" w:rsidR="003C3D38" w:rsidRDefault="003C3D38">
      <w:pPr>
        <w:spacing w:before="80"/>
      </w:pPr>
    </w:p>
    <w:p w14:paraId="40F7F236" w14:textId="77777777" w:rsidR="005E7706" w:rsidRDefault="00A8604A">
      <w:pPr>
        <w:pStyle w:val="berschrift1"/>
        <w:pBdr>
          <w:bottom w:val="single" w:sz="3" w:space="6" w:color="17A589"/>
        </w:pBdr>
      </w:pPr>
      <w:bookmarkStart w:id="1" w:name="_Toc226045903"/>
      <w:r>
        <w:t>Vorwort</w:t>
      </w:r>
      <w:bookmarkEnd w:id="1"/>
    </w:p>
    <w:p w14:paraId="40F7F237" w14:textId="77777777" w:rsidR="005E7706" w:rsidRDefault="00A8604A">
      <w:pPr>
        <w:spacing w:before="60" w:after="60"/>
      </w:pPr>
      <w:r>
        <w:rPr>
          <w:color w:val="1A1A1A"/>
        </w:rPr>
        <w:t>CG-STD-1000 ist das normative Terminologie-Dokument der ChronoGrid-Standardfamilie. Es definiert alle Begriffe, Abkürzungen und Identifier die in den anderen Dokumenten der CG-STD-* Reihe verwendet werden. Im Konfliktfall zwischen einer Definition in CG-STD-1000 und einer Definition in einem anderen Dokument gilt CG-STD-1000.</w:t>
      </w:r>
    </w:p>
    <w:p w14:paraId="40F7F238" w14:textId="77777777" w:rsidR="005E7706" w:rsidRDefault="00A8604A">
      <w:pPr>
        <w:spacing w:before="60" w:after="60"/>
      </w:pPr>
      <w:r>
        <w:rPr>
          <w:color w:val="1A1A1A"/>
        </w:rPr>
        <w:t>Das Dokument ist nach Kategorien gegliedert: Identifier, Kernkonzepte, Gremien, Prozesse, Invarianten und Konformitätsstufen. Jeder Eintrag enthält Kürzel, vollständigen Namen, Definition und Verweis auf das definierende Dokument.</w:t>
      </w:r>
    </w:p>
    <w:p w14:paraId="40F7F239" w14:textId="77777777" w:rsidR="005E7706" w:rsidRDefault="00A8604A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i/>
          <w:iCs/>
          <w:color w:val="1B3A6B"/>
          <w:sz w:val="20"/>
          <w:szCs w:val="20"/>
        </w:rPr>
        <w:t>Lesbarkeitshinweis: CG-STD-1000 ist ein Nachschlagewerk, kein Lehrbuch. Zur Einführung in ChronoGrid empfiehlt sich die Lektüre von CG-STD-1100 (Masterdokument) in der empfohlenen Lesereihenfolge: CG-STD-0000 → CG-STD-1100 → CG-STD-2100 → CG-STD-3100 → CG-STD-4100 → CG-ORG-2100 → CG-STD-5100 → CG-STD-6100. CG-STD-0000 (Mathematische Grundlagen) steht am Anfang, da alle anderen Dokumente normativ auf seine Definitionen und Theoreme verweisen.</w:t>
      </w:r>
    </w:p>
    <w:p w14:paraId="40F7F23A" w14:textId="2C6CFEEF" w:rsidR="00181E00" w:rsidRDefault="00181E00">
      <w:pPr>
        <w:spacing w:before="60"/>
      </w:pPr>
      <w:r>
        <w:br w:type="page"/>
      </w:r>
    </w:p>
    <w:p w14:paraId="6C7CEB44" w14:textId="77777777" w:rsidR="005E7706" w:rsidRDefault="005E7706">
      <w:pPr>
        <w:spacing w:before="60"/>
      </w:pPr>
    </w:p>
    <w:p w14:paraId="40F7F23B" w14:textId="77777777" w:rsidR="005E7706" w:rsidRDefault="00A8604A">
      <w:pPr>
        <w:pStyle w:val="berschrift1"/>
        <w:pBdr>
          <w:bottom w:val="single" w:sz="3" w:space="6" w:color="17A589"/>
        </w:pBdr>
      </w:pPr>
      <w:bookmarkStart w:id="2" w:name="_Toc226045904"/>
      <w:r>
        <w:t>1.  Geltungsbereich</w:t>
      </w:r>
      <w:bookmarkEnd w:id="2"/>
    </w:p>
    <w:p w14:paraId="40F7F23C" w14:textId="77777777" w:rsidR="005E7706" w:rsidRDefault="00A8604A">
      <w:pPr>
        <w:spacing w:before="60" w:after="60"/>
      </w:pPr>
      <w:r>
        <w:rPr>
          <w:color w:val="1A1A1A"/>
        </w:rPr>
        <w:t>Dieses Dokument legt die normative Terminologie für alle Dokumente der ChronoGrid-Standardfamilie fest. Es gilt für:</w:t>
      </w:r>
    </w:p>
    <w:p w14:paraId="40F7F23D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Alle Autoren von CG-STD-* Dokumenten</w:t>
      </w:r>
    </w:p>
    <w:p w14:paraId="40F7F23E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Alle Implementierer die ChronoGrid-Zertifizierungen anstreben (Level 1, 2, 3)</w:t>
      </w:r>
    </w:p>
    <w:p w14:paraId="40F7F23F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Alle externen Prüfer (Mathematiker, Informatiker, Physiker) die Beweise oder Spezifikationen reviewen</w:t>
      </w:r>
    </w:p>
    <w:p w14:paraId="40F7F240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Alle Standardisierungsorganisationen (ISO, W3C, IETF, ASI/ON) die CG-STD-* Dokumente als Basis für eigene Standards verwenden</w:t>
      </w:r>
    </w:p>
    <w:p w14:paraId="40F7F241" w14:textId="77777777" w:rsidR="005E7706" w:rsidRDefault="005E7706">
      <w:pPr>
        <w:spacing w:before="40"/>
      </w:pPr>
    </w:p>
    <w:p w14:paraId="40F7F242" w14:textId="77777777" w:rsidR="005E7706" w:rsidRDefault="00A8604A">
      <w:pPr>
        <w:spacing w:before="40" w:after="60"/>
      </w:pPr>
      <w:r>
        <w:rPr>
          <w:color w:val="1A1A1A"/>
        </w:rPr>
        <w:t>Begriffe die in diesem Dokument definiert sind, werden in anderen CG-STD-* Dokumenten ohne weitere Erklärung verwendet. Bei der ersten Verwendung in einem anderen Dokument können sie kursiv gesetzt werden.</w:t>
      </w:r>
    </w:p>
    <w:p w14:paraId="40F7F243" w14:textId="77777777" w:rsidR="005E7706" w:rsidRDefault="005E7706">
      <w:pPr>
        <w:spacing w:before="60"/>
      </w:pPr>
    </w:p>
    <w:p w14:paraId="40F7F244" w14:textId="77777777" w:rsidR="005E7706" w:rsidRDefault="00A8604A">
      <w:pPr>
        <w:pStyle w:val="berschrift1"/>
        <w:pBdr>
          <w:bottom w:val="single" w:sz="3" w:space="6" w:color="17A589"/>
        </w:pBdr>
      </w:pPr>
      <w:bookmarkStart w:id="3" w:name="_Toc226045905"/>
      <w:r>
        <w:t>2.  Normatives Glossar</w:t>
      </w:r>
      <w:bookmarkEnd w:id="3"/>
    </w:p>
    <w:p w14:paraId="40F7F245" w14:textId="77777777" w:rsidR="005E7706" w:rsidRDefault="00A8604A">
      <w:pPr>
        <w:spacing w:before="40" w:after="40"/>
      </w:pPr>
      <w:r>
        <w:rPr>
          <w:color w:val="1A1A1A"/>
        </w:rPr>
        <w:t>Die folgenden Tabellen sind normativ. Spalten: Kürzel | Vollständiger Name | Definition | Definiert in</w:t>
      </w:r>
    </w:p>
    <w:p w14:paraId="40F7F246" w14:textId="77777777" w:rsidR="005E7706" w:rsidRDefault="00A8604A">
      <w:pPr>
        <w:pStyle w:val="berschrift2"/>
      </w:pPr>
      <w:bookmarkStart w:id="4" w:name="_Toc226045906"/>
      <w:r>
        <w:t>2.1  Identifier</w:t>
      </w:r>
      <w:bookmarkEnd w:id="4"/>
    </w:p>
    <w:p w14:paraId="40F7F247" w14:textId="77777777" w:rsidR="005E7706" w:rsidRDefault="00A8604A">
      <w:pPr>
        <w:spacing w:before="40" w:after="30"/>
      </w:pPr>
      <w:r>
        <w:rPr>
          <w:color w:val="1A1A1A"/>
        </w:rPr>
        <w:t>Die vier zentralen Identifier des ChronoGrid-Systems. Sie identifizieren verschiedene Objekte und werden häufig verwechselt — eine präzise Abgrenzung findet sich in CG-STD-1100 Kap. 4.4.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4C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8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9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A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B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5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CGTA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E" w14:textId="77777777" w:rsidR="005E7706" w:rsidRDefault="00A8604A">
            <w:r>
              <w:rPr>
                <w:color w:val="1A1A1A"/>
                <w:sz w:val="19"/>
                <w:szCs w:val="19"/>
              </w:rPr>
              <w:t>ChronoGrid Time Address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F" w14:textId="77777777" w:rsidR="005E7706" w:rsidRDefault="00A8604A">
            <w:r>
              <w:rPr>
                <w:color w:val="1A1A1A"/>
                <w:sz w:val="18"/>
                <w:szCs w:val="18"/>
              </w:rPr>
              <w:t>Eindeutige, globale Adresse für einen Zeitpunkt in einer definierten TimeDomain. Syntax: CG:{DomainName}:{Zeitwert}[{z}]/{Version}, wobei {z} der optionale Zeitzone/Qualifier-Parameter ist (z ∈ {UTC, TAI, none}), übereinstimmend mit CG-STD-0000 Definition 1.4. Beispiel: CG:TAI:1742041937/v1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0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4.3 CG-STD-2100</w:t>
            </w:r>
          </w:p>
        </w:tc>
      </w:tr>
      <w:tr w:rsidR="005E7706" w14:paraId="40F7F25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MachineID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3" w14:textId="77777777" w:rsidR="005E7706" w:rsidRDefault="00A8604A">
            <w:r>
              <w:rPr>
                <w:color w:val="1A1A1A"/>
                <w:sz w:val="19"/>
                <w:szCs w:val="19"/>
              </w:rPr>
              <w:t>MachineID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4" w14:textId="77777777" w:rsidR="005E7706" w:rsidRDefault="00A8604A">
            <w:r>
              <w:rPr>
                <w:color w:val="1A1A1A"/>
                <w:sz w:val="18"/>
                <w:szCs w:val="18"/>
              </w:rPr>
              <w:t>SHA-256-Fingerabdruck eines Zeitpunkts. Berechnet aus: SHA-256(DomainName ‖ AbsoluterWert ‖ Version). Primärschlüssel in der timepoints-Tabelle. Gleicher Zeitpunkt → immer dieselbe MachineID.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5" w14:textId="77777777" w:rsidR="005E7706" w:rsidRDefault="00A8604A">
            <w:r>
              <w:rPr>
                <w:color w:val="1A1A1A"/>
                <w:sz w:val="17"/>
                <w:szCs w:val="17"/>
              </w:rPr>
              <w:t>CG-STD-3100 Kap. 5 CG-STD-4100 Kap. 3.2</w:t>
            </w:r>
          </w:p>
        </w:tc>
      </w:tr>
      <w:tr w:rsidR="005E7706" w14:paraId="40F7F25B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CGFI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8" w14:textId="77777777" w:rsidR="005E7706" w:rsidRDefault="00A8604A">
            <w:r>
              <w:rPr>
                <w:color w:val="1A1A1A"/>
                <w:sz w:val="19"/>
                <w:szCs w:val="19"/>
              </w:rPr>
              <w:t>ChronoGrid File Identifier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9" w14:textId="77777777" w:rsidR="005E7706" w:rsidRDefault="00A8604A">
            <w:r>
              <w:rPr>
                <w:color w:val="1A1A1A"/>
                <w:sz w:val="18"/>
                <w:szCs w:val="18"/>
              </w:rPr>
              <w:t>SHA-256-Fingerabdruck einer Datei. Berechnet aus: SHA-256(TAI-Zeitpunkt ‖ Content-Hash ‖ Typ-ID). Identifiziert eine Datei durch ihren Inhalt — nicht durch Namen oder Speicherort.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A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6 CG-STD-3100 Kap. 5.4</w:t>
            </w:r>
          </w:p>
        </w:tc>
      </w:tr>
      <w:tr w:rsidR="005E7706" w14:paraId="40F7F260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D" w14:textId="77777777" w:rsidR="005E7706" w:rsidRDefault="00A8604A">
            <w:r>
              <w:rPr>
                <w:color w:val="1A1A1A"/>
                <w:sz w:val="19"/>
                <w:szCs w:val="19"/>
              </w:rPr>
              <w:t>ChronoGrid Universal Address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E" w14:textId="77777777" w:rsidR="005E7706" w:rsidRDefault="00A8604A">
            <w:r>
              <w:rPr>
                <w:color w:val="1A1A1A"/>
                <w:sz w:val="18"/>
                <w:szCs w:val="18"/>
              </w:rPr>
              <w:t>Speicherkoordinate im CGUAS. Eine BigInt-Zahl die einen physischen Speicherplatz innerhalb eines Segments bezeichnet. URI-Format: cgua://{segment-id}/{local-offset}/v1.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F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2–4 CG-STD-1100 Kap. 4.4</w:t>
            </w:r>
          </w:p>
        </w:tc>
      </w:tr>
    </w:tbl>
    <w:p w14:paraId="40F7F261" w14:textId="77777777" w:rsidR="005E7706" w:rsidRDefault="005E7706">
      <w:pPr>
        <w:spacing w:before="60"/>
      </w:pPr>
    </w:p>
    <w:p w14:paraId="40F7F262" w14:textId="77777777" w:rsidR="005E7706" w:rsidRDefault="00A8604A">
      <w:pPr>
        <w:pStyle w:val="berschrift2"/>
      </w:pPr>
      <w:bookmarkStart w:id="5" w:name="_Toc226045907"/>
      <w:r>
        <w:t>2.2  Kernkonzepte</w:t>
      </w:r>
      <w:bookmarkEnd w:id="5"/>
    </w:p>
    <w:p w14:paraId="40F7F263" w14:textId="77777777" w:rsidR="005E7706" w:rsidRDefault="00A8604A">
      <w:pPr>
        <w:spacing w:before="40" w:after="30"/>
      </w:pPr>
      <w:r>
        <w:rPr>
          <w:color w:val="1A1A1A"/>
        </w:rPr>
        <w:t>Grundlegende Konzepte und Komponenten des ChronoGrid-Stacks.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68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4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5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6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7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6D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Domain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A" w14:textId="77777777" w:rsidR="005E7706" w:rsidRDefault="00A8604A">
            <w:r>
              <w:rPr>
                <w:color w:val="1A1A1A"/>
                <w:sz w:val="19"/>
                <w:szCs w:val="19"/>
              </w:rPr>
              <w:t>TimeDomain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B" w14:textId="77777777" w:rsidR="005E7706" w:rsidRDefault="00A8604A">
            <w:r>
              <w:rPr>
                <w:color w:val="1A1A1A"/>
                <w:sz w:val="18"/>
                <w:szCs w:val="18"/>
              </w:rPr>
              <w:t>Formale Definition eines Zeitsystems in CTDDL. 8-Tupel (Name, Version, Typ, Granularität, Extent, Hierarchie, Format, Mappings). Beispiele: TAI/v1, Gregorian/v2, GPS/v1, Cosmic/v1.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C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3 CG-STD-0000 Kap. 2.1</w:t>
            </w:r>
          </w:p>
        </w:tc>
      </w:tr>
      <w:tr w:rsidR="005E7706" w14:paraId="40F7F272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CTDDL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F" w14:textId="77777777" w:rsidR="005E7706" w:rsidRDefault="00A8604A">
            <w:r>
              <w:rPr>
                <w:color w:val="1A1A1A"/>
                <w:sz w:val="19"/>
                <w:szCs w:val="19"/>
              </w:rPr>
              <w:t>ChronoGrid Time Domain Definition Language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0" w14:textId="77777777" w:rsidR="005E7706" w:rsidRDefault="00A8604A">
            <w:r>
              <w:rPr>
                <w:color w:val="1A1A1A"/>
                <w:sz w:val="18"/>
                <w:szCs w:val="18"/>
              </w:rPr>
              <w:t>Formale JSON-basierte Sprache zur maschinenlesbaren Beschreibung beliebiger Zeitdomänen. Vollständig in ABNF (RFC 5234) spezifiziert. Jede TimeDomain ist eine unveränderliche, versionierte CTDDL-Definition.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1" w14:textId="77777777" w:rsidR="005E7706" w:rsidRDefault="00A8604A">
            <w:r>
              <w:rPr>
                <w:color w:val="1A1A1A"/>
                <w:sz w:val="17"/>
                <w:szCs w:val="17"/>
              </w:rPr>
              <w:t>CG-STD-2100</w:t>
            </w:r>
          </w:p>
        </w:tc>
      </w:tr>
      <w:tr w:rsidR="005E7706" w14:paraId="40F7F277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4" w14:textId="77777777" w:rsidR="005E7706" w:rsidRDefault="00A8604A">
            <w:r>
              <w:rPr>
                <w:color w:val="1A1A1A"/>
                <w:sz w:val="19"/>
                <w:szCs w:val="19"/>
              </w:rPr>
              <w:t>ChronoGrid Universal Address Space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5" w14:textId="77777777" w:rsidR="005E7706" w:rsidRDefault="00A8604A">
            <w:r>
              <w:rPr>
                <w:color w:val="1A1A1A"/>
                <w:sz w:val="18"/>
                <w:szCs w:val="18"/>
              </w:rPr>
              <w:t>Der vollständige Zeitstrahl von Null bis zum Alter des Universums (≈ 4,35×10²³ Nanosekunden) als universelles Speicher-Koordinatensystem. Organisationen erhalten Segmente dieses Adressraums.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6" w14:textId="77777777" w:rsidR="005E7706" w:rsidRDefault="00A8604A">
            <w:r>
              <w:rPr>
                <w:color w:val="1A1A1A"/>
                <w:sz w:val="17"/>
                <w:szCs w:val="17"/>
              </w:rPr>
              <w:t>CG-STD-6100 Teil A CG-STD-4100 Kap. 3.8</w:t>
            </w:r>
          </w:p>
        </w:tc>
      </w:tr>
      <w:tr w:rsidR="005E7706" w14:paraId="40F7F27C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9" w14:textId="77777777" w:rsidR="005E7706" w:rsidRDefault="00A8604A">
            <w:r>
              <w:rPr>
                <w:color w:val="1A1A1A"/>
                <w:sz w:val="19"/>
                <w:szCs w:val="19"/>
              </w:rPr>
              <w:t>ChronoGrid Filesystem Standard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A" w14:textId="77777777" w:rsidR="005E7706" w:rsidRDefault="00A8604A">
            <w:r>
              <w:rPr>
                <w:color w:val="1A1A1A"/>
                <w:sz w:val="18"/>
                <w:szCs w:val="18"/>
              </w:rPr>
              <w:t>Zeitbasiertes Dateisystem das CGFI-Fingerabdrücke, normative Manifeste und CGUA-Adressen kombiniert. Unterstützt DSGVO-konformes logisches Löschen (Tombstone).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B" w14:textId="77777777" w:rsidR="005E7706" w:rsidRDefault="00A8604A">
            <w:r>
              <w:rPr>
                <w:color w:val="1A1A1A"/>
                <w:sz w:val="17"/>
                <w:szCs w:val="17"/>
              </w:rPr>
              <w:t>CG-STD-6100 Teil B CG-STD-4100 Kap. 3.10</w:t>
            </w:r>
          </w:p>
        </w:tc>
      </w:tr>
      <w:tr w:rsidR="005E7706" w14:paraId="40F7F28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E" w14:textId="77777777" w:rsidR="005E7706" w:rsidRDefault="00A8604A">
            <w:r>
              <w:rPr>
                <w:color w:val="1A1A1A"/>
                <w:sz w:val="19"/>
                <w:szCs w:val="19"/>
              </w:rPr>
              <w:t>Segment (CGUAS)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F" w14:textId="77777777" w:rsidR="005E7706" w:rsidRDefault="00A8604A">
            <w:r>
              <w:rPr>
                <w:color w:val="1A1A1A"/>
                <w:sz w:val="18"/>
                <w:szCs w:val="18"/>
              </w:rPr>
              <w:t xml:space="preserve">Zusammenhängender Bereich im CGUAS-Adressraum der einer Organisation zugeteilt wurde. </w:t>
            </w:r>
            <w:r>
              <w:rPr>
                <w:color w:val="1A1A1A"/>
                <w:sz w:val="18"/>
                <w:szCs w:val="18"/>
                <w:lang w:val="en-GB"/>
              </w:rPr>
              <w:t xml:space="preserve">Definiert durch start_address, end_address (BigInt) und owner_id. </w:t>
            </w:r>
            <w:r>
              <w:rPr>
                <w:color w:val="1A1A1A"/>
                <w:sz w:val="18"/>
                <w:szCs w:val="18"/>
              </w:rPr>
              <w:t>Unveränderlich — kein physisches Löschen.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0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3 CG-STD-4100 Kap. 3.8</w:t>
            </w:r>
          </w:p>
        </w:tc>
      </w:tr>
      <w:tr w:rsidR="005E7706" w14:paraId="40F7F28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Tombstone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3" w14:textId="77777777" w:rsidR="005E7706" w:rsidRDefault="00A8604A">
            <w:r>
              <w:rPr>
                <w:color w:val="1A1A1A"/>
                <w:sz w:val="19"/>
                <w:szCs w:val="19"/>
              </w:rPr>
              <w:t>Tombstone (CGFS)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4" w14:textId="77777777" w:rsidR="005E7706" w:rsidRDefault="00A8604A">
            <w:r>
              <w:rPr>
                <w:color w:val="1A1A1A"/>
                <w:sz w:val="18"/>
                <w:szCs w:val="18"/>
              </w:rPr>
              <w:t>Mechanismus für logisches Löschen gemäß DSGVO. Dateiinhalt wird mit 0x00 überschrieben. CGFS-Manifest bleibt erhalten (inkl. CGFI, Zeitpunkt, Dateityp). Beweist die Existenz einer Datei ohne Inhalt zu zeigen.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5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9 CG-STD-4100 Kap. 3.10</w:t>
            </w:r>
          </w:p>
        </w:tc>
      </w:tr>
      <w:tr w:rsidR="005E7706" w14:paraId="5000004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3" w14:textId="77777777" w:rsidR="005E7706" w:rsidRDefault="00A8604A">
            <w:r>
              <w:rPr>
                <w:color w:val="1A1A1A"/>
                <w:sz w:val="19"/>
                <w:szCs w:val="19"/>
              </w:rPr>
              <w:t>BigInt / ℤ∞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4" w14:textId="77777777" w:rsidR="005E7706" w:rsidRDefault="00A8604A">
            <w:r>
              <w:rPr>
                <w:color w:val="1A1A1A"/>
                <w:sz w:val="18"/>
                <w:szCs w:val="18"/>
              </w:rPr>
              <w:t>Ganzzahl-Arithmetik beliebiger Präzision. Wertemenge aller Zeitwerte in ChronoGrid. Kein Overflow, keine Rundungsfehler. Normative Pflichtoperationen: Add, Sub, Mul, Div, Mod, Cmp, Abs, Neg, Pow.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5" w14:textId="77777777" w:rsidR="005E7706" w:rsidRDefault="00A8604A">
            <w:r>
              <w:rPr>
                <w:color w:val="1A1A1A"/>
                <w:sz w:val="17"/>
                <w:szCs w:val="17"/>
              </w:rPr>
              <w:t>CG-STD-0000 Def. 1.1 CG-STD-3100 Kap. 2.6</w:t>
            </w:r>
          </w:p>
        </w:tc>
      </w:tr>
      <w:tr w:rsidR="005E7706" w14:paraId="5000004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Klasse A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8" w14:textId="77777777" w:rsidR="005E7706" w:rsidRDefault="00A8604A">
            <w:r>
              <w:rPr>
                <w:color w:val="1A1A1A"/>
                <w:sz w:val="19"/>
                <w:szCs w:val="19"/>
              </w:rPr>
              <w:t>Klasse-A-Mapping (Funktionsmapping)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9" w14:textId="77777777" w:rsidR="005E7706" w:rsidRDefault="00A8604A">
            <w:r>
              <w:rPr>
                <w:color w:val="1A1A1A"/>
                <w:sz w:val="18"/>
                <w:szCs w:val="18"/>
              </w:rPr>
              <w:t>Mapping zwischen zwei Domains als mathematische Funktion f: &amp;#x2124;&amp;#x221E; &amp;#x2192; &amp;#x2124;&amp;#x221E;. Typen: linear, piecewise-linear, nonlinear. Für jeden Eingabewert genau ein Ausgabewert (I-M1).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A" w14:textId="77777777" w:rsidR="005E7706" w:rsidRDefault="00A8604A">
            <w:r>
              <w:rPr>
                <w:color w:val="1A1A1A"/>
                <w:sz w:val="17"/>
                <w:szCs w:val="17"/>
              </w:rPr>
              <w:t>CG-STD-0000 Kap. 3.1 CG-STD-2100 Kap. 4.6</w:t>
            </w:r>
          </w:p>
        </w:tc>
      </w:tr>
      <w:tr w:rsidR="005E7706" w14:paraId="5000004B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Klasse B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D" w14:textId="77777777" w:rsidR="005E7706" w:rsidRDefault="00A8604A">
            <w:r>
              <w:rPr>
                <w:color w:val="1A1A1A"/>
                <w:sz w:val="19"/>
                <w:szCs w:val="19"/>
              </w:rPr>
              <w:t>Klasse-B-Mapping (Funktional)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E" w14:textId="77777777" w:rsidR="005E7706" w:rsidRDefault="00A8604A">
            <w:r>
              <w:rPr>
                <w:color w:val="1A1A1A"/>
                <w:sz w:val="18"/>
                <w:szCs w:val="18"/>
              </w:rPr>
              <w:t>Relativistisches Mapping als Funktional über eine Weltlinie W. Ausgabe hängt von der gesamten Trajektorie ab, nicht nur vom Eingabewert. Erfordert RK45-Integration. Nur Level 3.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F" w14:textId="77777777" w:rsidR="005E7706" w:rsidRDefault="00A8604A">
            <w:r>
              <w:rPr>
                <w:color w:val="1A1A1A"/>
                <w:sz w:val="17"/>
                <w:szCs w:val="17"/>
              </w:rPr>
              <w:t>CG-STD-0000 Kap. 3.3 CG-STD-3100 Kap. 8.6</w:t>
            </w:r>
          </w:p>
        </w:tc>
      </w:tr>
      <w:tr w:rsidR="005E7706" w14:paraId="50000050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Referenzpunkt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2" w14:textId="77777777" w:rsidR="005E7706" w:rsidRDefault="00A8604A">
            <w:r>
              <w:rPr>
                <w:color w:val="1A1A1A"/>
                <w:sz w:val="19"/>
                <w:szCs w:val="19"/>
              </w:rPr>
              <w:t>Referenzpunkt (Mapping)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3" w14:textId="77777777" w:rsidR="005E7706" w:rsidRDefault="00A8604A">
            <w:r>
              <w:rPr>
                <w:color w:val="1A1A1A"/>
                <w:sz w:val="18"/>
                <w:szCs w:val="18"/>
              </w:rPr>
              <w:t>Paar R = (s, r) das einen bekannten Quell-/Zielwert eines Mappings definiert. Muss von jeder konformen Engine exakt eingehalten werden (I-M3). Grundlage für die Parametrisierung linearer Mappings.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4" w14:textId="77777777" w:rsidR="005E7706" w:rsidRDefault="00A8604A">
            <w:r>
              <w:rPr>
                <w:color w:val="1A1A1A"/>
                <w:sz w:val="17"/>
                <w:szCs w:val="17"/>
              </w:rPr>
              <w:t>CG-STD-0000 Def. 3.3 CG-STD-2100 Kap. 4.6</w:t>
            </w:r>
          </w:p>
        </w:tc>
      </w:tr>
      <w:tr w:rsidR="005E7706" w14:paraId="50000055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6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Granularität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7" w14:textId="77777777" w:rsidR="005E7706" w:rsidRDefault="00A8604A">
            <w:r>
              <w:rPr>
                <w:color w:val="1A1A1A"/>
                <w:sz w:val="19"/>
                <w:szCs w:val="19"/>
              </w:rPr>
              <w:t>Granularität (TimeDomain)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8" w14:textId="77777777" w:rsidR="005E7706" w:rsidRDefault="00A8604A">
            <w:r>
              <w:rPr>
                <w:color w:val="1A1A1A"/>
                <w:sz w:val="18"/>
                <w:szCs w:val="18"/>
              </w:rPr>
              <w:t>Kleinste messbare Zeiteinheit einer Domain. Definiert den Abstand zwischen benachbarten Zeitwerten: &amp;#x0394;t_min = 1 (in Einheiten der Granularität). Werte: nanosecond bis gigayear.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9" w14:textId="77777777" w:rsidR="005E7706" w:rsidRDefault="00A8604A">
            <w:r>
              <w:rPr>
                <w:color w:val="1A1A1A"/>
                <w:sz w:val="17"/>
                <w:szCs w:val="17"/>
              </w:rPr>
              <w:t>CG-STD-0000 Def. 1.2 CG-STD-2100 Kap. 4.2</w:t>
            </w:r>
          </w:p>
        </w:tc>
      </w:tr>
      <w:tr w:rsidR="005E7706" w14:paraId="5000005A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Extent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C" w14:textId="77777777" w:rsidR="005E7706" w:rsidRDefault="00A8604A">
            <w:r>
              <w:rPr>
                <w:color w:val="1A1A1A"/>
                <w:sz w:val="19"/>
                <w:szCs w:val="19"/>
              </w:rPr>
              <w:t>Extent (TimeDomain)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D" w14:textId="77777777" w:rsidR="005E7706" w:rsidRDefault="00A8604A">
            <w:r>
              <w:rPr>
                <w:color w:val="1A1A1A"/>
                <w:sz w:val="18"/>
                <w:szCs w:val="18"/>
              </w:rPr>
              <w:t>Wertebereich einer Domain: E = [t_min, t_max]. Kann UNBOUNDED sein. Jeder Zeitwert außerhalb des Extents löst CG-E-003 (ExtentError) aus.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E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4.3</w:t>
            </w:r>
          </w:p>
        </w:tc>
      </w:tr>
      <w:tr w:rsidR="005E7706" w14:paraId="5000005F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semantics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1" w14:textId="77777777" w:rsidR="005E7706" w:rsidRDefault="00A8604A">
            <w:r>
              <w:rPr>
                <w:color w:val="1A1A1A"/>
                <w:sz w:val="19"/>
                <w:szCs w:val="19"/>
              </w:rPr>
              <w:t>Semantics-Feld (CTDDL)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2" w14:textId="77777777" w:rsidR="005E7706" w:rsidRDefault="00A8604A">
            <w:r>
              <w:rPr>
                <w:color w:val="1A1A1A"/>
                <w:sz w:val="18"/>
                <w:szCs w:val="18"/>
              </w:rPr>
              <w:t>Pflichtfeld in CTDDL (ab v1.2) das den Verwendungszweck einer Domain unterscheidet: time (Zeitdomäne), address (Adressraum/CGUAS), filetype (Dateityp-Definition/CGFS). Rückwärtskompatibel: fehlendes Feld = time.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3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4.2 CG-STD-6100 Kap. 2.1</w:t>
            </w:r>
          </w:p>
        </w:tc>
      </w:tr>
      <w:tr w:rsidR="005E7706" w14:paraId="50000064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Manifest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6" w14:textId="77777777" w:rsidR="005E7706" w:rsidRDefault="00A8604A">
            <w:r>
              <w:rPr>
                <w:color w:val="1A1A1A"/>
                <w:sz w:val="19"/>
                <w:szCs w:val="19"/>
              </w:rPr>
              <w:t>CGFS-Manifest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7" w14:textId="77777777" w:rsidR="005E7706" w:rsidRDefault="00A8604A">
            <w:r>
              <w:rPr>
                <w:color w:val="1A1A1A"/>
                <w:sz w:val="18"/>
                <w:szCs w:val="18"/>
              </w:rPr>
              <w:t>Unveränderliche JSON-Struktur die jede Datei im CGFS beschreibt: CGFI, created_at (TAI), CGUA, Typ, Retention, Tombstone-Status. Korrekturen erzeugen neue Manifest-Versionen (I-D1).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8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7 CG-STD-4100 Kap. 3.10</w:t>
            </w:r>
          </w:p>
        </w:tc>
      </w:tr>
      <w:tr w:rsidR="005E7706" w14:paraId="50000069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A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FileType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B" w14:textId="77777777" w:rsidR="005E7706" w:rsidRDefault="00A8604A">
            <w:r>
              <w:rPr>
                <w:color w:val="1A1A1A"/>
                <w:sz w:val="19"/>
                <w:szCs w:val="19"/>
              </w:rPr>
              <w:t>FileType-Namespace (CGFS)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C" w14:textId="77777777" w:rsidR="005E7706" w:rsidRDefault="00A8604A">
            <w:r>
              <w:rPr>
                <w:color w:val="1A1A1A"/>
                <w:sz w:val="18"/>
                <w:szCs w:val="18"/>
              </w:rPr>
              <w:t>CTDDL-Domain mit semantics: filetype. Definiert Dateityp-Ontologie mit Aufbewahrungspflicht, Gültigkeitsmodell und Pflichtfeldern. ABNF: filetype-id = category / name / v&amp;lt;n&amp;gt;. Sechs Basiskategorien normativ definiert.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D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8 CG-STD-2100 Kap. 6.7</w:t>
            </w:r>
          </w:p>
        </w:tc>
      </w:tr>
      <w:tr w:rsidR="005E7706" w14:paraId="5000006E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Resolver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0" w14:textId="77777777" w:rsidR="005E7706" w:rsidRDefault="00A8604A">
            <w:r>
              <w:rPr>
                <w:color w:val="1A1A1A"/>
                <w:sz w:val="19"/>
                <w:szCs w:val="19"/>
              </w:rPr>
              <w:t>Resolver (CGUAS)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1" w14:textId="77777777" w:rsidR="005E7706" w:rsidRDefault="00A8604A">
            <w:r>
              <w:rPr>
                <w:color w:val="1A1A1A"/>
                <w:sz w:val="18"/>
                <w:szCs w:val="18"/>
              </w:rPr>
              <w:t>Backend-Komponente die CGUA-Adressen auf physische Speicherorte abbildet. 7 normative Typen: url, s3, gcs, azure, ipfs, local, custom. Konfiguriert pro Segment. Resolver-Isolation: keine Cross-Segment-Auflösung ohne Delegation.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2" w14:textId="77777777" w:rsidR="005E7706" w:rsidRDefault="00A8604A">
            <w:r>
              <w:rPr>
                <w:color w:val="1A1A1A"/>
                <w:sz w:val="17"/>
                <w:szCs w:val="17"/>
              </w:rPr>
              <w:t>CG-STD-4100 Kap. 3.9 CG-STD-6100 Kap. 10.1</w:t>
            </w:r>
          </w:p>
        </w:tc>
      </w:tr>
      <w:tr w:rsidR="005E7706" w14:paraId="50000073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Allen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5" w14:textId="77777777" w:rsidR="005E7706" w:rsidRDefault="00A8604A">
            <w:r>
              <w:rPr>
                <w:color w:val="1A1A1A"/>
                <w:sz w:val="19"/>
                <w:szCs w:val="19"/>
              </w:rPr>
              <w:t>Allen-Relationen / Zeitintervall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6" w14:textId="77777777" w:rsidR="005E7706" w:rsidRDefault="00A8604A">
            <w:r>
              <w:rPr>
                <w:color w:val="1A1A1A"/>
                <w:sz w:val="18"/>
                <w:szCs w:val="18"/>
              </w:rPr>
              <w:t>Die 13 Relationen nach Allen (1983) für Zeitintervalle: before, after, meets, overlaps, starts, finishes, during, und deren Inverse plus equals. Normativ in &amp;#x2124;&amp;#x221E; definiert. Pflicht ab Level 2.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7" w14:textId="77777777" w:rsidR="005E7706" w:rsidRDefault="00A8604A">
            <w:r>
              <w:rPr>
                <w:color w:val="1A1A1A"/>
                <w:sz w:val="17"/>
                <w:szCs w:val="17"/>
              </w:rPr>
              <w:t>CG-STD-3100 Kap. 9 CG-STD-0000 Kap. 6</w:t>
            </w:r>
          </w:p>
        </w:tc>
      </w:tr>
    </w:tbl>
    <w:p w14:paraId="40F7F287" w14:textId="77777777" w:rsidR="005E7706" w:rsidRDefault="005E7706">
      <w:pPr>
        <w:spacing w:before="60"/>
      </w:pPr>
    </w:p>
    <w:p w14:paraId="40F7F288" w14:textId="77777777" w:rsidR="005E7706" w:rsidRDefault="00A8604A">
      <w:pPr>
        <w:pStyle w:val="berschrift2"/>
      </w:pPr>
      <w:bookmarkStart w:id="6" w:name="_Toc226045908"/>
      <w:r>
        <w:t>2.3  Gremien</w:t>
      </w:r>
      <w:bookmarkEnd w:id="6"/>
    </w:p>
    <w:p w14:paraId="40F7F289" w14:textId="77777777" w:rsidR="005E7706" w:rsidRDefault="00A8604A">
      <w:pPr>
        <w:spacing w:before="40" w:after="30"/>
      </w:pPr>
      <w:r>
        <w:rPr>
          <w:color w:val="1A1A1A"/>
        </w:rPr>
        <w:t>Die vier operativen Gremien von ChronoGrid.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8E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A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B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C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D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93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GB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0" w14:textId="77777777" w:rsidR="005E7706" w:rsidRDefault="00A8604A">
            <w:r>
              <w:rPr>
                <w:color w:val="1A1A1A"/>
                <w:sz w:val="19"/>
                <w:szCs w:val="19"/>
              </w:rPr>
              <w:t>Governing Board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1" w14:textId="77777777" w:rsidR="005E7706" w:rsidRDefault="00A8604A">
            <w:r>
              <w:rPr>
                <w:color w:val="1A1A1A"/>
                <w:sz w:val="18"/>
                <w:szCs w:val="18"/>
              </w:rPr>
              <w:t>Oberstes strategisches Leitungsgremium von ChronoGrid. Langfristige Ausrichtung, Budgetkontrolle, internationale Kooperationen, Ernennung der operativen Gremien (TSC, DMC, CCO). Entscheidungen erfordern qualifizierte Mehrheit (mind. 2/3).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2" w14:textId="77777777" w:rsidR="005E7706" w:rsidRDefault="00A8604A">
            <w:r>
              <w:rPr>
                <w:color w:val="1A1A1A"/>
                <w:sz w:val="17"/>
                <w:szCs w:val="17"/>
              </w:rPr>
              <w:t>CG-ORG-2100 Kap. 6.2.1</w:t>
            </w:r>
          </w:p>
        </w:tc>
      </w:tr>
      <w:tr w:rsidR="005E7706" w14:paraId="40F7F298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TSC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5" w14:textId="77777777" w:rsidR="005E7706" w:rsidRDefault="00A8604A">
            <w:r>
              <w:rPr>
                <w:color w:val="1A1A1A"/>
                <w:sz w:val="19"/>
                <w:szCs w:val="19"/>
              </w:rPr>
              <w:t>Technical Steering Committee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6" w14:textId="77777777" w:rsidR="005E7706" w:rsidRDefault="00A8604A">
            <w:r>
              <w:rPr>
                <w:color w:val="1A1A1A"/>
                <w:sz w:val="18"/>
                <w:szCs w:val="18"/>
              </w:rPr>
              <w:t>Gremium für alle technischen Entscheidungen. Spezifikationspflege, Freigabe neuer Versionen, Referenzimplementierung, TestSuites und technische Bewertung aller CIPs.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7" w14:textId="77777777" w:rsidR="005E7706" w:rsidRDefault="00A8604A">
            <w:r>
              <w:rPr>
                <w:color w:val="1A1A1A"/>
                <w:sz w:val="17"/>
                <w:szCs w:val="17"/>
              </w:rPr>
              <w:t>CG-ORG-2100 Kap. 6.2.2</w:t>
            </w:r>
          </w:p>
        </w:tc>
      </w:tr>
      <w:tr w:rsidR="005E7706" w14:paraId="40F7F29D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DMC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A" w14:textId="77777777" w:rsidR="005E7706" w:rsidRDefault="00A8604A">
            <w:r>
              <w:rPr>
                <w:color w:val="1A1A1A"/>
                <w:sz w:val="19"/>
                <w:szCs w:val="19"/>
              </w:rPr>
              <w:t>Domain &amp; Mapping Council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B" w14:textId="77777777" w:rsidR="005E7706" w:rsidRDefault="00A8604A">
            <w:r>
              <w:rPr>
                <w:color w:val="1A1A1A"/>
                <w:sz w:val="18"/>
                <w:szCs w:val="18"/>
              </w:rPr>
              <w:t>Gremium für Domains und Mapping-Definitionen. Domain-Katalog, Validierung von Referenzpunkten, Freigabe neuer Mapping-Versionen.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C" w14:textId="77777777" w:rsidR="005E7706" w:rsidRDefault="00A8604A">
            <w:r>
              <w:rPr>
                <w:color w:val="1A1A1A"/>
                <w:sz w:val="17"/>
                <w:szCs w:val="17"/>
              </w:rPr>
              <w:t>CG-ORG-2100 Kap. 6.2.3</w:t>
            </w:r>
          </w:p>
        </w:tc>
      </w:tr>
      <w:tr w:rsidR="005E7706" w:rsidRPr="00ED71CC" w14:paraId="40F7F2A2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CCO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F" w14:textId="77777777" w:rsidR="005E7706" w:rsidRDefault="00A8604A">
            <w:r>
              <w:rPr>
                <w:color w:val="1A1A1A"/>
                <w:sz w:val="19"/>
                <w:szCs w:val="19"/>
              </w:rPr>
              <w:t>Certification &amp; Compliance Office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0" w14:textId="77777777" w:rsidR="005E7706" w:rsidRDefault="00A8604A">
            <w:r>
              <w:rPr>
                <w:color w:val="1A1A1A"/>
                <w:sz w:val="18"/>
                <w:szCs w:val="18"/>
              </w:rPr>
              <w:t>Gremium für Zertifizierung und Compliance-Prüfungen. Implementierungszertifizierung (Level 1/2/3), Interoperabilitätstests, Compliance-Audits und Zertifikats-Registry.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1" w14:textId="77777777" w:rsidR="005E7706" w:rsidRPr="009145FD" w:rsidRDefault="00A8604A">
            <w:pPr>
              <w:rPr>
                <w:lang w:val="nb-NO"/>
              </w:rPr>
            </w:pPr>
            <w:r>
              <w:rPr>
                <w:color w:val="1A1A1A"/>
                <w:sz w:val="17"/>
                <w:szCs w:val="17"/>
                <w:lang w:val="nb-NO"/>
              </w:rPr>
              <w:t>CG-ORG-2100 Kap. 6.2.4 CG-STD-5100</w:t>
            </w:r>
          </w:p>
        </w:tc>
      </w:tr>
    </w:tbl>
    <w:p w14:paraId="40F7F2A3" w14:textId="77777777" w:rsidR="005E7706" w:rsidRPr="009145FD" w:rsidRDefault="005E7706">
      <w:pPr>
        <w:spacing w:before="60"/>
        <w:rPr>
          <w:lang w:val="nb-NO"/>
        </w:rPr>
      </w:pPr>
    </w:p>
    <w:p w14:paraId="40F7F2A4" w14:textId="77777777" w:rsidR="005E7706" w:rsidRDefault="00A8604A">
      <w:pPr>
        <w:pStyle w:val="berschrift2"/>
      </w:pPr>
      <w:bookmarkStart w:id="7" w:name="_Toc226045909"/>
      <w:r>
        <w:t>2.4  Prozesse</w:t>
      </w:r>
      <w:bookmarkEnd w:id="7"/>
    </w:p>
    <w:p w14:paraId="40F7F2A5" w14:textId="77777777" w:rsidR="005E7706" w:rsidRDefault="00A8604A">
      <w:pPr>
        <w:spacing w:before="40" w:after="30"/>
      </w:pPr>
      <w:r>
        <w:rPr>
          <w:color w:val="1A1A1A"/>
        </w:rPr>
        <w:lastRenderedPageBreak/>
        <w:t>Normative Verfahren für Änderungen und Erweiterungen des Standards.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AA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6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7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8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9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AF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C" w14:textId="77777777" w:rsidR="005E7706" w:rsidRDefault="00A8604A">
            <w:r>
              <w:rPr>
                <w:color w:val="1A1A1A"/>
                <w:sz w:val="19"/>
                <w:szCs w:val="19"/>
              </w:rPr>
              <w:t>ChronoGrid Improvement Process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D" w14:textId="77777777" w:rsidR="005E7706" w:rsidRDefault="00A8604A">
            <w:r>
              <w:rPr>
                <w:color w:val="1A1A1A"/>
                <w:sz w:val="18"/>
                <w:szCs w:val="18"/>
              </w:rPr>
              <w:t>Normatives Verfahren für alle Änderungen am ChronoGrid-Standard. Typen: CIP-D (Domain), CIP-M (Mapping), CIP-E (Errata), CIP-G (Governance), CIP-SEG (Segment-Registrierung). Fünfphasig: Einreichung → Vorprüfung → Review → TSC-Abstimmung → Publikation.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E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6</w:t>
            </w:r>
          </w:p>
        </w:tc>
      </w:tr>
      <w:tr w:rsidR="005E7706" w:rsidRPr="00ED71CC" w14:paraId="40F7F2B4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CIP-SEG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1" w14:textId="77777777" w:rsidR="005E7706" w:rsidRDefault="00A8604A">
            <w:r>
              <w:rPr>
                <w:color w:val="1A1A1A"/>
                <w:sz w:val="19"/>
                <w:szCs w:val="19"/>
              </w:rPr>
              <w:t>CIP-SEG (Segment-Registrierung)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2" w14:textId="77777777" w:rsidR="005E7706" w:rsidRDefault="00A8604A">
            <w:r>
              <w:rPr>
                <w:color w:val="1A1A1A"/>
                <w:sz w:val="18"/>
                <w:szCs w:val="18"/>
              </w:rPr>
              <w:t>Vereinfachter CIP-Typ für Segment-Registrierungen im CGUAS. Max. 3 Wochen Bearbeitungszeit. Kann vom DMC allein entschieden werden (kein vollständiges TSC-Quorum).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3" w14:textId="77777777" w:rsidR="005E7706" w:rsidRPr="009145FD" w:rsidRDefault="00A8604A">
            <w:pPr>
              <w:rPr>
                <w:lang w:val="nb-NO"/>
              </w:rPr>
            </w:pPr>
            <w:r>
              <w:rPr>
                <w:color w:val="1A1A1A"/>
                <w:sz w:val="17"/>
                <w:szCs w:val="17"/>
                <w:lang w:val="nb-NO"/>
              </w:rPr>
              <w:t>CG-STD-5100 Kap. 6.1 CG-ORG-2100 Kap. 7.5</w:t>
            </w:r>
          </w:p>
        </w:tc>
      </w:tr>
      <w:tr w:rsidR="005E7706" w14:paraId="40F7F2B9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6" w14:textId="77777777" w:rsidR="005E7706" w:rsidRDefault="00A8604A">
            <w:r>
              <w:rPr>
                <w:color w:val="1A1A1A"/>
                <w:sz w:val="19"/>
                <w:szCs w:val="19"/>
              </w:rPr>
              <w:t>CIP-E (Errata)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7" w14:textId="77777777" w:rsidR="005E7706" w:rsidRDefault="00A8604A">
            <w:r>
              <w:rPr>
                <w:color w:val="1A1A1A"/>
                <w:sz w:val="18"/>
                <w:szCs w:val="18"/>
              </w:rPr>
              <w:t>Vereinfachter CIP-Typ für redaktionelle Korrekturen ohne inhaltliche Änderung. Kürzestes Verfahren im CIP-System.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8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6.1</w:t>
            </w:r>
          </w:p>
        </w:tc>
      </w:tr>
    </w:tbl>
    <w:p w14:paraId="40F7F2BA" w14:textId="77777777" w:rsidR="005E7706" w:rsidRDefault="005E7706">
      <w:pPr>
        <w:spacing w:before="60"/>
      </w:pPr>
    </w:p>
    <w:p w14:paraId="40F7F2BB" w14:textId="77777777" w:rsidR="005E7706" w:rsidRDefault="00A8604A">
      <w:pPr>
        <w:pStyle w:val="berschrift2"/>
      </w:pPr>
      <w:bookmarkStart w:id="8" w:name="_Toc226045910"/>
      <w:r>
        <w:t>2.5  Invarianten</w:t>
      </w:r>
      <w:bookmarkEnd w:id="8"/>
    </w:p>
    <w:p w14:paraId="40F7F2BC" w14:textId="77777777" w:rsidR="005E7706" w:rsidRDefault="00A8604A">
      <w:pPr>
        <w:spacing w:before="40" w:after="30"/>
      </w:pPr>
      <w:r>
        <w:rPr>
          <w:color w:val="1A1A1A"/>
        </w:rPr>
        <w:t>Normative Invarianten die von allen Implementierungen einzuhalten sind. Sie sind mathematisch fundiert durch CG-STD-0000.</w:t>
      </w:r>
    </w:p>
    <w:p w14:paraId="40F7F2BD" w14:textId="77777777" w:rsidR="005E7706" w:rsidRDefault="00A8604A">
      <w:pPr>
        <w:pBdr>
          <w:left w:val="single" w:sz="8" w:space="8" w:color="1E8449"/>
        </w:pBdr>
        <w:shd w:val="clear" w:color="auto" w:fill="E8F5E9"/>
        <w:spacing w:before="40" w:after="80"/>
        <w:ind w:left="280"/>
      </w:pPr>
      <w:r>
        <w:rPr>
          <w:b/>
          <w:bCs/>
          <w:color w:val="1E8449"/>
          <w:sz w:val="20"/>
          <w:szCs w:val="20"/>
        </w:rPr>
        <w:t xml:space="preserve">▶  Wichtig: </w:t>
      </w:r>
      <w:r>
        <w:rPr>
          <w:color w:val="1A1A1A"/>
          <w:sz w:val="20"/>
          <w:szCs w:val="20"/>
        </w:rPr>
        <w:t>I-SEG-1 ist neu in CG-STD-4100 v0.7. Alle anderen Invarianten existierten seit CG-STD-1100 v2.0 oder früher. Theorem 5.4 (I-E1) ist als einziges vollständig formal verifiziert — alle anderen haben DRAFT-Status in CG-STD-0000 v0.5.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C2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E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F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0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1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C7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I-R1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4" w14:textId="77777777" w:rsidR="005E7706" w:rsidRDefault="00A8604A">
            <w:r>
              <w:rPr>
                <w:color w:val="1A1A1A"/>
                <w:sz w:val="19"/>
                <w:szCs w:val="19"/>
              </w:rPr>
              <w:t>Invariante I-R1 — Eindeutiger Zeitwert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5" w14:textId="77777777" w:rsidR="005E7706" w:rsidRDefault="00A8604A">
            <w:r>
              <w:rPr>
                <w:color w:val="1A1A1A"/>
                <w:sz w:val="18"/>
                <w:szCs w:val="18"/>
              </w:rPr>
              <w:t>Jeder Zeitpunkt hat innerhalb einer Domain genau einen absoluten Wert.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6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6.1 CG-STD-0000 Theorem 5.1</w:t>
            </w:r>
          </w:p>
        </w:tc>
      </w:tr>
      <w:tr w:rsidR="005E7706" w14:paraId="40F7F2CC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I-R2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9" w14:textId="77777777" w:rsidR="005E7706" w:rsidRDefault="00A8604A">
            <w:r>
              <w:rPr>
                <w:color w:val="1A1A1A"/>
                <w:sz w:val="19"/>
                <w:szCs w:val="19"/>
              </w:rPr>
              <w:t>Invariante I-R2 — Totale Ordnung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A" w14:textId="77777777" w:rsidR="005E7706" w:rsidRDefault="00A8604A">
            <w:r>
              <w:rPr>
                <w:color w:val="1A1A1A"/>
                <w:sz w:val="18"/>
                <w:szCs w:val="18"/>
              </w:rPr>
              <w:t>Zeitwerte innerhalb einer Domain sind total geordnet (≤ auf ℤ∞).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B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6.1 CG-STD-0000 Theorem 1.1</w:t>
            </w:r>
          </w:p>
        </w:tc>
      </w:tr>
      <w:tr w:rsidR="005E7706" w14:paraId="40F7F2D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I-R3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E" w14:textId="77777777" w:rsidR="005E7706" w:rsidRDefault="00A8604A">
            <w:r>
              <w:rPr>
                <w:color w:val="1A1A1A"/>
                <w:sz w:val="19"/>
                <w:szCs w:val="19"/>
              </w:rPr>
              <w:t>Invariante I-R3 — Determinismus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F" w14:textId="77777777" w:rsidR="005E7706" w:rsidRDefault="00A8604A">
            <w:r>
              <w:rPr>
                <w:color w:val="1A1A1A"/>
                <w:sz w:val="18"/>
                <w:szCs w:val="18"/>
              </w:rPr>
              <w:t>Gleiche Eingabe liefert immer gleiche Ausgabe, unabhängig von Plattform, Zeitpunkt der Ausführung oder Systemzustand.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0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6.1 CG-STD-0000 Theorem 5.2</w:t>
            </w:r>
          </w:p>
        </w:tc>
      </w:tr>
      <w:tr w:rsidR="005E7706" w14:paraId="40F7F2D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I-D1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3" w14:textId="77777777" w:rsidR="005E7706" w:rsidRDefault="00A8604A">
            <w:r>
              <w:rPr>
                <w:color w:val="1A1A1A"/>
                <w:sz w:val="19"/>
                <w:szCs w:val="19"/>
              </w:rPr>
              <w:t>Invariante I-D1 — Domain-Unveränderlichkeit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4" w14:textId="77777777" w:rsidR="005E7706" w:rsidRDefault="00A8604A">
            <w:r>
              <w:rPr>
                <w:color w:val="1A1A1A"/>
                <w:sz w:val="18"/>
                <w:szCs w:val="18"/>
              </w:rPr>
              <w:t>Einmal publizierte Domain-Definitionen können nicht geändert werden. Änderungen erzeugen neue Versionen.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5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6.2 CG-STD-0000 Theorem 2.1</w:t>
            </w:r>
          </w:p>
        </w:tc>
      </w:tr>
      <w:tr w:rsidR="005E7706" w14:paraId="40F7F2DB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I-S1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8" w14:textId="77777777" w:rsidR="005E7706" w:rsidRDefault="00A8604A">
            <w:r>
              <w:rPr>
                <w:color w:val="1A1A1A"/>
                <w:sz w:val="19"/>
                <w:szCs w:val="19"/>
              </w:rPr>
              <w:t>Invariante I-S1 — Zeitpunkt-Immutabilität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9" w14:textId="77777777" w:rsidR="005E7706" w:rsidRDefault="00A8604A">
            <w:r>
              <w:rPr>
                <w:color w:val="1A1A1A"/>
                <w:sz w:val="18"/>
                <w:szCs w:val="18"/>
              </w:rPr>
              <w:t>Ein einmal gespeicherter CGTA-Zeitpunkt kann niemals verändert werden. Kein UPDATE oder DELETE auf timepoints.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A" w14:textId="77777777" w:rsidR="005E7706" w:rsidRDefault="00A8604A">
            <w:r>
              <w:rPr>
                <w:color w:val="1A1A1A"/>
                <w:sz w:val="17"/>
                <w:szCs w:val="17"/>
              </w:rPr>
              <w:t>CG-STD-4100 Kap. 2.1 CG-STD-0000 Theorem 5.3</w:t>
            </w:r>
          </w:p>
        </w:tc>
      </w:tr>
      <w:tr w:rsidR="005E7706" w14:paraId="40F7F2E0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I-SEG-1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D" w14:textId="77777777" w:rsidR="005E7706" w:rsidRDefault="00A8604A">
            <w:r>
              <w:rPr>
                <w:color w:val="1A1A1A"/>
                <w:sz w:val="19"/>
                <w:szCs w:val="19"/>
              </w:rPr>
              <w:t>Invariante I-SEG-1 — Segment-Isolation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E" w14:textId="77777777" w:rsidR="005E7706" w:rsidRDefault="00A8604A">
            <w:r>
              <w:rPr>
                <w:color w:val="1A1A1A"/>
                <w:sz w:val="18"/>
                <w:szCs w:val="18"/>
              </w:rPr>
              <w:t>Operationen in einem Segment dürfen den Zustand keines anderen Segments verändern.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F" w14:textId="77777777" w:rsidR="005E7706" w:rsidRDefault="00A8604A">
            <w:r>
              <w:rPr>
                <w:color w:val="1A1A1A"/>
                <w:sz w:val="17"/>
                <w:szCs w:val="17"/>
              </w:rPr>
              <w:t>CG-STD-4100 Kap. 2.5 CG-STD-0000 Theorem 5.5</w:t>
            </w:r>
          </w:p>
        </w:tc>
      </w:tr>
      <w:tr w:rsidR="005E7706" w14:paraId="40F7F2E5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I-M1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2" w14:textId="77777777" w:rsidR="005E7706" w:rsidRDefault="00A8604A">
            <w:r>
              <w:rPr>
                <w:color w:val="1A1A1A"/>
                <w:sz w:val="19"/>
                <w:szCs w:val="19"/>
              </w:rPr>
              <w:t>Invariante I-M1 — Mapping-Eindeutigkeit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3" w14:textId="77777777" w:rsidR="005E7706" w:rsidRDefault="00A8604A">
            <w:r>
              <w:rPr>
                <w:color w:val="1A1A1A"/>
                <w:sz w:val="18"/>
                <w:szCs w:val="18"/>
              </w:rPr>
              <w:t>Jedes Mapping ist eine Funktion: gleicher Eingabewert → immer gleicher Ausgabewert.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4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3 CG-STD-0000 Theorem 3.1</w:t>
            </w:r>
          </w:p>
        </w:tc>
      </w:tr>
      <w:tr w:rsidR="005E7706" w14:paraId="30F7F2E8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F2E9" w14:textId="77777777" w:rsidR="005E7706" w:rsidRDefault="00A8604A">
            <w:r>
              <w:rPr>
                <w:i/>
                <w:color w:val="888888"/>
                <w:sz w:val="19"/>
                <w:szCs w:val="19"/>
              </w:rPr>
              <w:t>I-M2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F2EA" w14:textId="77777777" w:rsidR="005E7706" w:rsidRDefault="00A8604A">
            <w:r>
              <w:rPr>
                <w:i/>
                <w:color w:val="888888"/>
                <w:sz w:val="19"/>
                <w:szCs w:val="19"/>
              </w:rPr>
              <w:t>Invariante I-M2 — nicht vergeben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F2EB" w14:textId="77777777" w:rsidR="005E7706" w:rsidRDefault="00A8604A">
            <w:r>
              <w:rPr>
                <w:i/>
                <w:color w:val="888888"/>
                <w:sz w:val="18"/>
                <w:szCs w:val="18"/>
              </w:rPr>
              <w:t>Nummer bewusst freigehalten. Vorgesehen für eine zukünftige Mapping-Invariante (z.B. Umkehrbarkeit / Bijektivität). Vergabe via CIP-E sobald Bedarf formalisiert ist.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F2EC" w14:textId="77777777" w:rsidR="005E7706" w:rsidRDefault="00A8604A">
            <w:r>
              <w:rPr>
                <w:i/>
                <w:color w:val="888888"/>
                <w:sz w:val="17"/>
                <w:szCs w:val="17"/>
              </w:rPr>
              <w:t>—</w:t>
            </w:r>
          </w:p>
        </w:tc>
      </w:tr>
      <w:tr w:rsidR="005E7706" w14:paraId="40F7F2EA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6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I-M3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7" w14:textId="77777777" w:rsidR="005E7706" w:rsidRPr="009145FD" w:rsidRDefault="00A8604A">
            <w:pPr>
              <w:rPr>
                <w:lang w:val="sv-SE"/>
              </w:rPr>
            </w:pPr>
            <w:r>
              <w:rPr>
                <w:color w:val="1A1A1A"/>
                <w:sz w:val="19"/>
                <w:szCs w:val="19"/>
                <w:lang w:val="sv-SE"/>
              </w:rPr>
              <w:t>Invariante I-M3 — Referenzpunkt-Konsistenz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8" w14:textId="77777777" w:rsidR="005E7706" w:rsidRDefault="00A8604A">
            <w:r>
              <w:rPr>
                <w:color w:val="1A1A1A"/>
                <w:sz w:val="18"/>
                <w:szCs w:val="18"/>
              </w:rPr>
              <w:t>Referenzpunkte müssen in jedem Mapping-Schritt exakt eingehalten werden.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9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3 CG-STD-0000 Theorem 3.3</w:t>
            </w:r>
          </w:p>
        </w:tc>
      </w:tr>
      <w:tr w:rsidR="005E7706" w14:paraId="40F7F2EF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I-E1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C" w14:textId="77777777" w:rsidR="005E7706" w:rsidRPr="009145FD" w:rsidRDefault="00A8604A">
            <w:pPr>
              <w:rPr>
                <w:lang w:val="it-IT"/>
              </w:rPr>
            </w:pPr>
            <w:r>
              <w:rPr>
                <w:color w:val="1A1A1A"/>
                <w:sz w:val="19"/>
                <w:szCs w:val="19"/>
                <w:lang w:val="it-IT"/>
              </w:rPr>
              <w:t>Invariante I-E1 — Keine universelle Epoch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D" w14:textId="77777777" w:rsidR="005E7706" w:rsidRDefault="00A8604A">
            <w:r>
              <w:rPr>
                <w:color w:val="1A1A1A"/>
                <w:sz w:val="18"/>
                <w:szCs w:val="18"/>
              </w:rPr>
              <w:t>Es gibt keine absolute "Zeit Null" für alle Domains. Jede Domain definiert ihren eigenen Nullpunkt. (Vollständig verifiziert.)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E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4.8 CG-STD-0000 Theorem 5.4</w:t>
            </w:r>
          </w:p>
        </w:tc>
      </w:tr>
    </w:tbl>
    <w:p w14:paraId="40F7F2F0" w14:textId="77777777" w:rsidR="005E7706" w:rsidRDefault="005E7706">
      <w:pPr>
        <w:spacing w:before="60"/>
      </w:pPr>
    </w:p>
    <w:p w14:paraId="40F7F2F1" w14:textId="77777777" w:rsidR="005E7706" w:rsidRDefault="00A8604A">
      <w:pPr>
        <w:pStyle w:val="berschrift2"/>
      </w:pPr>
      <w:bookmarkStart w:id="9" w:name="_Toc226045911"/>
      <w:r>
        <w:t>2.6  Konformitätsstufen</w:t>
      </w:r>
      <w:bookmarkEnd w:id="9"/>
    </w:p>
    <w:p w14:paraId="40F7F2F2" w14:textId="77777777" w:rsidR="005E7706" w:rsidRDefault="00A8604A">
      <w:pPr>
        <w:spacing w:before="40" w:after="30"/>
      </w:pPr>
      <w:r>
        <w:rPr>
          <w:color w:val="1A1A1A"/>
        </w:rPr>
        <w:t>Stufen für Implementierungen. Level 1/2/3 sind kumulativ (Level 3 schließt Level 2 und 1 ein). CGUAS-1/2/3 und CGFS-1/2/3 sind optional und unabhängig von Level 1/2/3.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F7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3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4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5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6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FC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Level 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9" w14:textId="77777777" w:rsidR="005E7706" w:rsidRDefault="00A8604A">
            <w:r>
              <w:rPr>
                <w:color w:val="1A1A1A"/>
                <w:sz w:val="19"/>
                <w:szCs w:val="19"/>
              </w:rPr>
              <w:t>Basis-Konformität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A" w14:textId="77777777" w:rsidR="005E7706" w:rsidRDefault="00A8604A">
            <w:r>
              <w:rPr>
                <w:color w:val="1A1A1A"/>
                <w:sz w:val="18"/>
                <w:szCs w:val="18"/>
              </w:rPr>
              <w:t>Lineare Domains, encode/decode, MachineID, CGTA, ISO8601-Label. Tests T-L1-* (55 Tests, 100% Pflicht). Zertifikat gültig 1 Jahr, jährliche Re-Zertifizierung.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B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2.2 CG-STD-3100 Kap. 11</w:t>
            </w:r>
          </w:p>
        </w:tc>
      </w:tr>
      <w:tr w:rsidR="005E7706" w14:paraId="40F7F30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Level 2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E" w14:textId="77777777" w:rsidR="005E7706" w:rsidRDefault="00A8604A">
            <w:r>
              <w:rPr>
                <w:color w:val="1A1A1A"/>
                <w:sz w:val="19"/>
                <w:szCs w:val="19"/>
              </w:rPr>
              <w:t>Standard-Konformität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F" w14:textId="77777777" w:rsidR="005E7706" w:rsidRDefault="00A8604A">
            <w:r>
              <w:rPr>
                <w:color w:val="1A1A1A"/>
                <w:sz w:val="18"/>
                <w:szCs w:val="18"/>
              </w:rPr>
              <w:t>Level 1 + piecewise-linear, gregorianisch, Allen-Relationen, REST API, JWT/RBAC, Webhooks, mindestens ein normatives resolver_type. Tests T-L1-* + T-L2-* (155 Tests).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0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2.3 CG-STD-4100 Kap. 9</w:t>
            </w:r>
          </w:p>
        </w:tc>
      </w:tr>
      <w:tr w:rsidR="005E7706" w14:paraId="40F7F30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Level 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3" w14:textId="77777777" w:rsidR="005E7706" w:rsidRDefault="00A8604A">
            <w:r>
              <w:rPr>
                <w:color w:val="1A1A1A"/>
                <w:sz w:val="19"/>
                <w:szCs w:val="19"/>
              </w:rPr>
              <w:t>Referenz-Konformität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4" w14:textId="77777777" w:rsidR="005E7706" w:rsidRDefault="00A8604A">
            <w:r>
              <w:rPr>
                <w:color w:val="1A1A1A"/>
                <w:sz w:val="18"/>
                <w:szCs w:val="18"/>
              </w:rPr>
              <w:t>Level 2 + relativistisch, kosmologisch, alle Invarianten, Geo-Redundanz, WORM/OAIS, CCO-Audit vor Ort, zwei resolver_types (davon einer geo-redundant). Tests T-L1-* + T-L2-* + T-L3-* + T-ENG-* (304+ Tests).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5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2.4</w:t>
            </w:r>
          </w:p>
        </w:tc>
      </w:tr>
      <w:tr w:rsidR="005E7706" w14:paraId="40F7F30B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CGUAS-1/2/3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8" w14:textId="77777777" w:rsidR="005E7706" w:rsidRDefault="00A8604A">
            <w:r>
              <w:rPr>
                <w:color w:val="1A1A1A"/>
                <w:sz w:val="19"/>
                <w:szCs w:val="19"/>
              </w:rPr>
              <w:t>CGUAS-Konformitätsstufen (optional)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9" w14:textId="77777777" w:rsidR="005E7706" w:rsidRDefault="00A8604A">
            <w:r>
              <w:rPr>
                <w:color w:val="1A1A1A"/>
                <w:sz w:val="18"/>
                <w:szCs w:val="18"/>
              </w:rPr>
              <w:t>Zusätzliche Stufen für CGUAS-Implementierungen. CGUAS-1: Adressauflösung lokal. CGUAS-2: + Federation, CIP-SEG-Prozess. CGUAS-3: + Geo-Redundanz, WORM.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A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2.5</w:t>
            </w:r>
          </w:p>
        </w:tc>
      </w:tr>
      <w:tr w:rsidR="005E7706" w14:paraId="40F7F310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CGFS-1/2/3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D" w14:textId="77777777" w:rsidR="005E7706" w:rsidRDefault="00A8604A">
            <w:r>
              <w:rPr>
                <w:color w:val="1A1A1A"/>
                <w:sz w:val="19"/>
                <w:szCs w:val="19"/>
              </w:rPr>
              <w:t>CGFS-Konformitätsstufen (optional)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E" w14:textId="77777777" w:rsidR="005E7706" w:rsidRDefault="00A8604A">
            <w:r>
              <w:rPr>
                <w:color w:val="1A1A1A"/>
                <w:sz w:val="18"/>
                <w:szCs w:val="18"/>
              </w:rPr>
              <w:t>Zusätzliche Stufen für CGFS-Implementierungen. CGFS-1: CGFI-Berechnung, Manifest-Validierung. CGFS-2: + Tombstone, DSGVO. CGFS-3: + WORM, Langzeitarchivierung.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F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2.6</w:t>
            </w:r>
          </w:p>
        </w:tc>
      </w:tr>
    </w:tbl>
    <w:p w14:paraId="40F7F311" w14:textId="77777777" w:rsidR="005E7706" w:rsidRDefault="005E7706">
      <w:pPr>
        <w:spacing w:before="80"/>
      </w:pPr>
    </w:p>
    <w:p w14:paraId="40F7F312" w14:textId="77777777" w:rsidR="005E7706" w:rsidRDefault="00A8604A">
      <w:pPr>
        <w:pStyle w:val="berschrift1"/>
        <w:pBdr>
          <w:bottom w:val="single" w:sz="3" w:space="6" w:color="17A589"/>
        </w:pBdr>
      </w:pPr>
      <w:bookmarkStart w:id="10" w:name="_Toc226045912"/>
      <w:r>
        <w:t>2.7  Fehlerklassen34.  Abkürzungsverzeichnis</w:t>
      </w:r>
      <w:bookmarkEnd w:id="10"/>
    </w:p>
    <w:p w14:paraId="40F7F313" w14:textId="77777777" w:rsidR="005E7706" w:rsidRDefault="00A8604A">
      <w:pPr>
        <w:spacing w:before="40" w:after="30"/>
      </w:pPr>
      <w:r>
        <w:rPr>
          <w:color w:val="1A1A1A"/>
        </w:rPr>
        <w:t>Alle in CG-STD-* Dokumenten verwendeten Abkürzungen alphabetisch geordnet.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5E7706" w14:paraId="40F7F31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4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Abkürzung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5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Bedeutung</w:t>
            </w:r>
          </w:p>
        </w:tc>
      </w:tr>
      <w:tr w:rsidR="005E7706" w14:paraId="40F7F31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ABNF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8" w14:textId="77777777" w:rsidR="005E7706" w:rsidRDefault="00A8604A">
            <w:r>
              <w:rPr>
                <w:color w:val="1A1A1A"/>
                <w:sz w:val="19"/>
                <w:szCs w:val="19"/>
              </w:rPr>
              <w:t>Augmented Backus-Naur Form (RFC 5234) — Grammatikformalismus für CTDDL</w:t>
            </w:r>
          </w:p>
        </w:tc>
      </w:tr>
      <w:tr w:rsidR="005E7706" w14:paraId="40F7F31C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A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ART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B" w14:textId="77777777" w:rsidR="005E7706" w:rsidRDefault="00A8604A">
            <w:r>
              <w:rPr>
                <w:color w:val="1A1A1A"/>
                <w:sz w:val="19"/>
                <w:szCs w:val="19"/>
              </w:rPr>
              <w:t>Allgemeine Relativitätstheorie</w:t>
            </w:r>
          </w:p>
        </w:tc>
      </w:tr>
      <w:tr w:rsidR="005E7706" w14:paraId="40F7F31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CCO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E" w14:textId="77777777" w:rsidR="005E7706" w:rsidRDefault="00A8604A">
            <w:r>
              <w:rPr>
                <w:color w:val="1A1A1A"/>
                <w:sz w:val="19"/>
                <w:szCs w:val="19"/>
              </w:rPr>
              <w:t>Certification &amp; Compliance Office — Zertifizierungsgremium</w:t>
            </w:r>
          </w:p>
        </w:tc>
      </w:tr>
      <w:tr w:rsidR="005E7706" w14:paraId="40F7F32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CGFI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1" w14:textId="77777777" w:rsidR="005E7706" w:rsidRDefault="00A8604A">
            <w:r>
              <w:rPr>
                <w:color w:val="1A1A1A"/>
                <w:sz w:val="19"/>
                <w:szCs w:val="19"/>
              </w:rPr>
              <w:t>ChronoGrid File Identifier — Datei-Fingerabdruck</w:t>
            </w:r>
          </w:p>
        </w:tc>
      </w:tr>
      <w:tr w:rsidR="005E7706" w14:paraId="40F7F32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4" w14:textId="77777777" w:rsidR="005E7706" w:rsidRDefault="00A8604A">
            <w:r>
              <w:rPr>
                <w:color w:val="1A1A1A"/>
                <w:sz w:val="19"/>
                <w:szCs w:val="19"/>
              </w:rPr>
              <w:t>ChronoGrid Filesystem Standard</w:t>
            </w:r>
          </w:p>
        </w:tc>
      </w:tr>
      <w:tr w:rsidR="005E7706" w:rsidRPr="00ED71CC" w14:paraId="40F7F32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6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CGTA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7" w14:textId="77777777" w:rsidR="005E7706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ChronoGrid Time Address — universelle Zeitadresse</w:t>
            </w:r>
          </w:p>
        </w:tc>
      </w:tr>
      <w:tr w:rsidR="005E7706" w14:paraId="40F7F32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A" w14:textId="77777777" w:rsidR="005E7706" w:rsidRDefault="00A8604A">
            <w:r>
              <w:rPr>
                <w:color w:val="1A1A1A"/>
                <w:sz w:val="19"/>
                <w:szCs w:val="19"/>
              </w:rPr>
              <w:t>ChronoGrid Universal Address — Speicherkoordinate</w:t>
            </w:r>
          </w:p>
        </w:tc>
      </w:tr>
      <w:tr w:rsidR="005E7706" w14:paraId="40F7F32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D" w14:textId="77777777" w:rsidR="005E7706" w:rsidRDefault="00A8604A">
            <w:r>
              <w:rPr>
                <w:color w:val="1A1A1A"/>
                <w:sz w:val="19"/>
                <w:szCs w:val="19"/>
              </w:rPr>
              <w:t>ChronoGrid Universal Address Space — universeller Adressraum</w:t>
            </w:r>
          </w:p>
        </w:tc>
      </w:tr>
      <w:tr w:rsidR="005E7706" w14:paraId="40F7F33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0" w14:textId="77777777" w:rsidR="005E7706" w:rsidRDefault="00A8604A">
            <w:r>
              <w:rPr>
                <w:color w:val="1A1A1A"/>
                <w:sz w:val="19"/>
                <w:szCs w:val="19"/>
              </w:rPr>
              <w:t>ChronoGrid Improvement Process — Änderungsverfahren</w:t>
            </w:r>
          </w:p>
        </w:tc>
      </w:tr>
      <w:tr w:rsidR="005E7706" w14:paraId="40F7F33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CIP-D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3" w14:textId="77777777" w:rsidR="005E7706" w:rsidRDefault="00A8604A">
            <w:r>
              <w:rPr>
                <w:color w:val="1A1A1A"/>
                <w:sz w:val="19"/>
                <w:szCs w:val="19"/>
              </w:rPr>
              <w:t>CIP-Typ: Domain-Definition</w:t>
            </w:r>
          </w:p>
        </w:tc>
      </w:tr>
      <w:tr w:rsidR="005E7706" w14:paraId="40F7F337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CIP-E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6" w14:textId="77777777" w:rsidR="005E7706" w:rsidRDefault="00A8604A">
            <w:r>
              <w:rPr>
                <w:color w:val="1A1A1A"/>
                <w:sz w:val="19"/>
                <w:szCs w:val="19"/>
              </w:rPr>
              <w:t>CIP-Typ: Errata (redaktionelle Korrektur)</w:t>
            </w:r>
          </w:p>
        </w:tc>
      </w:tr>
      <w:tr w:rsidR="005E7706" w14:paraId="40F7F33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CIP-G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9" w14:textId="77777777" w:rsidR="005E7706" w:rsidRDefault="00A8604A">
            <w:r>
              <w:rPr>
                <w:color w:val="1A1A1A"/>
                <w:sz w:val="19"/>
                <w:szCs w:val="19"/>
              </w:rPr>
              <w:t>CIP-Typ: Governance-Änderung</w:t>
            </w:r>
          </w:p>
        </w:tc>
      </w:tr>
      <w:tr w:rsidR="005E7706" w14:paraId="40F7F33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CIP-M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C" w14:textId="77777777" w:rsidR="005E7706" w:rsidRDefault="00A8604A">
            <w:r>
              <w:rPr>
                <w:color w:val="1A1A1A"/>
                <w:sz w:val="19"/>
                <w:szCs w:val="19"/>
              </w:rPr>
              <w:t>CIP-Typ: Mapping-Definition</w:t>
            </w:r>
          </w:p>
        </w:tc>
      </w:tr>
      <w:tr w:rsidR="005E7706" w:rsidRPr="00ED71CC" w14:paraId="40F7F340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CIP-SEG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F" w14:textId="77777777" w:rsidR="005E7706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CIP-Typ: Segment-Registrierung (CGUAS)</w:t>
            </w:r>
          </w:p>
        </w:tc>
      </w:tr>
      <w:tr w:rsidR="005E7706" w14:paraId="40F7F34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CTDDL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2" w14:textId="77777777" w:rsidR="005E7706" w:rsidRDefault="00A8604A">
            <w:r>
              <w:rPr>
                <w:color w:val="1A1A1A"/>
                <w:sz w:val="19"/>
                <w:szCs w:val="19"/>
              </w:rPr>
              <w:t>ChronoGrid Time Domain Definition Language</w:t>
            </w:r>
          </w:p>
        </w:tc>
      </w:tr>
      <w:tr w:rsidR="005E7706" w:rsidRPr="00ED71CC" w14:paraId="40F7F34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DMC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5" w14:textId="77777777" w:rsidR="005E7706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Domain &amp; Mapping Council — Gremium für Domains</w:t>
            </w:r>
          </w:p>
        </w:tc>
      </w:tr>
      <w:tr w:rsidR="005E7706" w14:paraId="40F7F34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DSGVO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8" w14:textId="77777777" w:rsidR="005E7706" w:rsidRDefault="00A8604A">
            <w:r>
              <w:rPr>
                <w:color w:val="1A1A1A"/>
                <w:sz w:val="19"/>
                <w:szCs w:val="19"/>
              </w:rPr>
              <w:t>Datenschutz-Grundverordnung (EU) 2016/679</w:t>
            </w:r>
          </w:p>
        </w:tc>
      </w:tr>
      <w:tr w:rsidR="005E7706" w14:paraId="40F7F34C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A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GB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B" w14:textId="77777777" w:rsidR="005E7706" w:rsidRDefault="00A8604A">
            <w:r>
              <w:rPr>
                <w:color w:val="1A1A1A"/>
                <w:sz w:val="19"/>
                <w:szCs w:val="19"/>
              </w:rPr>
              <w:t>Governing Board — strategisches Leitungsgremium</w:t>
            </w:r>
          </w:p>
        </w:tc>
      </w:tr>
      <w:tr w:rsidR="005E7706" w14:paraId="40F7F34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GPS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E" w14:textId="77777777" w:rsidR="005E7706" w:rsidRDefault="00A8604A">
            <w:r>
              <w:rPr>
                <w:color w:val="1A1A1A"/>
                <w:sz w:val="19"/>
                <w:szCs w:val="19"/>
              </w:rPr>
              <w:t>Global Positioning System</w:t>
            </w:r>
          </w:p>
        </w:tc>
      </w:tr>
      <w:tr w:rsidR="005E7706" w14:paraId="40F7F35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IANA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1" w14:textId="77777777" w:rsidR="005E7706" w:rsidRDefault="00A8604A">
            <w:r>
              <w:rPr>
                <w:color w:val="1A1A1A"/>
                <w:sz w:val="19"/>
                <w:szCs w:val="19"/>
              </w:rPr>
              <w:t>Internet Assigned Numbers Authority</w:t>
            </w:r>
          </w:p>
        </w:tc>
      </w:tr>
      <w:tr w:rsidR="005E7706" w14:paraId="40F7F35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IETF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4" w14:textId="77777777" w:rsidR="005E7706" w:rsidRDefault="00A8604A">
            <w:r>
              <w:rPr>
                <w:color w:val="1A1A1A"/>
                <w:sz w:val="19"/>
                <w:szCs w:val="19"/>
              </w:rPr>
              <w:t>Internet Engineering Task Force</w:t>
            </w:r>
          </w:p>
        </w:tc>
      </w:tr>
      <w:tr w:rsidR="005E7706" w14:paraId="40F7F35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6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ISO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7" w14:textId="77777777" w:rsidR="005E7706" w:rsidRDefault="00A8604A">
            <w:r>
              <w:rPr>
                <w:color w:val="1A1A1A"/>
                <w:sz w:val="19"/>
                <w:szCs w:val="19"/>
              </w:rPr>
              <w:t>International Organization for Standardization</w:t>
            </w:r>
          </w:p>
        </w:tc>
      </w:tr>
      <w:tr w:rsidR="005E7706" w14:paraId="40F7F35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JWT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A" w14:textId="77777777" w:rsidR="005E7706" w:rsidRDefault="00A8604A">
            <w:r>
              <w:rPr>
                <w:color w:val="1A1A1A"/>
                <w:sz w:val="19"/>
                <w:szCs w:val="19"/>
              </w:rPr>
              <w:t>JSON Web Token (RFC 7519)</w:t>
            </w:r>
          </w:p>
        </w:tc>
      </w:tr>
      <w:tr w:rsidR="005E7706" w14:paraId="40F7F35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MTLS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D" w14:textId="77777777" w:rsidR="005E7706" w:rsidRDefault="00A8604A">
            <w:r>
              <w:rPr>
                <w:color w:val="1A1A1A"/>
                <w:sz w:val="19"/>
                <w:szCs w:val="19"/>
              </w:rPr>
              <w:t>Mutual TLS — beidseitige TLS-Authentifizierung</w:t>
            </w:r>
          </w:p>
        </w:tc>
      </w:tr>
      <w:tr w:rsidR="005E7706" w14:paraId="40F7F36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OAIS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0" w14:textId="77777777" w:rsidR="005E7706" w:rsidRDefault="00A8604A">
            <w:r>
              <w:rPr>
                <w:color w:val="1A1A1A"/>
                <w:sz w:val="19"/>
                <w:szCs w:val="19"/>
              </w:rPr>
              <w:t>Open Archival Information System (ISO 14721)</w:t>
            </w:r>
          </w:p>
        </w:tc>
      </w:tr>
      <w:tr w:rsidR="005E7706" w14:paraId="40F7F36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ÖNORM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3" w14:textId="77777777" w:rsidR="005E7706" w:rsidRDefault="00A8604A">
            <w:r>
              <w:rPr>
                <w:color w:val="1A1A1A"/>
                <w:sz w:val="19"/>
                <w:szCs w:val="19"/>
              </w:rPr>
              <w:t>Österreichische Norm (Austrian Standards International)</w:t>
            </w:r>
          </w:p>
        </w:tc>
      </w:tr>
      <w:tr w:rsidR="005E7706" w14:paraId="40F7F367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RBAC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6" w14:textId="77777777" w:rsidR="005E7706" w:rsidRDefault="00A8604A">
            <w:r>
              <w:rPr>
                <w:color w:val="1A1A1A"/>
                <w:sz w:val="19"/>
                <w:szCs w:val="19"/>
              </w:rPr>
              <w:t>Role-Based Access Control</w:t>
            </w:r>
          </w:p>
        </w:tc>
      </w:tr>
      <w:tr w:rsidR="005E7706" w14:paraId="40F7F36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SRT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9" w14:textId="77777777" w:rsidR="005E7706" w:rsidRDefault="00A8604A">
            <w:r>
              <w:rPr>
                <w:color w:val="1A1A1A"/>
                <w:sz w:val="19"/>
                <w:szCs w:val="19"/>
              </w:rPr>
              <w:t>Spezielle Relativitätstheorie</w:t>
            </w:r>
          </w:p>
        </w:tc>
      </w:tr>
      <w:tr w:rsidR="005E7706" w14:paraId="40F7F36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TAI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C" w14:textId="77777777" w:rsidR="005E7706" w:rsidRDefault="00A8604A">
            <w:r>
              <w:rPr>
                <w:color w:val="1A1A1A"/>
                <w:sz w:val="19"/>
                <w:szCs w:val="19"/>
              </w:rPr>
              <w:t>Temps Atomique International — internationale Atomzeit</w:t>
            </w:r>
          </w:p>
        </w:tc>
      </w:tr>
      <w:tr w:rsidR="005E7706" w14:paraId="40F7F370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TSC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F" w14:textId="77777777" w:rsidR="005E7706" w:rsidRDefault="00A8604A">
            <w:r>
              <w:rPr>
                <w:color w:val="1A1A1A"/>
                <w:sz w:val="19"/>
                <w:szCs w:val="19"/>
              </w:rPr>
              <w:t>Technical Steering Committee — technisches Lenkungsgremium</w:t>
            </w:r>
          </w:p>
        </w:tc>
      </w:tr>
      <w:tr w:rsidR="005E7706" w14:paraId="40F7F37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UTC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2" w14:textId="77777777" w:rsidR="005E7706" w:rsidRDefault="00A8604A">
            <w:r>
              <w:rPr>
                <w:color w:val="1A1A1A"/>
                <w:sz w:val="19"/>
                <w:szCs w:val="19"/>
              </w:rPr>
              <w:t>Coordinated Universal Time — koordinierte Weltzeit</w:t>
            </w:r>
          </w:p>
        </w:tc>
      </w:tr>
      <w:tr w:rsidR="005E7706" w14:paraId="40F7F37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W3C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5" w14:textId="77777777" w:rsidR="005E7706" w:rsidRDefault="00A8604A">
            <w:r>
              <w:rPr>
                <w:color w:val="1A1A1A"/>
                <w:sz w:val="19"/>
                <w:szCs w:val="19"/>
              </w:rPr>
              <w:t>World Wide Web Consortium</w:t>
            </w:r>
          </w:p>
        </w:tc>
      </w:tr>
      <w:tr w:rsidR="005E7706" w14:paraId="50000078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ACARS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A" w14:textId="77777777" w:rsidR="005E7706" w:rsidRDefault="00A8604A">
            <w:r>
              <w:rPr>
                <w:color w:val="1A1A1A"/>
                <w:sz w:val="19"/>
                <w:szCs w:val="19"/>
              </w:rPr>
              <w:t>Aircraft Communications Addressing and Reporting System</w:t>
            </w:r>
          </w:p>
        </w:tc>
      </w:tr>
      <w:tr w:rsidR="005E7706" w14:paraId="5000007B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ASI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D" w14:textId="77777777" w:rsidR="005E7706" w:rsidRDefault="00A8604A">
            <w:r>
              <w:rPr>
                <w:color w:val="1A1A1A"/>
                <w:sz w:val="19"/>
                <w:szCs w:val="19"/>
              </w:rPr>
              <w:t>Austrian Standards International (ON)</w:t>
            </w:r>
          </w:p>
        </w:tc>
      </w:tr>
      <w:tr w:rsidR="005E7706" w14:paraId="5000007E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ATC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0" w14:textId="77777777" w:rsidR="005E7706" w:rsidRDefault="00A8604A">
            <w:r>
              <w:rPr>
                <w:color w:val="1A1A1A"/>
                <w:sz w:val="19"/>
                <w:szCs w:val="19"/>
              </w:rPr>
              <w:t>Air Traffic Control</w:t>
            </w:r>
          </w:p>
        </w:tc>
      </w:tr>
      <w:tr w:rsidR="005E7706" w14:paraId="5000008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BigInt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3" w14:textId="77777777" w:rsidR="005E7706" w:rsidRDefault="00A8604A">
            <w:r>
              <w:rPr>
                <w:color w:val="1A1A1A"/>
                <w:sz w:val="19"/>
                <w:szCs w:val="19"/>
              </w:rPr>
              <w:t>Beliebig große Ganzzahl (&amp;#x2124;&amp;#x221E;) — Wertemenge aller ChronoGrid-Zeitwerte</w:t>
            </w:r>
          </w:p>
        </w:tc>
      </w:tr>
      <w:tr w:rsidR="005E7706" w14:paraId="50000084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CEN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6" w14:textId="77777777" w:rsidR="005E7706" w:rsidRDefault="00A8604A">
            <w:r>
              <w:rPr>
                <w:color w:val="1A1A1A"/>
                <w:sz w:val="19"/>
                <w:szCs w:val="19"/>
              </w:rPr>
              <w:t>European Committee for Standardization (Comité Européen de Normalisation)</w:t>
            </w:r>
          </w:p>
        </w:tc>
      </w:tr>
      <w:tr w:rsidR="005E7706" w14:paraId="50000087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DST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9" w14:textId="77777777" w:rsidR="005E7706" w:rsidRDefault="00A8604A">
            <w:r>
              <w:rPr>
                <w:color w:val="1A1A1A"/>
                <w:sz w:val="19"/>
                <w:szCs w:val="19"/>
              </w:rPr>
              <w:t>Daylight Saving Time — Sommerzeit</w:t>
            </w:r>
          </w:p>
        </w:tc>
      </w:tr>
      <w:tr w:rsidR="005E7706" w14:paraId="5000008A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GraphQL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C" w14:textId="77777777" w:rsidR="005E7706" w:rsidRDefault="00A8604A">
            <w:r>
              <w:rPr>
                <w:color w:val="1A1A1A"/>
                <w:sz w:val="19"/>
                <w:szCs w:val="19"/>
              </w:rPr>
              <w:t>Flexible Abfragesprache für APIs (CG-STD-4100 Kap. 5)</w:t>
            </w:r>
          </w:p>
        </w:tc>
      </w:tr>
      <w:tr w:rsidR="005E7706" w14:paraId="5000008D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HMAC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F" w14:textId="77777777" w:rsidR="005E7706" w:rsidRDefault="00A8604A">
            <w:r>
              <w:rPr>
                <w:color w:val="1A1A1A"/>
                <w:sz w:val="19"/>
                <w:szCs w:val="19"/>
              </w:rPr>
              <w:t>Hash-based Message Authentication Code — Webhook-Signierung</w:t>
            </w:r>
          </w:p>
        </w:tc>
      </w:tr>
      <w:tr w:rsidR="005E7706" w14:paraId="50000090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IEEE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2" w14:textId="77777777" w:rsidR="005E7706" w:rsidRDefault="00A8604A">
            <w:r>
              <w:rPr>
                <w:color w:val="1A1A1A"/>
                <w:sz w:val="19"/>
                <w:szCs w:val="19"/>
              </w:rPr>
              <w:t>Institute of Electrical and Electronics Engineers</w:t>
            </w:r>
          </w:p>
        </w:tc>
      </w:tr>
      <w:tr w:rsidR="005E7706" w14:paraId="50000093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NTP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5" w14:textId="77777777" w:rsidR="005E7706" w:rsidRDefault="00A8604A">
            <w:r>
              <w:rPr>
                <w:color w:val="1A1A1A"/>
                <w:sz w:val="19"/>
                <w:szCs w:val="19"/>
              </w:rPr>
              <w:t>Network Time Protocol (RFC 5905)</w:t>
            </w:r>
          </w:p>
        </w:tc>
      </w:tr>
      <w:tr w:rsidR="005E7706" w14:paraId="50000096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OpenAPI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8" w14:textId="77777777" w:rsidR="005E7706" w:rsidRDefault="00A8604A">
            <w:r>
              <w:rPr>
                <w:color w:val="1A1A1A"/>
                <w:sz w:val="19"/>
                <w:szCs w:val="19"/>
              </w:rPr>
              <w:t>OpenAPI Specification 3.1 — REST-API-Beschreibungsformat (CG-STD-4100 Kap. 8)</w:t>
            </w:r>
          </w:p>
        </w:tc>
      </w:tr>
      <w:tr w:rsidR="005E7706" w14:paraId="5000009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A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POSIX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B" w14:textId="77777777" w:rsidR="005E7706" w:rsidRDefault="00A8604A">
            <w:r>
              <w:rPr>
                <w:color w:val="1A1A1A"/>
                <w:sz w:val="19"/>
                <w:szCs w:val="19"/>
              </w:rPr>
              <w:t>Portable Operating System Interface — POSIX time_t</w:t>
            </w:r>
          </w:p>
        </w:tc>
      </w:tr>
      <w:tr w:rsidR="005E7706" w14:paraId="5000009C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RK45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E" w14:textId="77777777" w:rsidR="005E7706" w:rsidRDefault="00A8604A">
            <w:r>
              <w:rPr>
                <w:color w:val="1A1A1A"/>
                <w:sz w:val="19"/>
                <w:szCs w:val="19"/>
              </w:rPr>
              <w:t>Runge-Kutta-Fehlberg-Verfahren 4./5. Ordnung — numerische Integration für Klasse-B-Mappings</w:t>
            </w:r>
          </w:p>
        </w:tc>
      </w:tr>
      <w:tr w:rsidR="005E7706" w14:paraId="5000009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A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SHA-256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A1" w14:textId="77777777" w:rsidR="005E7706" w:rsidRDefault="00A8604A">
            <w:r>
              <w:rPr>
                <w:color w:val="1A1A1A"/>
                <w:sz w:val="19"/>
                <w:szCs w:val="19"/>
              </w:rPr>
              <w:t>Secure Hash Algorithm 256-bit (FIPS 180-4) — Basis für MachineID und CGFI</w:t>
            </w:r>
          </w:p>
        </w:tc>
      </w:tr>
      <w:tr w:rsidR="005E7706" w14:paraId="500000A2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A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TLS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A4" w14:textId="77777777" w:rsidR="005E7706" w:rsidRDefault="00A8604A">
            <w:r>
              <w:rPr>
                <w:color w:val="1A1A1A"/>
                <w:sz w:val="19"/>
                <w:szCs w:val="19"/>
              </w:rPr>
              <w:t>Transport Layer Security — Verschlüsselungsprotokoll</w:t>
            </w:r>
          </w:p>
        </w:tc>
      </w:tr>
      <w:tr w:rsidR="005E7706" w:rsidRPr="00ED71CC" w14:paraId="40F7F37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WORM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8" w14:textId="77777777" w:rsidR="005E7706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Write Once Read Many — Archivierungsprinzip</w:t>
            </w:r>
          </w:p>
        </w:tc>
      </w:tr>
    </w:tbl>
    <w:p w14:paraId="40F7F37A" w14:textId="77777777" w:rsidR="005E7706" w:rsidRPr="009145FD" w:rsidRDefault="005E7706">
      <w:pPr>
        <w:spacing w:before="80"/>
        <w:rPr>
          <w:lang w:val="en-GB"/>
        </w:rPr>
      </w:pPr>
    </w:p>
    <w:p w14:paraId="40F7F37B" w14:textId="77777777" w:rsidR="005E7706" w:rsidRDefault="00A8604A">
      <w:pPr>
        <w:pStyle w:val="berschrift1"/>
        <w:pBdr>
          <w:bottom w:val="single" w:sz="3" w:space="6" w:color="17A589"/>
        </w:pBdr>
      </w:pPr>
      <w:bookmarkStart w:id="11" w:name="_Toc226045913"/>
      <w:r>
        <w:t>5.  Referenzen</w:t>
      </w:r>
      <w:bookmarkEnd w:id="11"/>
    </w:p>
    <w:p w14:paraId="40F7F37C" w14:textId="77777777" w:rsidR="005E7706" w:rsidRDefault="00A8604A">
      <w:pPr>
        <w:pStyle w:val="berschrift2"/>
      </w:pPr>
      <w:bookmarkStart w:id="12" w:name="_Toc226045914"/>
      <w:r>
        <w:t>Normative Referenzen</w:t>
      </w:r>
      <w:bookmarkEnd w:id="12"/>
    </w:p>
    <w:p w14:paraId="40F7F37D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CG-STD-0000 v0.5  —  Mathematische Grundlagen (DRAFT) · Hinweis: Dieses Dokument hat noch DRAFT-Status. Alle 17 formalen Aussagen (Propositionen, Theoreme, Lemmata, Korollare) sind inhaltlich ausgearbeitet, aber noch nicht extern formal verifiziert. CG-STD-1000 referenziert CG-STD-0000 normativ unter dem Vorbehalt, dass die formale Verifikation vor Freigabe von CG-STD-0000 v1.0 abzuschließen ist.</w:t>
      </w:r>
    </w:p>
    <w:p w14:paraId="40F7F37E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CG-STD-1100 v2.5  —  Technisches Masterdokument</w:t>
      </w:r>
    </w:p>
    <w:p w14:paraId="40F7F37F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CG-STD-2100 v1.4  —  CTDDL Spezifikation</w:t>
      </w:r>
    </w:p>
    <w:p w14:paraId="40F7F380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CG-STD-3100 v1.5  —  Engine-Spezifikation</w:t>
      </w:r>
    </w:p>
    <w:p w14:paraId="40F7F381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CG-STD-4100 v0.7  —  Storage &amp; API Spezifikation (DRAFT)</w:t>
      </w:r>
    </w:p>
    <w:p w14:paraId="40F7F382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CG-ORG-2100 v1.4  —  Organisations- &amp; QM-System</w:t>
      </w:r>
    </w:p>
    <w:p w14:paraId="40F7F383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CG-STD-5100 v1.3  —  Governance &amp; Zertifizierung</w:t>
      </w:r>
    </w:p>
    <w:p w14:paraId="40F7F384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CG-STD-6100 v0.5  —  CGUAS &amp; CGFS (DRAFT)</w:t>
      </w:r>
    </w:p>
    <w:p w14:paraId="40F7F385" w14:textId="77777777" w:rsidR="005E7706" w:rsidRDefault="00A8604A">
      <w:pPr>
        <w:pStyle w:val="berschrift2"/>
      </w:pPr>
      <w:bookmarkStart w:id="13" w:name="_Toc226045915"/>
      <w:r>
        <w:t>Informative Referenzen</w:t>
      </w:r>
      <w:bookmarkEnd w:id="13"/>
    </w:p>
    <w:p w14:paraId="40F7F386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ISO 8601:2019  —  Darstellung von Datum und Uhrzeit</w:t>
      </w:r>
    </w:p>
    <w:p w14:paraId="40F7F387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RFC 3986  —  URI Generic Syntax</w:t>
      </w:r>
    </w:p>
    <w:p w14:paraId="40F7F388" w14:textId="77777777" w:rsidR="005E7706" w:rsidRPr="009145FD" w:rsidRDefault="00A8604A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color w:val="1A1A1A"/>
          <w:lang w:val="en-GB"/>
        </w:rPr>
        <w:t>RFC 5234  —  Augmented BNF for Syntax Specifications (ABNF)</w:t>
      </w:r>
    </w:p>
    <w:p w14:paraId="40F7F389" w14:textId="77777777" w:rsidR="005E7706" w:rsidRPr="009145FD" w:rsidRDefault="00A8604A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color w:val="1A1A1A"/>
          <w:lang w:val="en-GB"/>
        </w:rPr>
        <w:lastRenderedPageBreak/>
        <w:t>RFC 7519  —  JSON Web Token (JWT)</w:t>
      </w:r>
    </w:p>
    <w:p w14:paraId="40F7F38A" w14:textId="77777777" w:rsidR="005E7706" w:rsidRPr="009145FD" w:rsidRDefault="00A8604A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color w:val="1A1A1A"/>
          <w:lang w:val="en-GB"/>
        </w:rPr>
        <w:t>FIPS 180-4  —  SHA-256 (Secure Hash Standard)</w:t>
      </w:r>
    </w:p>
    <w:p w14:paraId="40F7F38B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ISO 14721  —  OAIS (Open Archival Information System)</w:t>
      </w:r>
    </w:p>
    <w:p w14:paraId="40F7F38C" w14:textId="77777777" w:rsidR="005E7706" w:rsidRPr="009145FD" w:rsidRDefault="00A8604A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color w:val="1A1A1A"/>
          <w:lang w:val="en-GB"/>
        </w:rPr>
        <w:t>Allen, J.F. (1983)  —  Maintaining Knowledge about Temporal Intervals</w:t>
      </w:r>
    </w:p>
    <w:sectPr w:rsidR="005E7706" w:rsidRPr="009145FD" w:rsidSect="000C6DEF">
      <w:footerReference w:type="default" r:id="rId10"/>
      <w:pgSz w:w="11906" w:h="16838"/>
      <w:pgMar w:top="1100" w:right="1200" w:bottom="11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649C3" w14:textId="77777777" w:rsidR="0049627A" w:rsidRDefault="0049627A">
      <w:r>
        <w:separator/>
      </w:r>
    </w:p>
  </w:endnote>
  <w:endnote w:type="continuationSeparator" w:id="0">
    <w:p w14:paraId="7C5DA71B" w14:textId="77777777" w:rsidR="0049627A" w:rsidRDefault="00496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F38E" w14:textId="2297CC04" w:rsidR="005E7706" w:rsidRDefault="00A8604A" w:rsidP="00A844A6">
    <w:pPr>
      <w:pBdr>
        <w:top w:val="single" w:sz="6" w:space="2" w:color="17A589"/>
      </w:pBdr>
      <w:tabs>
        <w:tab w:val="right" w:pos="9026"/>
      </w:tabs>
      <w:spacing w:before="60"/>
    </w:pPr>
    <w:bookmarkStart w:id="0" w:name="_Toc224750196"/>
    <w:r>
      <w:rPr>
        <w:color w:val="555555"/>
        <w:sz w:val="15"/>
        <w:szCs w:val="15"/>
      </w:rPr>
      <w:t>CG-STD-1000-2026 v1.2  ·  Freigegeben  ·  Erstausgabe</w:t>
    </w:r>
    <w:r>
      <w:rPr>
        <w:sz w:val="15"/>
        <w:szCs w:val="15"/>
      </w:rPr>
      <w:tab/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7315" w14:textId="12C89AA2" w:rsidR="000C6DEF" w:rsidRDefault="000C6DEF" w:rsidP="00EE2877">
    <w:pPr>
      <w:pBdr>
        <w:top w:val="single" w:sz="6" w:space="2" w:color="17A589"/>
      </w:pBdr>
      <w:tabs>
        <w:tab w:val="left" w:pos="8880"/>
        <w:tab w:val="left" w:pos="8920"/>
        <w:tab w:val="right" w:pos="9026"/>
      </w:tabs>
      <w:spacing w:before="60"/>
    </w:pPr>
    <w:r>
      <w:rPr>
        <w:color w:val="555555"/>
        <w:sz w:val="15"/>
        <w:szCs w:val="15"/>
      </w:rPr>
      <w:t>CG-STD-1000-2026 v1.2  ·  Freigegeben  ·  Erstausgabe</w:t>
    </w:r>
    <w:r w:rsidR="00EE2877">
      <w:rPr>
        <w:sz w:val="15"/>
        <w:szCs w:val="15"/>
      </w:rPr>
      <w:tab/>
    </w:r>
    <w:r w:rsidRPr="00A844A6">
      <w:rPr>
        <w:sz w:val="15"/>
        <w:szCs w:val="15"/>
      </w:rPr>
      <w:fldChar w:fldCharType="begin"/>
    </w:r>
    <w:r w:rsidRPr="00A844A6">
      <w:rPr>
        <w:sz w:val="15"/>
        <w:szCs w:val="15"/>
      </w:rPr>
      <w:instrText>PAGE   \* MERGEFORMAT</w:instrText>
    </w:r>
    <w:r w:rsidRPr="00A844A6">
      <w:rPr>
        <w:sz w:val="15"/>
        <w:szCs w:val="15"/>
      </w:rPr>
      <w:fldChar w:fldCharType="separate"/>
    </w:r>
    <w:r w:rsidRPr="00A844A6">
      <w:rPr>
        <w:sz w:val="15"/>
        <w:szCs w:val="15"/>
        <w:lang w:val="de-DE"/>
      </w:rPr>
      <w:t>1</w:t>
    </w:r>
    <w:r w:rsidRPr="00A844A6">
      <w:rPr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D2904" w14:textId="77777777" w:rsidR="0049627A" w:rsidRDefault="0049627A">
      <w:r>
        <w:separator/>
      </w:r>
    </w:p>
  </w:footnote>
  <w:footnote w:type="continuationSeparator" w:id="0">
    <w:p w14:paraId="0E2FC7A4" w14:textId="77777777" w:rsidR="0049627A" w:rsidRDefault="00496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F38D" w14:textId="77777777" w:rsidR="005E7706" w:rsidRDefault="00A8604A">
    <w:pPr>
      <w:pBdr>
        <w:bottom w:val="single" w:sz="6" w:space="2" w:color="17A589"/>
      </w:pBdr>
      <w:tabs>
        <w:tab w:val="right" w:pos="9026"/>
      </w:tabs>
      <w:spacing w:after="60"/>
    </w:pPr>
    <w:r>
      <w:rPr>
        <w:color w:val="555555"/>
        <w:sz w:val="16"/>
        <w:szCs w:val="16"/>
      </w:rPr>
      <w:t>CG-STD-1000-2026  ·  Terminologie und Abkürzungen  ·  Version 1.0</w:t>
    </w:r>
    <w:r>
      <w:rPr>
        <w:sz w:val="16"/>
        <w:szCs w:val="16"/>
      </w:rPr>
      <w:tab/>
    </w:r>
    <w:r>
      <w:rPr>
        <w:color w:val="555555"/>
        <w:sz w:val="16"/>
        <w:szCs w:val="16"/>
      </w:rPr>
      <w:t>ChronoGrid Systems  ·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3D8"/>
    <w:multiLevelType w:val="hybridMultilevel"/>
    <w:tmpl w:val="EF6A579A"/>
    <w:lvl w:ilvl="0" w:tplc="049E8EB4">
      <w:start w:val="1"/>
      <w:numFmt w:val="bullet"/>
      <w:lvlText w:val="●"/>
      <w:lvlJc w:val="left"/>
      <w:pPr>
        <w:ind w:left="720" w:hanging="360"/>
      </w:pPr>
    </w:lvl>
    <w:lvl w:ilvl="1" w:tplc="2EE44F3C">
      <w:start w:val="1"/>
      <w:numFmt w:val="bullet"/>
      <w:lvlText w:val="○"/>
      <w:lvlJc w:val="left"/>
      <w:pPr>
        <w:ind w:left="1440" w:hanging="360"/>
      </w:pPr>
    </w:lvl>
    <w:lvl w:ilvl="2" w:tplc="0FD0E38E">
      <w:start w:val="1"/>
      <w:numFmt w:val="bullet"/>
      <w:lvlText w:val="■"/>
      <w:lvlJc w:val="left"/>
      <w:pPr>
        <w:ind w:left="2160" w:hanging="360"/>
      </w:pPr>
    </w:lvl>
    <w:lvl w:ilvl="3" w:tplc="709C731E">
      <w:start w:val="1"/>
      <w:numFmt w:val="bullet"/>
      <w:lvlText w:val="●"/>
      <w:lvlJc w:val="left"/>
      <w:pPr>
        <w:ind w:left="2880" w:hanging="360"/>
      </w:pPr>
    </w:lvl>
    <w:lvl w:ilvl="4" w:tplc="C8F4C59A">
      <w:start w:val="1"/>
      <w:numFmt w:val="bullet"/>
      <w:lvlText w:val="○"/>
      <w:lvlJc w:val="left"/>
      <w:pPr>
        <w:ind w:left="3600" w:hanging="360"/>
      </w:pPr>
    </w:lvl>
    <w:lvl w:ilvl="5" w:tplc="3968B0C4">
      <w:start w:val="1"/>
      <w:numFmt w:val="bullet"/>
      <w:lvlText w:val="■"/>
      <w:lvlJc w:val="left"/>
      <w:pPr>
        <w:ind w:left="4320" w:hanging="360"/>
      </w:pPr>
    </w:lvl>
    <w:lvl w:ilvl="6" w:tplc="EC0ACBFC">
      <w:start w:val="1"/>
      <w:numFmt w:val="bullet"/>
      <w:lvlText w:val="●"/>
      <w:lvlJc w:val="left"/>
      <w:pPr>
        <w:ind w:left="5040" w:hanging="360"/>
      </w:pPr>
    </w:lvl>
    <w:lvl w:ilvl="7" w:tplc="FB522EA6">
      <w:start w:val="1"/>
      <w:numFmt w:val="bullet"/>
      <w:lvlText w:val="●"/>
      <w:lvlJc w:val="left"/>
      <w:pPr>
        <w:ind w:left="5760" w:hanging="360"/>
      </w:pPr>
    </w:lvl>
    <w:lvl w:ilvl="8" w:tplc="0D386C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F719EE"/>
    <w:multiLevelType w:val="hybridMultilevel"/>
    <w:tmpl w:val="F642DF30"/>
    <w:lvl w:ilvl="0" w:tplc="B5E6E9E2">
      <w:start w:val="1"/>
      <w:numFmt w:val="bullet"/>
      <w:lvlText w:val="•"/>
      <w:lvlJc w:val="left"/>
      <w:pPr>
        <w:ind w:left="560" w:hanging="280"/>
      </w:pPr>
    </w:lvl>
    <w:lvl w:ilvl="1" w:tplc="23DAEBE0">
      <w:numFmt w:val="decimal"/>
      <w:lvlText w:val=""/>
      <w:lvlJc w:val="left"/>
    </w:lvl>
    <w:lvl w:ilvl="2" w:tplc="B044BBB4">
      <w:numFmt w:val="decimal"/>
      <w:lvlText w:val=""/>
      <w:lvlJc w:val="left"/>
    </w:lvl>
    <w:lvl w:ilvl="3" w:tplc="720EDFD0">
      <w:numFmt w:val="decimal"/>
      <w:lvlText w:val=""/>
      <w:lvlJc w:val="left"/>
    </w:lvl>
    <w:lvl w:ilvl="4" w:tplc="BAD0485C">
      <w:numFmt w:val="decimal"/>
      <w:lvlText w:val=""/>
      <w:lvlJc w:val="left"/>
    </w:lvl>
    <w:lvl w:ilvl="5" w:tplc="505AF6E4">
      <w:numFmt w:val="decimal"/>
      <w:lvlText w:val=""/>
      <w:lvlJc w:val="left"/>
    </w:lvl>
    <w:lvl w:ilvl="6" w:tplc="331C0740">
      <w:numFmt w:val="decimal"/>
      <w:lvlText w:val=""/>
      <w:lvlJc w:val="left"/>
    </w:lvl>
    <w:lvl w:ilvl="7" w:tplc="8BE8E2BE">
      <w:numFmt w:val="decimal"/>
      <w:lvlText w:val=""/>
      <w:lvlJc w:val="left"/>
    </w:lvl>
    <w:lvl w:ilvl="8" w:tplc="17BAAFB6">
      <w:numFmt w:val="decimal"/>
      <w:lvlText w:val=""/>
      <w:lvlJc w:val="left"/>
    </w:lvl>
  </w:abstractNum>
  <w:num w:numId="1" w16cid:durableId="1483547711">
    <w:abstractNumId w:val="0"/>
    <w:lvlOverride w:ilvl="0">
      <w:startOverride w:val="1"/>
    </w:lvlOverride>
  </w:num>
  <w:num w:numId="2" w16cid:durableId="1781607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706"/>
    <w:rsid w:val="000A336B"/>
    <w:rsid w:val="000C6DEF"/>
    <w:rsid w:val="0016251A"/>
    <w:rsid w:val="00181E00"/>
    <w:rsid w:val="001C74C2"/>
    <w:rsid w:val="003C3D38"/>
    <w:rsid w:val="0049627A"/>
    <w:rsid w:val="004B4029"/>
    <w:rsid w:val="005E7706"/>
    <w:rsid w:val="00733744"/>
    <w:rsid w:val="007A56CB"/>
    <w:rsid w:val="007D067D"/>
    <w:rsid w:val="00840BC0"/>
    <w:rsid w:val="00861A62"/>
    <w:rsid w:val="009145FD"/>
    <w:rsid w:val="00A439C1"/>
    <w:rsid w:val="00A46950"/>
    <w:rsid w:val="00A844A6"/>
    <w:rsid w:val="00A8604A"/>
    <w:rsid w:val="00B87837"/>
    <w:rsid w:val="00CB11AB"/>
    <w:rsid w:val="00E12E96"/>
    <w:rsid w:val="00EA729A"/>
    <w:rsid w:val="00ED71CC"/>
    <w:rsid w:val="00EE2877"/>
    <w:rsid w:val="00FA7922"/>
    <w:rsid w:val="00FB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7F216"/>
  <w15:docId w15:val="{756F0F80-12B8-45CD-930C-FD659BBA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00" w:after="80"/>
      <w:outlineLvl w:val="0"/>
    </w:pPr>
    <w:rPr>
      <w:rFonts w:ascii="Georgia" w:eastAsia="Georgia" w:hAnsi="Georgia" w:cs="Georgia"/>
      <w:b/>
      <w:bCs/>
      <w:color w:val="1B3A6B"/>
      <w:sz w:val="34"/>
      <w:szCs w:val="34"/>
    </w:rPr>
  </w:style>
  <w:style w:type="paragraph" w:styleId="berschrift2">
    <w:name w:val="heading 2"/>
    <w:uiPriority w:val="9"/>
    <w:unhideWhenUsed/>
    <w:qFormat/>
    <w:pPr>
      <w:spacing w:before="120" w:after="60"/>
      <w:outlineLvl w:val="1"/>
    </w:pPr>
    <w:rPr>
      <w:rFonts w:ascii="Georgia" w:eastAsia="Georgia" w:hAnsi="Georgia" w:cs="Georgia"/>
      <w:b/>
      <w:bCs/>
      <w:color w:val="1B3A6B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145F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9145F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145FD"/>
    <w:pPr>
      <w:spacing w:after="100"/>
      <w:ind w:left="220"/>
    </w:pPr>
  </w:style>
  <w:style w:type="paragraph" w:styleId="Kopfzeile">
    <w:name w:val="header"/>
    <w:basedOn w:val="Standard"/>
    <w:link w:val="KopfzeileZchn"/>
    <w:uiPriority w:val="99"/>
    <w:unhideWhenUsed/>
    <w:rsid w:val="00FA792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A7922"/>
  </w:style>
  <w:style w:type="paragraph" w:styleId="Fuzeile">
    <w:name w:val="footer"/>
    <w:basedOn w:val="Standard"/>
    <w:link w:val="FuzeileZchn"/>
    <w:uiPriority w:val="99"/>
    <w:unhideWhenUsed/>
    <w:rsid w:val="00FA792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A7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7BD67-729C-486A-9F4B-E06519DFA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1651</Words>
  <Characters>12443</Characters>
  <Application>Microsoft Office Word</Application>
  <DocSecurity>0</DocSecurity>
  <Lines>533</Lines>
  <Paragraphs>301</Paragraphs>
  <ScaleCrop>false</ScaleCrop>
  <Company/>
  <LinksUpToDate>false</LinksUpToDate>
  <CharactersWithSpaces>13923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15</cp:revision>
  <cp:lastPrinted>2026-04-05T09:34:00Z</cp:lastPrinted>
  <dcterms:created xsi:type="dcterms:W3CDTF">2026-03-18T10:35:00Z</dcterms:created>
  <dcterms:modified xsi:type="dcterms:W3CDTF">2026-04-05T09:34:00Z</dcterms:modified>
</cp:coreProperties>
</file>