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5CCB" w14:textId="77777777" w:rsidR="00FC6733" w:rsidRPr="002D037B" w:rsidRDefault="00892948">
      <w:pPr>
        <w:shd w:val="clear" w:color="auto" w:fill="1B3A6B"/>
        <w:rPr>
          <w:lang w:val="de-AT"/>
        </w:rPr>
      </w:pPr>
      <w:r>
        <w:rPr>
          <w:sz w:val="40"/>
          <w:szCs w:val="40"/>
          <w:lang w:val="de-AT"/>
        </w:rPr>
        <w:t xml:space="preserve"> </w:t>
      </w:r>
    </w:p>
    <w:p w14:paraId="63EE5CCC" w14:textId="77777777" w:rsidR="00FC6733" w:rsidRPr="002D037B" w:rsidRDefault="00892948">
      <w:pPr>
        <w:shd w:val="clear" w:color="auto" w:fill="1B3A6B"/>
        <w:jc w:val="center"/>
        <w:rPr>
          <w:lang w:val="de-AT"/>
        </w:rPr>
      </w:pPr>
      <w:r>
        <w:rPr>
          <w:rFonts w:ascii="Georgia" w:eastAsia="Georgia" w:hAnsi="Georgia" w:cs="Georgia"/>
          <w:b/>
          <w:bCs/>
          <w:color w:val="FFFFFF"/>
          <w:sz w:val="80"/>
          <w:szCs w:val="80"/>
          <w:lang w:val="de-AT"/>
        </w:rPr>
        <w:t>ChronoGrid</w:t>
      </w:r>
    </w:p>
    <w:p w14:paraId="63EE5CCD" w14:textId="77777777" w:rsidR="00FC6733" w:rsidRPr="002D037B" w:rsidRDefault="00892948">
      <w:pPr>
        <w:shd w:val="clear" w:color="auto" w:fill="1B3A6B"/>
        <w:jc w:val="center"/>
        <w:rPr>
          <w:lang w:val="de-AT"/>
        </w:rPr>
      </w:pPr>
      <w:r>
        <w:rPr>
          <w:rFonts w:ascii="Georgia" w:eastAsia="Georgia" w:hAnsi="Georgia" w:cs="Georgia"/>
          <w:color w:val="17A589"/>
          <w:sz w:val="40"/>
          <w:szCs w:val="40"/>
          <w:lang w:val="de-AT"/>
        </w:rPr>
        <w:t>Anwendungsanalyse</w:t>
      </w:r>
    </w:p>
    <w:p w14:paraId="63EE5CCE" w14:textId="77777777" w:rsidR="00FC6733" w:rsidRPr="002D037B" w:rsidRDefault="00892948">
      <w:pPr>
        <w:shd w:val="clear" w:color="auto" w:fill="1B3A6B"/>
        <w:jc w:val="center"/>
        <w:rPr>
          <w:lang w:val="de-AT"/>
        </w:rPr>
      </w:pPr>
      <w:r>
        <w:rPr>
          <w:rFonts w:ascii="Calibri" w:eastAsia="Calibri" w:hAnsi="Calibri" w:cs="Calibri"/>
          <w:color w:val="B0C4D8"/>
          <w:lang w:val="de-AT"/>
        </w:rPr>
        <w:t>Problemfelder inkompatibler Zeitdarstellung in Informatik  ·  Ingenieurwesen  ·  Recht  ·  Wissenschaft</w:t>
      </w:r>
    </w:p>
    <w:p w14:paraId="63EE5CCF" w14:textId="77777777" w:rsidR="00FC6733" w:rsidRPr="002D037B" w:rsidRDefault="00892948">
      <w:pPr>
        <w:shd w:val="clear" w:color="auto" w:fill="1B3A6B"/>
        <w:spacing w:before="120"/>
        <w:jc w:val="center"/>
        <w:rPr>
          <w:lang w:val="de-AT"/>
        </w:rPr>
      </w:pPr>
      <w:r>
        <w:rPr>
          <w:rFonts w:ascii="Calibri" w:eastAsia="Calibri" w:hAnsi="Calibri" w:cs="Calibri"/>
          <w:color w:val="B0C4D8"/>
          <w:lang w:val="de-AT"/>
        </w:rPr>
        <w:t>CG-APP-0100-2026  ·  Version 1.8  ·  April 2026  ·  Anhang E: Kanonische Problem-Szenarien (S1–S11)</w:t>
      </w:r>
    </w:p>
    <w:p w14:paraId="63EE5CD0" w14:textId="77777777" w:rsidR="00FC6733" w:rsidRPr="002D037B" w:rsidRDefault="00892948">
      <w:pPr>
        <w:shd w:val="clear" w:color="auto" w:fill="1B3A6B"/>
        <w:jc w:val="center"/>
        <w:rPr>
          <w:lang w:val="de-AT"/>
        </w:rPr>
      </w:pPr>
      <w:r>
        <w:rPr>
          <w:rFonts w:ascii="Calibri" w:eastAsia="Calibri" w:hAnsi="Calibri" w:cs="Calibri"/>
          <w:color w:val="B0C4D8"/>
          <w:lang w:val="de-AT"/>
        </w:rPr>
        <w:t>Herausgeber: ChronoGrid Systems</w:t>
      </w:r>
    </w:p>
    <w:p w14:paraId="63EE5CD1" w14:textId="77777777" w:rsidR="00FC6733" w:rsidRPr="002D037B" w:rsidRDefault="00892948">
      <w:pPr>
        <w:shd w:val="clear" w:color="auto" w:fill="1B3A6B"/>
        <w:jc w:val="center"/>
        <w:rPr>
          <w:lang w:val="de-AT"/>
        </w:rPr>
      </w:pPr>
      <w:r>
        <w:rPr>
          <w:rFonts w:ascii="Calibri" w:eastAsia="Calibri" w:hAnsi="Calibri" w:cs="Calibri"/>
          <w:color w:val="B0C4D8"/>
          <w:lang w:val="de-AT"/>
        </w:rPr>
        <w:t>Autor: Kurt  ·  Founder &amp; Lead Architect  ·  Neunkirchen, Niederösterreich</w:t>
      </w:r>
    </w:p>
    <w:p w14:paraId="63EE5CD2" w14:textId="77777777" w:rsidR="00FC6733" w:rsidRPr="002D037B" w:rsidRDefault="00892948">
      <w:pPr>
        <w:shd w:val="clear" w:color="auto" w:fill="1B3A6B"/>
        <w:jc w:val="center"/>
        <w:rPr>
          <w:lang w:val="de-AT"/>
        </w:rPr>
      </w:pPr>
      <w:r>
        <w:rPr>
          <w:rFonts w:ascii="Calibri" w:eastAsia="Calibri" w:hAnsi="Calibri" w:cs="Calibri"/>
          <w:color w:val="17A589"/>
          <w:lang w:val="de-AT"/>
        </w:rPr>
        <w:t>Dokumentstatus: Freigegeben  ·  Versioniert  ·  Anwendungsdokument</w:t>
      </w:r>
    </w:p>
    <w:p w14:paraId="63EE5CD3" w14:textId="77777777" w:rsidR="00FC6733" w:rsidRPr="002D037B" w:rsidRDefault="00892948">
      <w:pPr>
        <w:shd w:val="clear" w:color="auto" w:fill="1B3A6B"/>
        <w:rPr>
          <w:lang w:val="de-AT"/>
        </w:rPr>
      </w:pPr>
      <w:r>
        <w:rPr>
          <w:sz w:val="40"/>
          <w:szCs w:val="40"/>
          <w:lang w:val="de-AT"/>
        </w:rPr>
        <w:t xml:space="preserve"> </w:t>
      </w:r>
    </w:p>
    <w:p w14:paraId="63EE5CD4" w14:textId="77777777" w:rsidR="00FC6733" w:rsidRPr="008D0539" w:rsidRDefault="00892948">
      <w:pPr>
        <w:rPr>
          <w:lang w:val="de-AT"/>
        </w:rPr>
      </w:pPr>
      <w:r>
        <w:rPr>
          <w:b/>
          <w:color w:val="1F4E79"/>
          <w:lang w:val="de-AT"/>
        </w:rPr>
        <w:t>Zusammenfassung</w:t>
      </w:r>
    </w:p>
    <w:p w14:paraId="63EE5CD5" w14:textId="259B98EA" w:rsidR="00FC6733" w:rsidRPr="008D0539" w:rsidRDefault="00892948">
      <w:pPr>
        <w:rPr>
          <w:lang w:val="de-AT"/>
        </w:rPr>
      </w:pPr>
      <w:r>
        <w:rPr>
          <w:color w:val="555555"/>
          <w:sz w:val="21"/>
          <w:lang w:val="de-AT"/>
        </w:rPr>
        <w:t>Das vorliegende Dokument analysiert die Problemfelder, die aus der fehlenden Standardisierung von Zeitdarstellung, Zeitarithmetik und Zeitzonensemantik in digitalen Systemen resultieren. Es werden neun Anwendungsdomänen untersucht: Informatik-Infrastruktur, Softwareentwicklung, mathematische und wissenschaftliche Berechnungen, Online-Anwendungen, Energiewirtschaft, Rechtswesen, industrielle Fertigung ,Medienproduktion und Wissenschaft sowie Flugverkehr Luftraummanagement. Für jede Domäne werden konkrete technische Defizite bestehender Standards dokumentiert und der potenzielle Beitrag eines universellen Zeitreferenzstandards (ChronoGrid) beschrieben.</w:t>
      </w:r>
    </w:p>
    <w:p w14:paraId="63EE5CD6" w14:textId="77777777" w:rsidR="00FC6733" w:rsidRPr="008D0539" w:rsidRDefault="00892948">
      <w:pPr>
        <w:rPr>
          <w:lang w:val="de-AT"/>
        </w:rPr>
      </w:pPr>
      <w:r>
        <w:rPr>
          <w:lang w:val="de-AT"/>
        </w:rPr>
        <w:br w:type="page"/>
      </w:r>
    </w:p>
    <w:bookmarkStart w:id="0" w:name="inhaltsverzeichnis" w:displacedByCustomXml="next"/>
    <w:sdt>
      <w:sdtPr>
        <w:rPr>
          <w:rFonts w:asciiTheme="minorHAnsi" w:eastAsiaTheme="minorEastAsia" w:hAnsiTheme="minorHAnsi" w:cstheme="minorBidi"/>
          <w:b w:val="0"/>
          <w:bCs w:val="0"/>
          <w:color w:val="auto"/>
          <w:sz w:val="22"/>
          <w:szCs w:val="22"/>
          <w:lang w:val="de-DE"/>
        </w:rPr>
        <w:id w:val="-1480377087"/>
        <w:docPartObj>
          <w:docPartGallery w:val="Table of Contents"/>
          <w:docPartUnique/>
        </w:docPartObj>
      </w:sdtPr>
      <w:sdtContent>
        <w:p w14:paraId="6C1CC062" w14:textId="159D7018" w:rsidR="000944C9" w:rsidRDefault="000944C9">
          <w:pPr>
            <w:pStyle w:val="Inhaltsverzeichnisberschrift"/>
          </w:pPr>
          <w:r>
            <w:rPr>
              <w:lang w:val="de-DE"/>
            </w:rPr>
            <w:t>Inhaltsverzeichnis</w:t>
          </w:r>
        </w:p>
        <w:p w14:paraId="55E23258" w14:textId="2B809787" w:rsidR="003B732C" w:rsidRDefault="000944C9">
          <w:pPr>
            <w:pStyle w:val="Verzeichnis1"/>
            <w:tabs>
              <w:tab w:val="right" w:leader="dot" w:pos="9062"/>
            </w:tabs>
            <w:rPr>
              <w:noProof/>
              <w:kern w:val="2"/>
              <w:sz w:val="24"/>
              <w:szCs w:val="24"/>
              <w:lang w:val="de-AT" w:eastAsia="de-AT"/>
              <w14:ligatures w14:val="standardContextual"/>
            </w:rPr>
          </w:pPr>
          <w:r>
            <w:fldChar w:fldCharType="begin"/>
            <w:instrText xml:space="preserve"> TOC \o "1-3" \h \z \u </w:instrText>
            <w:fldChar w:fldCharType="separate"/>
          </w:r>
          <w:hyperlink w:anchor="_Toc226451878" w:history="1">
            <w:r>
              <w:rPr>
                <w:rStyle w:val="Hyperlink"/>
                <w:noProof/>
                <w:lang w:val="de-AT"/>
              </w:rPr>
              <w:t>Teil I: Datenkomprimierung, Datenbanken und Systemarchitektur</w:t>
            </w:r>
            <w:r>
              <w:rPr>
                <w:noProof/>
                <w:webHidden/>
              </w:rPr>
              <w:tab/>
              <w:fldChar w:fldCharType="begin"/>
              <w:instrText xml:space="preserve"> PAGEREF _Toc226451878 \h </w:instrText>
              <w:fldChar w:fldCharType="separate"/>
              <w:t>1</w:t>
              <w:fldChar w:fldCharType="end"/>
            </w:r>
          </w:hyperlink>
        </w:p>
        <w:p w14:paraId="61B24A36" w14:textId="1F4EE644" w:rsidR="003B732C" w:rsidRDefault="003B732C">
          <w:pPr>
            <w:pStyle w:val="Verzeichnis2"/>
            <w:tabs>
              <w:tab w:val="right" w:leader="dot" w:pos="9062"/>
            </w:tabs>
            <w:rPr>
              <w:noProof/>
              <w:kern w:val="2"/>
              <w:sz w:val="24"/>
              <w:szCs w:val="24"/>
              <w:lang w:val="de-AT" w:eastAsia="de-AT"/>
              <w14:ligatures w14:val="standardContextual"/>
            </w:rPr>
          </w:pPr>
          <w:hyperlink w:anchor="_Toc226451879" w:history="1">
            <w:r>
              <w:rPr>
                <w:rStyle w:val="Hyperlink"/>
                <w:noProof/>
                <w:lang w:val="de-AT"/>
              </w:rPr>
              <w:t>1 Technisch-akademische Analyse</w:t>
            </w:r>
            <w:r>
              <w:rPr>
                <w:noProof/>
                <w:webHidden/>
              </w:rPr>
              <w:tab/>
              <w:fldChar w:fldCharType="begin"/>
              <w:instrText xml:space="preserve"> PAGEREF _Toc226451879 \h </w:instrText>
              <w:fldChar w:fldCharType="separate"/>
              <w:t>1</w:t>
              <w:fldChar w:fldCharType="end"/>
            </w:r>
          </w:hyperlink>
        </w:p>
        <w:p w14:paraId="0FD5D735" w14:textId="4C1BE569" w:rsidR="003B732C" w:rsidRDefault="003B732C">
          <w:pPr>
            <w:pStyle w:val="Verzeichnis3"/>
            <w:tabs>
              <w:tab w:val="right" w:leader="dot" w:pos="9062"/>
            </w:tabs>
            <w:rPr>
              <w:noProof/>
              <w:kern w:val="2"/>
              <w:sz w:val="24"/>
              <w:szCs w:val="24"/>
              <w:lang w:val="de-AT" w:eastAsia="de-AT"/>
              <w14:ligatures w14:val="standardContextual"/>
            </w:rPr>
          </w:pPr>
          <w:hyperlink w:anchor="_Toc226451880" w:history="1">
            <w:r>
              <w:rPr>
                <w:rStyle w:val="Hyperlink"/>
                <w:noProof/>
                <w:lang w:val="de-AT"/>
              </w:rPr>
              <w:t>1.1 Datenkomprimierung</w:t>
            </w:r>
            <w:r>
              <w:rPr>
                <w:noProof/>
                <w:webHidden/>
              </w:rPr>
              <w:tab/>
              <w:fldChar w:fldCharType="begin"/>
              <w:instrText xml:space="preserve"> PAGEREF _Toc226451880 \h </w:instrText>
              <w:fldChar w:fldCharType="separate"/>
              <w:t>1</w:t>
              <w:fldChar w:fldCharType="end"/>
            </w:r>
          </w:hyperlink>
        </w:p>
        <w:p w14:paraId="19ADBAB6" w14:textId="67B042F5" w:rsidR="003B732C" w:rsidRDefault="003B732C">
          <w:pPr>
            <w:pStyle w:val="Verzeichnis3"/>
            <w:tabs>
              <w:tab w:val="right" w:leader="dot" w:pos="9062"/>
            </w:tabs>
            <w:rPr>
              <w:noProof/>
              <w:kern w:val="2"/>
              <w:sz w:val="24"/>
              <w:szCs w:val="24"/>
              <w:lang w:val="de-AT" w:eastAsia="de-AT"/>
              <w14:ligatures w14:val="standardContextual"/>
            </w:rPr>
          </w:pPr>
          <w:hyperlink w:anchor="_Toc226451881" w:history="1">
            <w:r>
              <w:rPr>
                <w:rStyle w:val="Hyperlink"/>
                <w:noProof/>
                <w:lang w:val="de-AT"/>
              </w:rPr>
              <w:t>1.2 Datenbankindexierung und Abfrageoptimierung</w:t>
            </w:r>
            <w:r>
              <w:rPr>
                <w:noProof/>
                <w:webHidden/>
              </w:rPr>
              <w:tab/>
              <w:fldChar w:fldCharType="begin"/>
              <w:instrText xml:space="preserve"> PAGEREF _Toc226451881 \h </w:instrText>
              <w:fldChar w:fldCharType="separate"/>
              <w:t>1</w:t>
              <w:fldChar w:fldCharType="end"/>
            </w:r>
          </w:hyperlink>
        </w:p>
        <w:p w14:paraId="38E0A345" w14:textId="241E9EEE" w:rsidR="003B732C" w:rsidRDefault="003B732C">
          <w:pPr>
            <w:pStyle w:val="Verzeichnis3"/>
            <w:tabs>
              <w:tab w:val="right" w:leader="dot" w:pos="9062"/>
            </w:tabs>
            <w:rPr>
              <w:noProof/>
              <w:kern w:val="2"/>
              <w:sz w:val="24"/>
              <w:szCs w:val="24"/>
              <w:lang w:val="de-AT" w:eastAsia="de-AT"/>
              <w14:ligatures w14:val="standardContextual"/>
            </w:rPr>
          </w:pPr>
          <w:hyperlink w:anchor="_Toc226451882" w:history="1">
            <w:r>
              <w:rPr>
                <w:rStyle w:val="Hyperlink"/>
                <w:noProof/>
                <w:lang w:val="de-AT"/>
              </w:rPr>
              <w:t>1.3 Verteilte Systeme und Kausalität</w:t>
            </w:r>
            <w:r>
              <w:rPr>
                <w:noProof/>
                <w:webHidden/>
              </w:rPr>
              <w:tab/>
              <w:fldChar w:fldCharType="begin"/>
              <w:instrText xml:space="preserve"> PAGEREF _Toc226451882 \h </w:instrText>
              <w:fldChar w:fldCharType="separate"/>
              <w:t>1</w:t>
              <w:fldChar w:fldCharType="end"/>
            </w:r>
          </w:hyperlink>
        </w:p>
        <w:p w14:paraId="1CE46F07" w14:textId="04DB81DC" w:rsidR="003B732C" w:rsidRDefault="003B732C">
          <w:pPr>
            <w:pStyle w:val="Verzeichnis3"/>
            <w:tabs>
              <w:tab w:val="right" w:leader="dot" w:pos="9062"/>
            </w:tabs>
            <w:rPr>
              <w:noProof/>
              <w:kern w:val="2"/>
              <w:sz w:val="24"/>
              <w:szCs w:val="24"/>
              <w:lang w:val="de-AT" w:eastAsia="de-AT"/>
              <w14:ligatures w14:val="standardContextual"/>
            </w:rPr>
          </w:pPr>
          <w:hyperlink w:anchor="_Toc226451883" w:history="1">
            <w:r>
              <w:rPr>
                <w:rStyle w:val="Hyperlink"/>
                <w:noProof/>
                <w:lang w:val="de-AT"/>
              </w:rPr>
              <w:t>1.4 Cybersecurity und Log-Forensik</w:t>
            </w:r>
            <w:r>
              <w:rPr>
                <w:noProof/>
                <w:webHidden/>
              </w:rPr>
              <w:tab/>
              <w:fldChar w:fldCharType="begin"/>
              <w:instrText xml:space="preserve"> PAGEREF _Toc226451883 \h </w:instrText>
              <w:fldChar w:fldCharType="separate"/>
              <w:t>2</w:t>
              <w:fldChar w:fldCharType="end"/>
            </w:r>
          </w:hyperlink>
        </w:p>
        <w:p w14:paraId="028414AC" w14:textId="600C3E54" w:rsidR="003B732C" w:rsidRDefault="003B732C">
          <w:pPr>
            <w:pStyle w:val="Verzeichnis3"/>
            <w:tabs>
              <w:tab w:val="right" w:leader="dot" w:pos="9062"/>
            </w:tabs>
            <w:rPr>
              <w:noProof/>
              <w:kern w:val="2"/>
              <w:sz w:val="24"/>
              <w:szCs w:val="24"/>
              <w:lang w:val="de-AT" w:eastAsia="de-AT"/>
              <w14:ligatures w14:val="standardContextual"/>
            </w:rPr>
          </w:pPr>
          <w:hyperlink w:anchor="_Toc226451884" w:history="1">
            <w:r>
              <w:rPr>
                <w:rStyle w:val="Hyperlink"/>
                <w:noProof/>
              </w:rPr>
              <w:t>1.5 Wissenschaftliche Reproduzierbarkeit</w:t>
            </w:r>
            <w:r>
              <w:rPr>
                <w:noProof/>
                <w:webHidden/>
              </w:rPr>
              <w:tab/>
              <w:fldChar w:fldCharType="begin"/>
              <w:instrText xml:space="preserve"> PAGEREF _Toc226451884 \h </w:instrText>
              <w:fldChar w:fldCharType="separate"/>
              <w:t>2</w:t>
              <w:fldChar w:fldCharType="end"/>
            </w:r>
          </w:hyperlink>
        </w:p>
        <w:p w14:paraId="2019B5A5" w14:textId="71493C7C" w:rsidR="003B732C" w:rsidRDefault="003B732C">
          <w:pPr>
            <w:pStyle w:val="Verzeichnis3"/>
            <w:tabs>
              <w:tab w:val="right" w:leader="dot" w:pos="9062"/>
            </w:tabs>
            <w:rPr>
              <w:noProof/>
              <w:kern w:val="2"/>
              <w:sz w:val="24"/>
              <w:szCs w:val="24"/>
              <w:lang w:val="de-AT" w:eastAsia="de-AT"/>
              <w14:ligatures w14:val="standardContextual"/>
            </w:rPr>
          </w:pPr>
          <w:hyperlink w:anchor="_Toc226451885" w:history="1">
            <w:r>
              <w:rPr>
                <w:rStyle w:val="Hyperlink"/>
                <w:noProof/>
                <w:lang w:val="de-AT"/>
              </w:rPr>
              <w:t>1.6 Smart Contracts und Blockchain</w:t>
            </w:r>
            <w:r>
              <w:rPr>
                <w:noProof/>
                <w:webHidden/>
              </w:rPr>
              <w:tab/>
              <w:fldChar w:fldCharType="begin"/>
              <w:instrText xml:space="preserve"> PAGEREF _Toc226451885 \h </w:instrText>
              <w:fldChar w:fldCharType="separate"/>
              <w:t>2</w:t>
              <w:fldChar w:fldCharType="end"/>
            </w:r>
          </w:hyperlink>
        </w:p>
        <w:p w14:paraId="155A4666" w14:textId="6AAB0653" w:rsidR="003B732C" w:rsidRDefault="003B732C">
          <w:pPr>
            <w:pStyle w:val="Verzeichnis1"/>
            <w:tabs>
              <w:tab w:val="right" w:leader="dot" w:pos="9062"/>
            </w:tabs>
            <w:rPr>
              <w:noProof/>
              <w:kern w:val="2"/>
              <w:sz w:val="24"/>
              <w:szCs w:val="24"/>
              <w:lang w:val="de-AT" w:eastAsia="de-AT"/>
              <w14:ligatures w14:val="standardContextual"/>
            </w:rPr>
          </w:pPr>
          <w:hyperlink w:anchor="_Toc226451886" w:history="1">
            <w:r>
              <w:rPr>
                <w:rStyle w:val="Hyperlink"/>
                <w:noProof/>
                <w:lang w:val="de-AT"/>
              </w:rPr>
              <w:t>Teil II: Softwareentwicklung, Programmiersprachen und Kalender-Interoperabilität</w:t>
            </w:r>
            <w:r>
              <w:rPr>
                <w:noProof/>
                <w:webHidden/>
              </w:rPr>
              <w:tab/>
              <w:fldChar w:fldCharType="begin"/>
              <w:instrText xml:space="preserve"> PAGEREF _Toc226451886 \h </w:instrText>
              <w:fldChar w:fldCharType="separate"/>
              <w:t>3</w:t>
              <w:fldChar w:fldCharType="end"/>
            </w:r>
          </w:hyperlink>
        </w:p>
        <w:p w14:paraId="434B7E29" w14:textId="37D3390D" w:rsidR="003B732C" w:rsidRDefault="003B732C">
          <w:pPr>
            <w:pStyle w:val="Verzeichnis2"/>
            <w:tabs>
              <w:tab w:val="right" w:leader="dot" w:pos="9062"/>
            </w:tabs>
            <w:rPr>
              <w:noProof/>
              <w:kern w:val="2"/>
              <w:sz w:val="24"/>
              <w:szCs w:val="24"/>
              <w:lang w:val="de-AT" w:eastAsia="de-AT"/>
              <w14:ligatures w14:val="standardContextual"/>
            </w:rPr>
          </w:pPr>
          <w:hyperlink w:anchor="_Toc226451887" w:history="1">
            <w:r>
              <w:rPr>
                <w:rStyle w:val="Hyperlink"/>
                <w:noProof/>
                <w:lang w:val="de-AT"/>
              </w:rPr>
              <w:t>2 Das Zeitproblem in Programmiersprachen</w:t>
            </w:r>
            <w:r>
              <w:rPr>
                <w:noProof/>
                <w:webHidden/>
              </w:rPr>
              <w:tab/>
              <w:fldChar w:fldCharType="begin"/>
              <w:instrText xml:space="preserve"> PAGEREF _Toc226451887 \h </w:instrText>
              <w:fldChar w:fldCharType="separate"/>
              <w:t>3</w:t>
              <w:fldChar w:fldCharType="end"/>
            </w:r>
          </w:hyperlink>
        </w:p>
        <w:p w14:paraId="4233D332" w14:textId="6C5E7E03" w:rsidR="003B732C" w:rsidRDefault="003B732C">
          <w:pPr>
            <w:pStyle w:val="Verzeichnis3"/>
            <w:tabs>
              <w:tab w:val="right" w:leader="dot" w:pos="9062"/>
            </w:tabs>
            <w:rPr>
              <w:noProof/>
              <w:kern w:val="2"/>
              <w:sz w:val="24"/>
              <w:szCs w:val="24"/>
              <w:lang w:val="de-AT" w:eastAsia="de-AT"/>
              <w14:ligatures w14:val="standardContextual"/>
            </w:rPr>
          </w:pPr>
          <w:hyperlink w:anchor="_Toc226451888" w:history="1">
            <w:r>
              <w:rPr>
                <w:rStyle w:val="Hyperlink"/>
                <w:noProof/>
                <w:lang w:val="de-AT"/>
              </w:rPr>
              <w:t>2.1 JavaScript / TypeScript</w:t>
            </w:r>
            <w:r>
              <w:rPr>
                <w:noProof/>
                <w:webHidden/>
              </w:rPr>
              <w:tab/>
              <w:fldChar w:fldCharType="begin"/>
              <w:instrText xml:space="preserve"> PAGEREF _Toc226451888 \h </w:instrText>
              <w:fldChar w:fldCharType="separate"/>
              <w:t>3</w:t>
              <w:fldChar w:fldCharType="end"/>
            </w:r>
          </w:hyperlink>
        </w:p>
        <w:p w14:paraId="5939F902" w14:textId="460AC909" w:rsidR="003B732C" w:rsidRDefault="003B732C">
          <w:pPr>
            <w:pStyle w:val="Verzeichnis3"/>
            <w:tabs>
              <w:tab w:val="right" w:leader="dot" w:pos="9062"/>
            </w:tabs>
            <w:rPr>
              <w:noProof/>
              <w:kern w:val="2"/>
              <w:sz w:val="24"/>
              <w:szCs w:val="24"/>
              <w:lang w:val="de-AT" w:eastAsia="de-AT"/>
              <w14:ligatures w14:val="standardContextual"/>
            </w:rPr>
          </w:pPr>
          <w:hyperlink w:anchor="_Toc226451889" w:history="1">
            <w:r>
              <w:rPr>
                <w:rStyle w:val="Hyperlink"/>
                <w:noProof/>
                <w:lang w:val="de-AT"/>
              </w:rPr>
              <w:t>2.2 Python</w:t>
            </w:r>
            <w:r>
              <w:rPr>
                <w:noProof/>
                <w:webHidden/>
              </w:rPr>
              <w:tab/>
              <w:fldChar w:fldCharType="begin"/>
              <w:instrText xml:space="preserve"> PAGEREF _Toc226451889 \h </w:instrText>
              <w:fldChar w:fldCharType="separate"/>
              <w:t>3</w:t>
              <w:fldChar w:fldCharType="end"/>
            </w:r>
          </w:hyperlink>
        </w:p>
        <w:p w14:paraId="2012A562" w14:textId="759D1581" w:rsidR="003B732C" w:rsidRDefault="003B732C">
          <w:pPr>
            <w:pStyle w:val="Verzeichnis3"/>
            <w:tabs>
              <w:tab w:val="right" w:leader="dot" w:pos="9062"/>
            </w:tabs>
            <w:rPr>
              <w:noProof/>
              <w:kern w:val="2"/>
              <w:sz w:val="24"/>
              <w:szCs w:val="24"/>
              <w:lang w:val="de-AT" w:eastAsia="de-AT"/>
              <w14:ligatures w14:val="standardContextual"/>
            </w:rPr>
          </w:pPr>
          <w:hyperlink w:anchor="_Toc226451890" w:history="1">
            <w:r>
              <w:rPr>
                <w:rStyle w:val="Hyperlink"/>
                <w:noProof/>
              </w:rPr>
              <w:t>2.3 Java / Kotlin</w:t>
            </w:r>
            <w:r>
              <w:rPr>
                <w:noProof/>
                <w:webHidden/>
              </w:rPr>
              <w:tab/>
              <w:fldChar w:fldCharType="begin"/>
              <w:instrText xml:space="preserve"> PAGEREF _Toc226451890 \h </w:instrText>
              <w:fldChar w:fldCharType="separate"/>
              <w:t>3</w:t>
              <w:fldChar w:fldCharType="end"/>
            </w:r>
          </w:hyperlink>
        </w:p>
        <w:p w14:paraId="065F6A69" w14:textId="3E79598A" w:rsidR="003B732C" w:rsidRDefault="003B732C">
          <w:pPr>
            <w:pStyle w:val="Verzeichnis3"/>
            <w:tabs>
              <w:tab w:val="right" w:leader="dot" w:pos="9062"/>
            </w:tabs>
            <w:rPr>
              <w:noProof/>
              <w:kern w:val="2"/>
              <w:sz w:val="24"/>
              <w:szCs w:val="24"/>
              <w:lang w:val="de-AT" w:eastAsia="de-AT"/>
              <w14:ligatures w14:val="standardContextual"/>
            </w:rPr>
          </w:pPr>
          <w:hyperlink w:anchor="_Toc226451891" w:history="1">
            <w:r>
              <w:rPr>
                <w:rStyle w:val="Hyperlink"/>
                <w:noProof/>
                <w:lang w:val="de-AT"/>
              </w:rPr>
              <w:t>2.4 C / C++</w:t>
            </w:r>
            <w:r>
              <w:rPr>
                <w:noProof/>
                <w:webHidden/>
              </w:rPr>
              <w:tab/>
              <w:fldChar w:fldCharType="begin"/>
              <w:instrText xml:space="preserve"> PAGEREF _Toc226451891 \h </w:instrText>
              <w:fldChar w:fldCharType="separate"/>
              <w:t>4</w:t>
              <w:fldChar w:fldCharType="end"/>
            </w:r>
          </w:hyperlink>
        </w:p>
        <w:p w14:paraId="1581EE67" w14:textId="7D2F1990" w:rsidR="003B732C" w:rsidRDefault="003B732C">
          <w:pPr>
            <w:pStyle w:val="Verzeichnis3"/>
            <w:tabs>
              <w:tab w:val="right" w:leader="dot" w:pos="9062"/>
            </w:tabs>
            <w:rPr>
              <w:noProof/>
              <w:kern w:val="2"/>
              <w:sz w:val="24"/>
              <w:szCs w:val="24"/>
              <w:lang w:val="de-AT" w:eastAsia="de-AT"/>
              <w14:ligatures w14:val="standardContextual"/>
            </w:rPr>
          </w:pPr>
          <w:hyperlink w:anchor="_Toc226451892" w:history="1">
            <w:r>
              <w:rPr>
                <w:rStyle w:val="Hyperlink"/>
                <w:noProof/>
              </w:rPr>
              <w:t>2.5 SQL-Datenbanken</w:t>
            </w:r>
            <w:r>
              <w:rPr>
                <w:noProof/>
                <w:webHidden/>
              </w:rPr>
              <w:tab/>
              <w:fldChar w:fldCharType="begin"/>
              <w:instrText xml:space="preserve"> PAGEREF _Toc226451892 \h </w:instrText>
              <w:fldChar w:fldCharType="separate"/>
              <w:t>4</w:t>
              <w:fldChar w:fldCharType="end"/>
            </w:r>
          </w:hyperlink>
        </w:p>
        <w:p w14:paraId="34A397FF" w14:textId="4E90E4B4" w:rsidR="003B732C" w:rsidRDefault="003B732C">
          <w:pPr>
            <w:pStyle w:val="Verzeichnis2"/>
            <w:tabs>
              <w:tab w:val="right" w:leader="dot" w:pos="9062"/>
            </w:tabs>
            <w:rPr>
              <w:noProof/>
              <w:kern w:val="2"/>
              <w:sz w:val="24"/>
              <w:szCs w:val="24"/>
              <w:lang w:val="de-AT" w:eastAsia="de-AT"/>
              <w14:ligatures w14:val="standardContextual"/>
            </w:rPr>
          </w:pPr>
          <w:hyperlink w:anchor="_Toc226451893" w:history="1">
            <w:r>
              <w:rPr>
                <w:rStyle w:val="Hyperlink"/>
                <w:noProof/>
                <w:lang w:val="de-AT"/>
              </w:rPr>
              <w:t>3 APIs, Datenformate und Entwicklungsinfrastruktur</w:t>
            </w:r>
            <w:r>
              <w:rPr>
                <w:noProof/>
                <w:webHidden/>
              </w:rPr>
              <w:tab/>
              <w:fldChar w:fldCharType="begin"/>
              <w:instrText xml:space="preserve"> PAGEREF _Toc226451893 \h </w:instrText>
              <w:fldChar w:fldCharType="separate"/>
              <w:t>5</w:t>
              <w:fldChar w:fldCharType="end"/>
            </w:r>
          </w:hyperlink>
        </w:p>
        <w:p w14:paraId="030ADC6B" w14:textId="262CF1A6" w:rsidR="003B732C" w:rsidRDefault="003B732C">
          <w:pPr>
            <w:pStyle w:val="Verzeichnis3"/>
            <w:tabs>
              <w:tab w:val="right" w:leader="dot" w:pos="9062"/>
            </w:tabs>
            <w:rPr>
              <w:noProof/>
              <w:kern w:val="2"/>
              <w:sz w:val="24"/>
              <w:szCs w:val="24"/>
              <w:lang w:val="de-AT" w:eastAsia="de-AT"/>
              <w14:ligatures w14:val="standardContextual"/>
            </w:rPr>
          </w:pPr>
          <w:hyperlink w:anchor="_Toc226451894" w:history="1">
            <w:r>
              <w:rPr>
                <w:rStyle w:val="Hyperlink"/>
                <w:noProof/>
                <w:lang w:val="de-AT"/>
              </w:rPr>
              <w:t>3.1 REST und GraphQL APIs</w:t>
            </w:r>
            <w:r>
              <w:rPr>
                <w:noProof/>
                <w:webHidden/>
              </w:rPr>
              <w:tab/>
              <w:fldChar w:fldCharType="begin"/>
              <w:instrText xml:space="preserve"> PAGEREF _Toc226451894 \h </w:instrText>
              <w:fldChar w:fldCharType="separate"/>
              <w:t>5</w:t>
              <w:fldChar w:fldCharType="end"/>
            </w:r>
          </w:hyperlink>
        </w:p>
        <w:p w14:paraId="52B6B2FC" w14:textId="074B8B9C" w:rsidR="003B732C" w:rsidRDefault="003B732C">
          <w:pPr>
            <w:pStyle w:val="Verzeichnis3"/>
            <w:tabs>
              <w:tab w:val="right" w:leader="dot" w:pos="9062"/>
            </w:tabs>
            <w:rPr>
              <w:noProof/>
              <w:kern w:val="2"/>
              <w:sz w:val="24"/>
              <w:szCs w:val="24"/>
              <w:lang w:val="de-AT" w:eastAsia="de-AT"/>
              <w14:ligatures w14:val="standardContextual"/>
            </w:rPr>
          </w:pPr>
          <w:hyperlink w:anchor="_Toc226451895" w:history="1">
            <w:r>
              <w:rPr>
                <w:rStyle w:val="Hyperlink"/>
                <w:noProof/>
              </w:rPr>
              <w:t>3.2 Serialisierungsformate</w:t>
            </w:r>
            <w:r>
              <w:rPr>
                <w:noProof/>
                <w:webHidden/>
              </w:rPr>
              <w:tab/>
              <w:fldChar w:fldCharType="begin"/>
              <w:instrText xml:space="preserve"> PAGEREF _Toc226451895 \h </w:instrText>
              <w:fldChar w:fldCharType="separate"/>
              <w:t>5</w:t>
              <w:fldChar w:fldCharType="end"/>
            </w:r>
          </w:hyperlink>
        </w:p>
        <w:p w14:paraId="45FD5DA4" w14:textId="067111DA" w:rsidR="003B732C" w:rsidRDefault="003B732C">
          <w:pPr>
            <w:pStyle w:val="Verzeichnis3"/>
            <w:tabs>
              <w:tab w:val="right" w:leader="dot" w:pos="9062"/>
            </w:tabs>
            <w:rPr>
              <w:noProof/>
              <w:kern w:val="2"/>
              <w:sz w:val="24"/>
              <w:szCs w:val="24"/>
              <w:lang w:val="de-AT" w:eastAsia="de-AT"/>
              <w14:ligatures w14:val="standardContextual"/>
            </w:rPr>
          </w:pPr>
          <w:hyperlink w:anchor="_Toc226451896" w:history="1">
            <w:r>
              <w:rPr>
                <w:rStyle w:val="Hyperlink"/>
                <w:noProof/>
              </w:rPr>
              <w:t>3.3 Versionskontrolle und DevOps</w:t>
            </w:r>
            <w:r>
              <w:rPr>
                <w:noProof/>
                <w:webHidden/>
              </w:rPr>
              <w:tab/>
              <w:fldChar w:fldCharType="begin"/>
              <w:instrText xml:space="preserve"> PAGEREF _Toc226451896 \h </w:instrText>
              <w:fldChar w:fldCharType="separate"/>
              <w:t>6</w:t>
              <w:fldChar w:fldCharType="end"/>
            </w:r>
          </w:hyperlink>
        </w:p>
        <w:p w14:paraId="23FE433B" w14:textId="6E8FCFA7" w:rsidR="003B732C" w:rsidRDefault="003B732C">
          <w:pPr>
            <w:pStyle w:val="Verzeichnis3"/>
            <w:tabs>
              <w:tab w:val="right" w:leader="dot" w:pos="9062"/>
            </w:tabs>
            <w:rPr>
              <w:noProof/>
              <w:kern w:val="2"/>
              <w:sz w:val="24"/>
              <w:szCs w:val="24"/>
              <w:lang w:val="de-AT" w:eastAsia="de-AT"/>
              <w14:ligatures w14:val="standardContextual"/>
            </w:rPr>
          </w:pPr>
          <w:hyperlink w:anchor="_Toc226451897" w:history="1">
            <w:r>
              <w:rPr>
                <w:rStyle w:val="Hyperlink"/>
                <w:noProof/>
                <w:lang w:val="de-AT"/>
              </w:rPr>
              <w:t>3.4 Automatisiertes Testing: Time Mocking</w:t>
            </w:r>
            <w:r>
              <w:rPr>
                <w:noProof/>
                <w:webHidden/>
              </w:rPr>
              <w:tab/>
              <w:fldChar w:fldCharType="begin"/>
              <w:instrText xml:space="preserve"> PAGEREF _Toc226451897 \h </w:instrText>
              <w:fldChar w:fldCharType="separate"/>
              <w:t>6</w:t>
              <w:fldChar w:fldCharType="end"/>
            </w:r>
          </w:hyperlink>
        </w:p>
        <w:p w14:paraId="6C66026D" w14:textId="073A81CC" w:rsidR="003B732C" w:rsidRDefault="003B732C">
          <w:pPr>
            <w:pStyle w:val="Verzeichnis2"/>
            <w:tabs>
              <w:tab w:val="right" w:leader="dot" w:pos="9062"/>
            </w:tabs>
            <w:rPr>
              <w:noProof/>
              <w:kern w:val="2"/>
              <w:sz w:val="24"/>
              <w:szCs w:val="24"/>
              <w:lang w:val="de-AT" w:eastAsia="de-AT"/>
              <w14:ligatures w14:val="standardContextual"/>
            </w:rPr>
          </w:pPr>
          <w:hyperlink w:anchor="_Toc226451898" w:history="1">
            <w:r>
              <w:rPr>
                <w:rStyle w:val="Hyperlink"/>
                <w:noProof/>
                <w:lang w:val="de-AT"/>
              </w:rPr>
              <w:t>4 Kalender-Interoperabilität: Das chronische Industrieproblem</w:t>
            </w:r>
            <w:r>
              <w:rPr>
                <w:noProof/>
                <w:webHidden/>
              </w:rPr>
              <w:tab/>
              <w:fldChar w:fldCharType="begin"/>
              <w:instrText xml:space="preserve"> PAGEREF _Toc226451898 \h </w:instrText>
              <w:fldChar w:fldCharType="separate"/>
              <w:t>7</w:t>
              <w:fldChar w:fldCharType="end"/>
            </w:r>
          </w:hyperlink>
        </w:p>
        <w:p w14:paraId="20780131" w14:textId="061725B5" w:rsidR="003B732C" w:rsidRDefault="003B732C">
          <w:pPr>
            <w:pStyle w:val="Verzeichnis3"/>
            <w:tabs>
              <w:tab w:val="right" w:leader="dot" w:pos="9062"/>
            </w:tabs>
            <w:rPr>
              <w:noProof/>
              <w:kern w:val="2"/>
              <w:sz w:val="24"/>
              <w:szCs w:val="24"/>
              <w:lang w:val="de-AT" w:eastAsia="de-AT"/>
              <w14:ligatures w14:val="standardContextual"/>
            </w:rPr>
          </w:pPr>
          <w:hyperlink w:anchor="_Toc226451899" w:history="1">
            <w:r>
              <w:rPr>
                <w:rStyle w:val="Hyperlink"/>
                <w:noProof/>
                <w:lang w:val="de-AT"/>
              </w:rPr>
              <w:t>4.1 Der bestehende Standard und seine Grenzen</w:t>
            </w:r>
            <w:r>
              <w:rPr>
                <w:noProof/>
                <w:webHidden/>
              </w:rPr>
              <w:tab/>
              <w:fldChar w:fldCharType="begin"/>
              <w:instrText xml:space="preserve"> PAGEREF _Toc226451899 \h </w:instrText>
              <w:fldChar w:fldCharType="separate"/>
              <w:t>7</w:t>
              <w:fldChar w:fldCharType="end"/>
            </w:r>
          </w:hyperlink>
        </w:p>
        <w:p w14:paraId="36D2765D" w14:textId="5B81BB6C" w:rsidR="003B732C" w:rsidRDefault="003B732C">
          <w:pPr>
            <w:pStyle w:val="Verzeichnis3"/>
            <w:tabs>
              <w:tab w:val="right" w:leader="dot" w:pos="9062"/>
            </w:tabs>
            <w:rPr>
              <w:noProof/>
              <w:kern w:val="2"/>
              <w:sz w:val="24"/>
              <w:szCs w:val="24"/>
              <w:lang w:val="de-AT" w:eastAsia="de-AT"/>
              <w14:ligatures w14:val="standardContextual"/>
            </w:rPr>
          </w:pPr>
          <w:hyperlink w:anchor="_Toc226451900" w:history="1">
            <w:r>
              <w:rPr>
                <w:rStyle w:val="Hyperlink"/>
                <w:noProof/>
                <w:lang w:val="de-AT"/>
              </w:rPr>
              <w:t>4.2 Konkrete Inkompatibilitäten zwischen den großen Anbietern</w:t>
            </w:r>
            <w:r>
              <w:rPr>
                <w:noProof/>
                <w:webHidden/>
              </w:rPr>
              <w:tab/>
              <w:fldChar w:fldCharType="begin"/>
              <w:instrText xml:space="preserve"> PAGEREF _Toc226451900 \h </w:instrText>
              <w:fldChar w:fldCharType="separate"/>
              <w:t>7</w:t>
              <w:fldChar w:fldCharType="end"/>
            </w:r>
          </w:hyperlink>
        </w:p>
        <w:p w14:paraId="4313A527" w14:textId="6C43BB63" w:rsidR="003B732C" w:rsidRDefault="003B732C">
          <w:pPr>
            <w:pStyle w:val="Verzeichnis3"/>
            <w:tabs>
              <w:tab w:val="right" w:leader="dot" w:pos="9062"/>
            </w:tabs>
            <w:rPr>
              <w:noProof/>
              <w:kern w:val="2"/>
              <w:sz w:val="24"/>
              <w:szCs w:val="24"/>
              <w:lang w:val="de-AT" w:eastAsia="de-AT"/>
              <w14:ligatures w14:val="standardContextual"/>
            </w:rPr>
          </w:pPr>
          <w:hyperlink w:anchor="_Toc226451901" w:history="1">
            <w:r>
              <w:rPr>
                <w:rStyle w:val="Hyperlink"/>
                <w:noProof/>
                <w:lang w:val="de-AT"/>
              </w:rPr>
              <w:t>4.3 ChronoGrid als kanonische Brücke</w:t>
            </w:r>
            <w:r>
              <w:rPr>
                <w:noProof/>
                <w:webHidden/>
              </w:rPr>
              <w:tab/>
              <w:fldChar w:fldCharType="begin"/>
              <w:instrText xml:space="preserve"> PAGEREF _Toc226451901 \h </w:instrText>
              <w:fldChar w:fldCharType="separate"/>
              <w:t>8</w:t>
              <w:fldChar w:fldCharType="end"/>
            </w:r>
          </w:hyperlink>
        </w:p>
        <w:p w14:paraId="63B39B10" w14:textId="19F7D96A" w:rsidR="003B732C" w:rsidRDefault="003B732C">
          <w:pPr>
            <w:pStyle w:val="Verzeichnis3"/>
            <w:tabs>
              <w:tab w:val="right" w:leader="dot" w:pos="9062"/>
            </w:tabs>
            <w:rPr>
              <w:noProof/>
              <w:kern w:val="2"/>
              <w:sz w:val="24"/>
              <w:szCs w:val="24"/>
              <w:lang w:val="de-AT" w:eastAsia="de-AT"/>
              <w14:ligatures w14:val="standardContextual"/>
            </w:rPr>
          </w:pPr>
          <w:hyperlink w:anchor="_Toc226451902" w:history="1">
            <w:r>
              <w:rPr>
                <w:rStyle w:val="Hyperlink"/>
                <w:noProof/>
              </w:rPr>
              <w:t>4.4 Breiteres Ökosystem: Weitere Kalender-Tools</w:t>
            </w:r>
            <w:r>
              <w:rPr>
                <w:noProof/>
                <w:webHidden/>
              </w:rPr>
              <w:tab/>
              <w:fldChar w:fldCharType="begin"/>
              <w:instrText xml:space="preserve"> PAGEREF _Toc226451902 \h </w:instrText>
              <w:fldChar w:fldCharType="separate"/>
              <w:t>9</w:t>
              <w:fldChar w:fldCharType="end"/>
            </w:r>
          </w:hyperlink>
        </w:p>
        <w:p w14:paraId="7C50A31B" w14:textId="7778A31D" w:rsidR="003B732C" w:rsidRDefault="003B732C">
          <w:pPr>
            <w:pStyle w:val="Verzeichnis1"/>
            <w:tabs>
              <w:tab w:val="right" w:leader="dot" w:pos="9062"/>
            </w:tabs>
            <w:rPr>
              <w:noProof/>
              <w:kern w:val="2"/>
              <w:sz w:val="24"/>
              <w:szCs w:val="24"/>
              <w:lang w:val="de-AT" w:eastAsia="de-AT"/>
              <w14:ligatures w14:val="standardContextual"/>
            </w:rPr>
          </w:pPr>
          <w:hyperlink w:anchor="_Toc226451903" w:history="1">
            <w:r>
              <w:rPr>
                <w:rStyle w:val="Hyperlink"/>
                <w:noProof/>
                <w:lang w:val="de-AT"/>
              </w:rPr>
              <w:t>Teil III: Mathematische Zeitarithmetik und wissenschaftliche Rechenprogramme</w:t>
            </w:r>
            <w:r>
              <w:rPr>
                <w:noProof/>
                <w:webHidden/>
              </w:rPr>
              <w:tab/>
              <w:fldChar w:fldCharType="begin"/>
              <w:instrText xml:space="preserve"> PAGEREF _Toc226451903 \h </w:instrText>
              <w:fldChar w:fldCharType="separate"/>
              <w:t>9</w:t>
              <w:fldChar w:fldCharType="end"/>
            </w:r>
          </w:hyperlink>
        </w:p>
        <w:p w14:paraId="3C8E2B09" w14:textId="7DD75FF0" w:rsidR="003B732C" w:rsidRDefault="003B732C">
          <w:pPr>
            <w:pStyle w:val="Verzeichnis2"/>
            <w:tabs>
              <w:tab w:val="right" w:leader="dot" w:pos="9062"/>
            </w:tabs>
            <w:rPr>
              <w:noProof/>
              <w:kern w:val="2"/>
              <w:sz w:val="24"/>
              <w:szCs w:val="24"/>
              <w:lang w:val="de-AT" w:eastAsia="de-AT"/>
              <w14:ligatures w14:val="standardContextual"/>
            </w:rPr>
          </w:pPr>
          <w:hyperlink w:anchor="_Toc226451904" w:history="1">
            <w:r>
              <w:rPr>
                <w:rStyle w:val="Hyperlink"/>
                <w:noProof/>
                <w:lang w:val="de-AT"/>
              </w:rPr>
              <w:t>5 Mathematische Grundlagen der Zeitarithmetik</w:t>
            </w:r>
            <w:r>
              <w:rPr>
                <w:noProof/>
                <w:webHidden/>
              </w:rPr>
              <w:tab/>
              <w:fldChar w:fldCharType="begin"/>
              <w:instrText xml:space="preserve"> PAGEREF _Toc226451904 \h </w:instrText>
              <w:fldChar w:fldCharType="separate"/>
              <w:t>9</w:t>
              <w:fldChar w:fldCharType="end"/>
            </w:r>
          </w:hyperlink>
        </w:p>
        <w:p w14:paraId="3515C539" w14:textId="724A6ECC" w:rsidR="003B732C" w:rsidRDefault="003B732C">
          <w:pPr>
            <w:pStyle w:val="Verzeichnis3"/>
            <w:tabs>
              <w:tab w:val="right" w:leader="dot" w:pos="9062"/>
            </w:tabs>
            <w:rPr>
              <w:noProof/>
              <w:kern w:val="2"/>
              <w:sz w:val="24"/>
              <w:szCs w:val="24"/>
              <w:lang w:val="de-AT" w:eastAsia="de-AT"/>
              <w14:ligatures w14:val="standardContextual"/>
            </w:rPr>
          </w:pPr>
          <w:hyperlink w:anchor="_Toc226451905" w:history="1">
            <w:r>
              <w:rPr>
                <w:rStyle w:val="Hyperlink"/>
                <w:noProof/>
                <w:lang w:val="de-AT"/>
              </w:rPr>
              <w:t>5.1 Das Problem: Zeitarithmetik ohne Axiome</w:t>
            </w:r>
            <w:r>
              <w:rPr>
                <w:noProof/>
                <w:webHidden/>
              </w:rPr>
              <w:tab/>
              <w:fldChar w:fldCharType="begin"/>
              <w:instrText xml:space="preserve"> PAGEREF _Toc226451905 \h </w:instrText>
              <w:fldChar w:fldCharType="separate"/>
              <w:t>9</w:t>
              <w:fldChar w:fldCharType="end"/>
            </w:r>
          </w:hyperlink>
        </w:p>
        <w:p w14:paraId="1F3BE417" w14:textId="31876AAC" w:rsidR="003B732C" w:rsidRDefault="003B732C">
          <w:pPr>
            <w:pStyle w:val="Verzeichnis3"/>
            <w:tabs>
              <w:tab w:val="right" w:leader="dot" w:pos="9062"/>
            </w:tabs>
            <w:rPr>
              <w:noProof/>
              <w:kern w:val="2"/>
              <w:sz w:val="24"/>
              <w:szCs w:val="24"/>
              <w:lang w:val="de-AT" w:eastAsia="de-AT"/>
              <w14:ligatures w14:val="standardContextual"/>
            </w:rPr>
          </w:pPr>
          <w:hyperlink w:anchor="_Toc226451906" w:history="1">
            <w:r>
              <w:rPr>
                <w:rStyle w:val="Hyperlink"/>
                <w:noProof/>
                <w:lang w:val="de-AT"/>
              </w:rPr>
              <w:t>5.2 ChronoGrid als mathematisches Fundament</w:t>
            </w:r>
            <w:r>
              <w:rPr>
                <w:noProof/>
                <w:webHidden/>
              </w:rPr>
              <w:tab/>
              <w:fldChar w:fldCharType="begin"/>
              <w:instrText xml:space="preserve"> PAGEREF _Toc226451906 \h </w:instrText>
              <w:fldChar w:fldCharType="separate"/>
              <w:t>10</w:t>
              <w:fldChar w:fldCharType="end"/>
            </w:r>
          </w:hyperlink>
        </w:p>
        <w:p w14:paraId="57AA0BAA" w14:textId="253C49EC" w:rsidR="003B732C" w:rsidRDefault="003B732C">
          <w:pPr>
            <w:pStyle w:val="Verzeichnis3"/>
            <w:tabs>
              <w:tab w:val="right" w:leader="dot" w:pos="9062"/>
            </w:tabs>
            <w:rPr>
              <w:noProof/>
              <w:kern w:val="2"/>
              <w:sz w:val="24"/>
              <w:szCs w:val="24"/>
              <w:lang w:val="de-AT" w:eastAsia="de-AT"/>
              <w14:ligatures w14:val="standardContextual"/>
            </w:rPr>
          </w:pPr>
          <w:hyperlink w:anchor="_Toc226451907" w:history="1">
            <w:r>
              <w:rPr>
                <w:rStyle w:val="Hyperlink"/>
                <w:noProof/>
                <w:lang w:val="de-AT"/>
              </w:rPr>
              <w:t>5.3 Finanzmathematik: Day Count Conventions</w:t>
            </w:r>
            <w:r>
              <w:rPr>
                <w:noProof/>
                <w:webHidden/>
              </w:rPr>
              <w:tab/>
              <w:fldChar w:fldCharType="begin"/>
              <w:instrText xml:space="preserve"> PAGEREF _Toc226451907 \h </w:instrText>
              <w:fldChar w:fldCharType="separate"/>
              <w:t>10</w:t>
              <w:fldChar w:fldCharType="end"/>
            </w:r>
          </w:hyperlink>
        </w:p>
        <w:p w14:paraId="318E5346" w14:textId="574D991E" w:rsidR="003B732C" w:rsidRDefault="003B732C">
          <w:pPr>
            <w:pStyle w:val="Verzeichnis3"/>
            <w:tabs>
              <w:tab w:val="right" w:leader="dot" w:pos="9062"/>
            </w:tabs>
            <w:rPr>
              <w:noProof/>
              <w:kern w:val="2"/>
              <w:sz w:val="24"/>
              <w:szCs w:val="24"/>
              <w:lang w:val="de-AT" w:eastAsia="de-AT"/>
              <w14:ligatures w14:val="standardContextual"/>
            </w:rPr>
          </w:pPr>
          <w:hyperlink w:anchor="_Toc226451908" w:history="1">
            <w:r>
              <w:rPr>
                <w:rStyle w:val="Hyperlink"/>
                <w:noProof/>
                <w:lang w:val="de-AT"/>
              </w:rPr>
              <w:t>5.4 Zeitreihenanalyse und Signalverarbeitung</w:t>
            </w:r>
            <w:r>
              <w:rPr>
                <w:noProof/>
                <w:webHidden/>
              </w:rPr>
              <w:tab/>
              <w:fldChar w:fldCharType="begin"/>
              <w:instrText xml:space="preserve"> PAGEREF _Toc226451908 \h </w:instrText>
              <w:fldChar w:fldCharType="separate"/>
              <w:t>10</w:t>
              <w:fldChar w:fldCharType="end"/>
            </w:r>
          </w:hyperlink>
        </w:p>
        <w:p w14:paraId="3C1D6817" w14:textId="0414330C" w:rsidR="003B732C" w:rsidRDefault="003B732C">
          <w:pPr>
            <w:pStyle w:val="Verzeichnis3"/>
            <w:tabs>
              <w:tab w:val="right" w:leader="dot" w:pos="9062"/>
            </w:tabs>
            <w:rPr>
              <w:noProof/>
              <w:kern w:val="2"/>
              <w:sz w:val="24"/>
              <w:szCs w:val="24"/>
              <w:lang w:val="de-AT" w:eastAsia="de-AT"/>
              <w14:ligatures w14:val="standardContextual"/>
            </w:rPr>
          </w:pPr>
          <w:hyperlink w:anchor="_Toc226451909" w:history="1">
            <w:r>
              <w:rPr>
                <w:rStyle w:val="Hyperlink"/>
                <w:noProof/>
                <w:lang w:val="de-AT"/>
              </w:rPr>
              <w:t>5.5 Astronomie und Weltraumforschung</w:t>
            </w:r>
            <w:r>
              <w:rPr>
                <w:noProof/>
                <w:webHidden/>
              </w:rPr>
              <w:tab/>
              <w:fldChar w:fldCharType="begin"/>
              <w:instrText xml:space="preserve"> PAGEREF _Toc226451909 \h </w:instrText>
              <w:fldChar w:fldCharType="separate"/>
              <w:t>11</w:t>
              <w:fldChar w:fldCharType="end"/>
            </w:r>
          </w:hyperlink>
        </w:p>
        <w:p w14:paraId="4F2F1505" w14:textId="4001FA99" w:rsidR="003B732C" w:rsidRDefault="003B732C">
          <w:pPr>
            <w:pStyle w:val="Verzeichnis2"/>
            <w:tabs>
              <w:tab w:val="right" w:leader="dot" w:pos="9062"/>
            </w:tabs>
            <w:rPr>
              <w:noProof/>
              <w:kern w:val="2"/>
              <w:sz w:val="24"/>
              <w:szCs w:val="24"/>
              <w:lang w:val="de-AT" w:eastAsia="de-AT"/>
              <w14:ligatures w14:val="standardContextual"/>
            </w:rPr>
          </w:pPr>
          <w:hyperlink w:anchor="_Toc226451910" w:history="1">
            <w:r>
              <w:rPr>
                <w:rStyle w:val="Hyperlink"/>
                <w:noProof/>
                <w:lang w:val="de-AT"/>
              </w:rPr>
              <w:t>6 Microsoft Excel und Tabellenkalkulationen</w:t>
            </w:r>
            <w:r>
              <w:rPr>
                <w:noProof/>
                <w:webHidden/>
              </w:rPr>
              <w:tab/>
              <w:fldChar w:fldCharType="begin"/>
              <w:instrText xml:space="preserve"> PAGEREF _Toc226451910 \h </w:instrText>
              <w:fldChar w:fldCharType="separate"/>
              <w:t>11</w:t>
              <w:fldChar w:fldCharType="end"/>
            </w:r>
          </w:hyperlink>
        </w:p>
        <w:p w14:paraId="5C463269" w14:textId="018F4F63" w:rsidR="003B732C" w:rsidRDefault="003B732C">
          <w:pPr>
            <w:pStyle w:val="Verzeichnis3"/>
            <w:tabs>
              <w:tab w:val="right" w:leader="dot" w:pos="9062"/>
            </w:tabs>
            <w:rPr>
              <w:noProof/>
              <w:kern w:val="2"/>
              <w:sz w:val="24"/>
              <w:szCs w:val="24"/>
              <w:lang w:val="de-AT" w:eastAsia="de-AT"/>
              <w14:ligatures w14:val="standardContextual"/>
            </w:rPr>
          </w:pPr>
          <w:hyperlink w:anchor="_Toc226451911" w:history="1">
            <w:r>
              <w:rPr>
                <w:rStyle w:val="Hyperlink"/>
                <w:noProof/>
                <w:lang w:val="de-AT"/>
              </w:rPr>
              <w:t>6.1 Der Excel-1900-Bug: Ein absichtlicher Fehler seit 1985</w:t>
            </w:r>
            <w:r>
              <w:rPr>
                <w:noProof/>
                <w:webHidden/>
              </w:rPr>
              <w:tab/>
              <w:fldChar w:fldCharType="begin"/>
              <w:instrText xml:space="preserve"> PAGEREF _Toc226451911 \h </w:instrText>
              <w:fldChar w:fldCharType="separate"/>
              <w:t>11</w:t>
              <w:fldChar w:fldCharType="end"/>
            </w:r>
          </w:hyperlink>
        </w:p>
        <w:p w14:paraId="0C08DEEF" w14:textId="0329E2C5" w:rsidR="003B732C" w:rsidRDefault="003B732C">
          <w:pPr>
            <w:pStyle w:val="Verzeichnis3"/>
            <w:tabs>
              <w:tab w:val="right" w:leader="dot" w:pos="9062"/>
            </w:tabs>
            <w:rPr>
              <w:noProof/>
              <w:kern w:val="2"/>
              <w:sz w:val="24"/>
              <w:szCs w:val="24"/>
              <w:lang w:val="de-AT" w:eastAsia="de-AT"/>
              <w14:ligatures w14:val="standardContextual"/>
            </w:rPr>
          </w:pPr>
          <w:hyperlink w:anchor="_Toc226451912" w:history="1">
            <w:r>
              <w:rPr>
                <w:rStyle w:val="Hyperlink"/>
                <w:noProof/>
                <w:lang w:val="de-AT"/>
              </w:rPr>
              <w:t>6.2 Excel-Zeitzonen: Nicht vorhanden</w:t>
            </w:r>
            <w:r>
              <w:rPr>
                <w:noProof/>
                <w:webHidden/>
              </w:rPr>
              <w:tab/>
              <w:fldChar w:fldCharType="begin"/>
              <w:instrText xml:space="preserve"> PAGEREF _Toc226451912 \h </w:instrText>
              <w:fldChar w:fldCharType="separate"/>
              <w:t>12</w:t>
              <w:fldChar w:fldCharType="end"/>
            </w:r>
          </w:hyperlink>
        </w:p>
        <w:p w14:paraId="4B5D22CF" w14:textId="43B45D61" w:rsidR="003B732C" w:rsidRDefault="003B732C">
          <w:pPr>
            <w:pStyle w:val="Verzeichnis3"/>
            <w:tabs>
              <w:tab w:val="right" w:leader="dot" w:pos="9062"/>
            </w:tabs>
            <w:rPr>
              <w:noProof/>
              <w:kern w:val="2"/>
              <w:sz w:val="24"/>
              <w:szCs w:val="24"/>
              <w:lang w:val="de-AT" w:eastAsia="de-AT"/>
              <w14:ligatures w14:val="standardContextual"/>
            </w:rPr>
          </w:pPr>
          <w:hyperlink w:anchor="_Toc226451913" w:history="1">
            <w:r>
              <w:rPr>
                <w:rStyle w:val="Hyperlink"/>
                <w:noProof/>
                <w:lang w:val="de-AT"/>
              </w:rPr>
              <w:t>6.3 DATEDIF(): Die undokumentierte Zeitbombe</w:t>
            </w:r>
            <w:r>
              <w:rPr>
                <w:noProof/>
                <w:webHidden/>
              </w:rPr>
              <w:tab/>
              <w:fldChar w:fldCharType="begin"/>
              <w:instrText xml:space="preserve"> PAGEREF _Toc226451913 \h </w:instrText>
              <w:fldChar w:fldCharType="separate"/>
              <w:t>12</w:t>
              <w:fldChar w:fldCharType="end"/>
            </w:r>
          </w:hyperlink>
        </w:p>
        <w:p w14:paraId="4F0D2A94" w14:textId="3631ED03" w:rsidR="003B732C" w:rsidRDefault="003B732C">
          <w:pPr>
            <w:pStyle w:val="Verzeichnis3"/>
            <w:tabs>
              <w:tab w:val="right" w:leader="dot" w:pos="9062"/>
            </w:tabs>
            <w:rPr>
              <w:noProof/>
              <w:kern w:val="2"/>
              <w:sz w:val="24"/>
              <w:szCs w:val="24"/>
              <w:lang w:val="de-AT" w:eastAsia="de-AT"/>
              <w14:ligatures w14:val="standardContextual"/>
            </w:rPr>
          </w:pPr>
          <w:hyperlink w:anchor="_Toc226451914" w:history="1">
            <w:r>
              <w:rPr>
                <w:rStyle w:val="Hyperlink"/>
                <w:noProof/>
                <w:lang w:val="de-AT"/>
              </w:rPr>
              <w:t>6.4 Das Mac/Windows-Datumsystem-Problem</w:t>
            </w:r>
            <w:r>
              <w:rPr>
                <w:noProof/>
                <w:webHidden/>
              </w:rPr>
              <w:tab/>
              <w:fldChar w:fldCharType="begin"/>
              <w:instrText xml:space="preserve"> PAGEREF _Toc226451914 \h </w:instrText>
              <w:fldChar w:fldCharType="separate"/>
              <w:t>13</w:t>
              <w:fldChar w:fldCharType="end"/>
            </w:r>
          </w:hyperlink>
        </w:p>
        <w:p w14:paraId="47273F44" w14:textId="225CC573" w:rsidR="003B732C" w:rsidRDefault="003B732C">
          <w:pPr>
            <w:pStyle w:val="Verzeichnis3"/>
            <w:tabs>
              <w:tab w:val="right" w:leader="dot" w:pos="9062"/>
            </w:tabs>
            <w:rPr>
              <w:noProof/>
              <w:kern w:val="2"/>
              <w:sz w:val="24"/>
              <w:szCs w:val="24"/>
              <w:lang w:val="de-AT" w:eastAsia="de-AT"/>
              <w14:ligatures w14:val="standardContextual"/>
            </w:rPr>
          </w:pPr>
          <w:hyperlink w:anchor="_Toc226451915" w:history="1">
            <w:r>
              <w:rPr>
                <w:rStyle w:val="Hyperlink"/>
                <w:noProof/>
                <w:lang w:val="de-AT"/>
              </w:rPr>
              <w:t>6.5 CSV-Datumsimport: Das Lokalisierungsproblem</w:t>
            </w:r>
            <w:r>
              <w:rPr>
                <w:noProof/>
                <w:webHidden/>
              </w:rPr>
              <w:tab/>
              <w:fldChar w:fldCharType="begin"/>
              <w:instrText xml:space="preserve"> PAGEREF _Toc226451915 \h </w:instrText>
              <w:fldChar w:fldCharType="separate"/>
              <w:t>13</w:t>
              <w:fldChar w:fldCharType="end"/>
            </w:r>
          </w:hyperlink>
        </w:p>
        <w:p w14:paraId="47B2E2D4" w14:textId="5AC64321" w:rsidR="003B732C" w:rsidRDefault="003B732C">
          <w:pPr>
            <w:pStyle w:val="Verzeichnis3"/>
            <w:tabs>
              <w:tab w:val="right" w:leader="dot" w:pos="9062"/>
            </w:tabs>
            <w:rPr>
              <w:noProof/>
              <w:kern w:val="2"/>
              <w:sz w:val="24"/>
              <w:szCs w:val="24"/>
              <w:lang w:val="de-AT" w:eastAsia="de-AT"/>
              <w14:ligatures w14:val="standardContextual"/>
            </w:rPr>
          </w:pPr>
          <w:hyperlink w:anchor="_Toc226451916" w:history="1">
            <w:r>
              <w:rPr>
                <w:rStyle w:val="Hyperlink"/>
                <w:noProof/>
              </w:rPr>
              <w:t>6.6 ChronoGrid-Opportunity für Excel</w:t>
            </w:r>
            <w:r>
              <w:rPr>
                <w:noProof/>
                <w:webHidden/>
              </w:rPr>
              <w:tab/>
              <w:fldChar w:fldCharType="begin"/>
              <w:instrText xml:space="preserve"> PAGEREF _Toc226451916 \h </w:instrText>
              <w:fldChar w:fldCharType="separate"/>
              <w:t>14</w:t>
              <w:fldChar w:fldCharType="end"/>
            </w:r>
          </w:hyperlink>
        </w:p>
        <w:p w14:paraId="34B4B1AA" w14:textId="3645F7EE" w:rsidR="003B732C" w:rsidRDefault="003B732C">
          <w:pPr>
            <w:pStyle w:val="Verzeichnis2"/>
            <w:tabs>
              <w:tab w:val="right" w:leader="dot" w:pos="9062"/>
            </w:tabs>
            <w:rPr>
              <w:noProof/>
              <w:kern w:val="2"/>
              <w:sz w:val="24"/>
              <w:szCs w:val="24"/>
              <w:lang w:val="de-AT" w:eastAsia="de-AT"/>
              <w14:ligatures w14:val="standardContextual"/>
            </w:rPr>
          </w:pPr>
          <w:hyperlink w:anchor="_Toc226451917" w:history="1">
            <w:r>
              <w:rPr>
                <w:rStyle w:val="Hyperlink"/>
                <w:noProof/>
                <w:lang w:val="de-AT"/>
              </w:rPr>
              <w:t>7 Wissenschaftliche Rechenprogramme</w:t>
            </w:r>
            <w:r>
              <w:rPr>
                <w:noProof/>
                <w:webHidden/>
              </w:rPr>
              <w:tab/>
              <w:fldChar w:fldCharType="begin"/>
              <w:instrText xml:space="preserve"> PAGEREF _Toc226451917 \h </w:instrText>
              <w:fldChar w:fldCharType="separate"/>
              <w:t>14</w:t>
              <w:fldChar w:fldCharType="end"/>
            </w:r>
          </w:hyperlink>
        </w:p>
        <w:p w14:paraId="131087A6" w14:textId="3CA01564" w:rsidR="003B732C" w:rsidRDefault="003B732C">
          <w:pPr>
            <w:pStyle w:val="Verzeichnis3"/>
            <w:tabs>
              <w:tab w:val="right" w:leader="dot" w:pos="9062"/>
            </w:tabs>
            <w:rPr>
              <w:noProof/>
              <w:kern w:val="2"/>
              <w:sz w:val="24"/>
              <w:szCs w:val="24"/>
              <w:lang w:val="de-AT" w:eastAsia="de-AT"/>
              <w14:ligatures w14:val="standardContextual"/>
            </w:rPr>
          </w:pPr>
          <w:hyperlink w:anchor="_Toc226451918" w:history="1">
            <w:r>
              <w:rPr>
                <w:rStyle w:val="Hyperlink"/>
                <w:noProof/>
                <w:lang w:val="de-AT"/>
              </w:rPr>
              <w:t>7.1 R: Drei Zeitklassen, ein Chaos</w:t>
            </w:r>
            <w:r>
              <w:rPr>
                <w:noProof/>
                <w:webHidden/>
              </w:rPr>
              <w:tab/>
              <w:fldChar w:fldCharType="begin"/>
              <w:instrText xml:space="preserve"> PAGEREF _Toc226451918 \h </w:instrText>
              <w:fldChar w:fldCharType="separate"/>
              <w:t>14</w:t>
              <w:fldChar w:fldCharType="end"/>
            </w:r>
          </w:hyperlink>
        </w:p>
        <w:p w14:paraId="7C30AA51" w14:textId="077C3CF2" w:rsidR="003B732C" w:rsidRDefault="003B732C">
          <w:pPr>
            <w:pStyle w:val="Verzeichnis3"/>
            <w:tabs>
              <w:tab w:val="right" w:leader="dot" w:pos="9062"/>
            </w:tabs>
            <w:rPr>
              <w:noProof/>
              <w:kern w:val="2"/>
              <w:sz w:val="24"/>
              <w:szCs w:val="24"/>
              <w:lang w:val="de-AT" w:eastAsia="de-AT"/>
              <w14:ligatures w14:val="standardContextual"/>
            </w:rPr>
          </w:pPr>
          <w:hyperlink w:anchor="_Toc226451919" w:history="1">
            <w:r>
              <w:rPr>
                <w:rStyle w:val="Hyperlink"/>
                <w:noProof/>
                <w:lang w:val="de-AT"/>
              </w:rPr>
              <w:t>7.2 Python: NumPy, Pandas und ihre Inkompatibilitäten</w:t>
            </w:r>
            <w:r>
              <w:rPr>
                <w:noProof/>
                <w:webHidden/>
              </w:rPr>
              <w:tab/>
              <w:fldChar w:fldCharType="begin"/>
              <w:instrText xml:space="preserve"> PAGEREF _Toc226451919 \h </w:instrText>
              <w:fldChar w:fldCharType="separate"/>
              <w:t>15</w:t>
              <w:fldChar w:fldCharType="end"/>
            </w:r>
          </w:hyperlink>
        </w:p>
        <w:p w14:paraId="7202DC69" w14:textId="1FF8E763" w:rsidR="003B732C" w:rsidRDefault="003B732C">
          <w:pPr>
            <w:pStyle w:val="Verzeichnis3"/>
            <w:tabs>
              <w:tab w:val="right" w:leader="dot" w:pos="9062"/>
            </w:tabs>
            <w:rPr>
              <w:noProof/>
              <w:kern w:val="2"/>
              <w:sz w:val="24"/>
              <w:szCs w:val="24"/>
              <w:lang w:val="de-AT" w:eastAsia="de-AT"/>
              <w14:ligatures w14:val="standardContextual"/>
            </w:rPr>
          </w:pPr>
          <w:hyperlink w:anchor="_Toc226451920" w:history="1">
            <w:r>
              <w:rPr>
                <w:rStyle w:val="Hyperlink"/>
                <w:noProof/>
              </w:rPr>
              <w:t>7.3 MATLAB: Legacy und Modernisierung</w:t>
            </w:r>
            <w:r>
              <w:rPr>
                <w:noProof/>
                <w:webHidden/>
              </w:rPr>
              <w:tab/>
              <w:fldChar w:fldCharType="begin"/>
              <w:instrText xml:space="preserve"> PAGEREF _Toc226451920 \h </w:instrText>
              <w:fldChar w:fldCharType="separate"/>
              <w:t>15</w:t>
              <w:fldChar w:fldCharType="end"/>
            </w:r>
          </w:hyperlink>
        </w:p>
        <w:p w14:paraId="72CE9310" w14:textId="42A8EAFD" w:rsidR="003B732C" w:rsidRDefault="003B732C">
          <w:pPr>
            <w:pStyle w:val="Verzeichnis3"/>
            <w:tabs>
              <w:tab w:val="right" w:leader="dot" w:pos="9062"/>
            </w:tabs>
            <w:rPr>
              <w:noProof/>
              <w:kern w:val="2"/>
              <w:sz w:val="24"/>
              <w:szCs w:val="24"/>
              <w:lang w:val="de-AT" w:eastAsia="de-AT"/>
              <w14:ligatures w14:val="standardContextual"/>
            </w:rPr>
          </w:pPr>
          <w:hyperlink w:anchor="_Toc226451921" w:history="1">
            <w:r>
              <w:rPr>
                <w:rStyle w:val="Hyperlink"/>
                <w:noProof/>
              </w:rPr>
              <w:t>7.4 Wolfram Mathematica</w:t>
            </w:r>
            <w:r>
              <w:rPr>
                <w:noProof/>
                <w:webHidden/>
              </w:rPr>
              <w:tab/>
              <w:fldChar w:fldCharType="begin"/>
              <w:instrText xml:space="preserve"> PAGEREF _Toc226451921 \h </w:instrText>
              <w:fldChar w:fldCharType="separate"/>
              <w:t>16</w:t>
              <w:fldChar w:fldCharType="end"/>
            </w:r>
          </w:hyperlink>
        </w:p>
        <w:p w14:paraId="79ECD4CE" w14:textId="24B22229" w:rsidR="003B732C" w:rsidRDefault="003B732C">
          <w:pPr>
            <w:pStyle w:val="Verzeichnis3"/>
            <w:tabs>
              <w:tab w:val="right" w:leader="dot" w:pos="9062"/>
            </w:tabs>
            <w:rPr>
              <w:noProof/>
              <w:kern w:val="2"/>
              <w:sz w:val="24"/>
              <w:szCs w:val="24"/>
              <w:lang w:val="de-AT" w:eastAsia="de-AT"/>
              <w14:ligatures w14:val="standardContextual"/>
            </w:rPr>
          </w:pPr>
          <w:hyperlink w:anchor="_Toc226451922" w:history="1">
            <w:r>
              <w:rPr>
                <w:rStyle w:val="Hyperlink"/>
                <w:noProof/>
                <w:lang w:val="de-AT"/>
              </w:rPr>
              <w:t>7.5 SAS und SPSS: Das Legacy-Problem</w:t>
            </w:r>
            <w:r>
              <w:rPr>
                <w:noProof/>
                <w:webHidden/>
              </w:rPr>
              <w:tab/>
              <w:fldChar w:fldCharType="begin"/>
              <w:instrText xml:space="preserve"> PAGEREF _Toc226451922 \h </w:instrText>
              <w:fldChar w:fldCharType="separate"/>
              <w:t>16</w:t>
              <w:fldChar w:fldCharType="end"/>
            </w:r>
          </w:hyperlink>
        </w:p>
        <w:p w14:paraId="0DACD6C1" w14:textId="7013BFFF" w:rsidR="003B732C" w:rsidRDefault="003B732C">
          <w:pPr>
            <w:pStyle w:val="Verzeichnis3"/>
            <w:tabs>
              <w:tab w:val="right" w:leader="dot" w:pos="9062"/>
            </w:tabs>
            <w:rPr>
              <w:noProof/>
              <w:kern w:val="2"/>
              <w:sz w:val="24"/>
              <w:szCs w:val="24"/>
              <w:lang w:val="de-AT" w:eastAsia="de-AT"/>
              <w14:ligatures w14:val="standardContextual"/>
            </w:rPr>
          </w:pPr>
          <w:hyperlink w:anchor="_Toc226451923" w:history="1">
            <w:r>
              <w:rPr>
                <w:rStyle w:val="Hyperlink"/>
                <w:noProof/>
              </w:rPr>
              <w:t>7.6 Wissenschaftliche Datenformate</w:t>
            </w:r>
            <w:r>
              <w:rPr>
                <w:noProof/>
                <w:webHidden/>
              </w:rPr>
              <w:tab/>
              <w:fldChar w:fldCharType="begin"/>
              <w:instrText xml:space="preserve"> PAGEREF _Toc226451923 \h </w:instrText>
              <w:fldChar w:fldCharType="separate"/>
              <w:t>17</w:t>
              <w:fldChar w:fldCharType="end"/>
            </w:r>
          </w:hyperlink>
        </w:p>
        <w:p w14:paraId="3AB75D97" w14:textId="2ABD0560" w:rsidR="003B732C" w:rsidRDefault="003B732C">
          <w:pPr>
            <w:pStyle w:val="Verzeichnis1"/>
            <w:tabs>
              <w:tab w:val="right" w:leader="dot" w:pos="9062"/>
            </w:tabs>
            <w:rPr>
              <w:noProof/>
              <w:kern w:val="2"/>
              <w:sz w:val="24"/>
              <w:szCs w:val="24"/>
              <w:lang w:val="de-AT" w:eastAsia="de-AT"/>
              <w14:ligatures w14:val="standardContextual"/>
            </w:rPr>
          </w:pPr>
          <w:hyperlink w:anchor="_Toc226451924" w:history="1">
            <w:r>
              <w:rPr>
                <w:rStyle w:val="Hyperlink"/>
                <w:noProof/>
                <w:lang w:val="de-AT"/>
              </w:rPr>
              <w:t>Teil IV: Online-Anwendungen, E-Commerce und Cybersecurity</w:t>
            </w:r>
            <w:r>
              <w:rPr>
                <w:noProof/>
                <w:webHidden/>
              </w:rPr>
              <w:tab/>
              <w:fldChar w:fldCharType="begin"/>
              <w:instrText xml:space="preserve"> PAGEREF _Toc226451924 \h </w:instrText>
              <w:fldChar w:fldCharType="separate"/>
              <w:t>17</w:t>
              <w:fldChar w:fldCharType="end"/>
            </w:r>
          </w:hyperlink>
        </w:p>
        <w:p w14:paraId="278E3B87" w14:textId="51FE3A75" w:rsidR="003B732C" w:rsidRDefault="003B732C">
          <w:pPr>
            <w:pStyle w:val="Verzeichnis2"/>
            <w:tabs>
              <w:tab w:val="right" w:leader="dot" w:pos="9062"/>
            </w:tabs>
            <w:rPr>
              <w:noProof/>
              <w:kern w:val="2"/>
              <w:sz w:val="24"/>
              <w:szCs w:val="24"/>
              <w:lang w:val="de-AT" w:eastAsia="de-AT"/>
              <w14:ligatures w14:val="standardContextual"/>
            </w:rPr>
          </w:pPr>
          <w:hyperlink w:anchor="_Toc226451925" w:history="1">
            <w:r>
              <w:rPr>
                <w:rStyle w:val="Hyperlink"/>
                <w:noProof/>
                <w:lang w:val="de-AT"/>
              </w:rPr>
              <w:t>8 Online-Gaming</w:t>
            </w:r>
            <w:r>
              <w:rPr>
                <w:noProof/>
                <w:webHidden/>
              </w:rPr>
              <w:tab/>
              <w:fldChar w:fldCharType="begin"/>
              <w:instrText xml:space="preserve"> PAGEREF _Toc226451925 \h </w:instrText>
              <w:fldChar w:fldCharType="separate"/>
              <w:t>17</w:t>
              <w:fldChar w:fldCharType="end"/>
            </w:r>
          </w:hyperlink>
        </w:p>
        <w:p w14:paraId="168E836F" w14:textId="50EBF0D2" w:rsidR="003B732C" w:rsidRDefault="003B732C">
          <w:pPr>
            <w:pStyle w:val="Verzeichnis3"/>
            <w:tabs>
              <w:tab w:val="right" w:leader="dot" w:pos="9062"/>
            </w:tabs>
            <w:rPr>
              <w:noProof/>
              <w:kern w:val="2"/>
              <w:sz w:val="24"/>
              <w:szCs w:val="24"/>
              <w:lang w:val="de-AT" w:eastAsia="de-AT"/>
              <w14:ligatures w14:val="standardContextual"/>
            </w:rPr>
          </w:pPr>
          <w:hyperlink w:anchor="_Toc226451926" w:history="1">
            <w:r>
              <w:rPr>
                <w:rStyle w:val="Hyperlink"/>
                <w:noProof/>
                <w:lang w:val="de-AT"/>
              </w:rPr>
              <w:t>8.1 Multiplayer-Synchronisation: Das Kernproblem</w:t>
            </w:r>
            <w:r>
              <w:rPr>
                <w:noProof/>
                <w:webHidden/>
              </w:rPr>
              <w:tab/>
              <w:fldChar w:fldCharType="begin"/>
              <w:instrText xml:space="preserve"> PAGEREF _Toc226451926 \h </w:instrText>
              <w:fldChar w:fldCharType="separate"/>
              <w:t>17</w:t>
              <w:fldChar w:fldCharType="end"/>
            </w:r>
          </w:hyperlink>
        </w:p>
        <w:p w14:paraId="7455078C" w14:textId="5603B1F7" w:rsidR="003B732C" w:rsidRDefault="003B732C">
          <w:pPr>
            <w:pStyle w:val="Verzeichnis3"/>
            <w:tabs>
              <w:tab w:val="right" w:leader="dot" w:pos="9062"/>
            </w:tabs>
            <w:rPr>
              <w:noProof/>
              <w:kern w:val="2"/>
              <w:sz w:val="24"/>
              <w:szCs w:val="24"/>
              <w:lang w:val="de-AT" w:eastAsia="de-AT"/>
              <w14:ligatures w14:val="standardContextual"/>
            </w:rPr>
          </w:pPr>
          <w:hyperlink w:anchor="_Toc226451927" w:history="1">
            <w:r>
              <w:rPr>
                <w:rStyle w:val="Hyperlink"/>
                <w:noProof/>
                <w:lang w:val="de-AT"/>
              </w:rPr>
              <w:t>8.2 Live-Events und globale Startzeiten</w:t>
            </w:r>
            <w:r>
              <w:rPr>
                <w:noProof/>
                <w:webHidden/>
              </w:rPr>
              <w:tab/>
              <w:fldChar w:fldCharType="begin"/>
              <w:instrText xml:space="preserve"> PAGEREF _Toc226451927 \h </w:instrText>
              <w:fldChar w:fldCharType="separate"/>
              <w:t>18</w:t>
              <w:fldChar w:fldCharType="end"/>
            </w:r>
          </w:hyperlink>
        </w:p>
        <w:p w14:paraId="7D0F77F9" w14:textId="33C95E69" w:rsidR="003B732C" w:rsidRDefault="003B732C">
          <w:pPr>
            <w:pStyle w:val="Verzeichnis3"/>
            <w:tabs>
              <w:tab w:val="right" w:leader="dot" w:pos="9062"/>
            </w:tabs>
            <w:rPr>
              <w:noProof/>
              <w:kern w:val="2"/>
              <w:sz w:val="24"/>
              <w:szCs w:val="24"/>
              <w:lang w:val="de-AT" w:eastAsia="de-AT"/>
              <w14:ligatures w14:val="standardContextual"/>
            </w:rPr>
          </w:pPr>
          <w:hyperlink w:anchor="_Toc226451928" w:history="1">
            <w:r>
              <w:rPr>
                <w:rStyle w:val="Hyperlink"/>
                <w:noProof/>
              </w:rPr>
              <w:t>8.3 Anti-Cheat und Spielintergrität</w:t>
            </w:r>
            <w:r>
              <w:rPr>
                <w:noProof/>
                <w:webHidden/>
              </w:rPr>
              <w:tab/>
              <w:fldChar w:fldCharType="begin"/>
              <w:instrText xml:space="preserve"> PAGEREF _Toc226451928 \h </w:instrText>
              <w:fldChar w:fldCharType="separate"/>
              <w:t>18</w:t>
              <w:fldChar w:fldCharType="end"/>
            </w:r>
          </w:hyperlink>
        </w:p>
        <w:p w14:paraId="557A7DDF" w14:textId="2875A13F" w:rsidR="003B732C" w:rsidRDefault="003B732C">
          <w:pPr>
            <w:pStyle w:val="Verzeichnis3"/>
            <w:tabs>
              <w:tab w:val="right" w:leader="dot" w:pos="9062"/>
            </w:tabs>
            <w:rPr>
              <w:noProof/>
              <w:kern w:val="2"/>
              <w:sz w:val="24"/>
              <w:szCs w:val="24"/>
              <w:lang w:val="de-AT" w:eastAsia="de-AT"/>
              <w14:ligatures w14:val="standardContextual"/>
            </w:rPr>
          </w:pPr>
          <w:hyperlink w:anchor="_Toc226451929" w:history="1">
            <w:r>
              <w:rPr>
                <w:rStyle w:val="Hyperlink"/>
                <w:noProof/>
              </w:rPr>
              <w:t>8.4 Esports: Turniermanagement und Rechtssicherheit</w:t>
            </w:r>
            <w:r>
              <w:rPr>
                <w:noProof/>
                <w:webHidden/>
              </w:rPr>
              <w:tab/>
              <w:fldChar w:fldCharType="begin"/>
              <w:instrText xml:space="preserve"> PAGEREF _Toc226451929 \h </w:instrText>
              <w:fldChar w:fldCharType="separate"/>
              <w:t>19</w:t>
              <w:fldChar w:fldCharType="end"/>
            </w:r>
          </w:hyperlink>
        </w:p>
        <w:p w14:paraId="573BBBF0" w14:textId="79AFFC2F" w:rsidR="003B732C" w:rsidRDefault="003B732C">
          <w:pPr>
            <w:pStyle w:val="Verzeichnis3"/>
            <w:tabs>
              <w:tab w:val="right" w:leader="dot" w:pos="9062"/>
            </w:tabs>
            <w:rPr>
              <w:noProof/>
              <w:kern w:val="2"/>
              <w:sz w:val="24"/>
              <w:szCs w:val="24"/>
              <w:lang w:val="de-AT" w:eastAsia="de-AT"/>
              <w14:ligatures w14:val="standardContextual"/>
            </w:rPr>
          </w:pPr>
          <w:hyperlink w:anchor="_Toc226451930" w:history="1">
            <w:r>
              <w:rPr>
                <w:rStyle w:val="Hyperlink"/>
                <w:noProof/>
                <w:lang w:val="de-AT"/>
              </w:rPr>
              <w:t>8.5 Mobile Gaming und In-App-Käufe</w:t>
            </w:r>
            <w:r>
              <w:rPr>
                <w:noProof/>
                <w:webHidden/>
              </w:rPr>
              <w:tab/>
              <w:fldChar w:fldCharType="begin"/>
              <w:instrText xml:space="preserve"> PAGEREF _Toc226451930 \h </w:instrText>
              <w:fldChar w:fldCharType="separate"/>
              <w:t>19</w:t>
              <w:fldChar w:fldCharType="end"/>
            </w:r>
          </w:hyperlink>
        </w:p>
        <w:p w14:paraId="29A5BD8E" w14:textId="647A104C" w:rsidR="003B732C" w:rsidRDefault="003B732C">
          <w:pPr>
            <w:pStyle w:val="Verzeichnis2"/>
            <w:tabs>
              <w:tab w:val="right" w:leader="dot" w:pos="9062"/>
            </w:tabs>
            <w:rPr>
              <w:noProof/>
              <w:kern w:val="2"/>
              <w:sz w:val="24"/>
              <w:szCs w:val="24"/>
              <w:lang w:val="de-AT" w:eastAsia="de-AT"/>
              <w14:ligatures w14:val="standardContextual"/>
            </w:rPr>
          </w:pPr>
          <w:hyperlink w:anchor="_Toc226451931" w:history="1">
            <w:r>
              <w:rPr>
                <w:rStyle w:val="Hyperlink"/>
                <w:noProof/>
              </w:rPr>
              <w:t>9 Online-Konferenzen: Teams, Zoom, Webex &amp; Co.</w:t>
            </w:r>
            <w:r>
              <w:rPr>
                <w:noProof/>
                <w:webHidden/>
              </w:rPr>
              <w:tab/>
              <w:fldChar w:fldCharType="begin"/>
              <w:instrText xml:space="preserve"> PAGEREF _Toc226451931 \h </w:instrText>
              <w:fldChar w:fldCharType="separate"/>
              <w:t>20</w:t>
              <w:fldChar w:fldCharType="end"/>
            </w:r>
          </w:hyperlink>
        </w:p>
        <w:p w14:paraId="5665C27B" w14:textId="017D99F7" w:rsidR="003B732C" w:rsidRDefault="003B732C">
          <w:pPr>
            <w:pStyle w:val="Verzeichnis3"/>
            <w:tabs>
              <w:tab w:val="right" w:leader="dot" w:pos="9062"/>
            </w:tabs>
            <w:rPr>
              <w:noProof/>
              <w:kern w:val="2"/>
              <w:sz w:val="24"/>
              <w:szCs w:val="24"/>
              <w:lang w:val="de-AT" w:eastAsia="de-AT"/>
              <w14:ligatures w14:val="standardContextual"/>
            </w:rPr>
          </w:pPr>
          <w:hyperlink w:anchor="_Toc226451932" w:history="1">
            <w:r>
              <w:rPr>
                <w:rStyle w:val="Hyperlink"/>
                <w:noProof/>
                <w:lang w:val="de-AT"/>
              </w:rPr>
              <w:t>9.1 Das DST-Problem bei wiederkehrenden Meetings</w:t>
            </w:r>
            <w:r>
              <w:rPr>
                <w:noProof/>
                <w:webHidden/>
              </w:rPr>
              <w:tab/>
              <w:fldChar w:fldCharType="begin"/>
              <w:instrText xml:space="preserve"> PAGEREF _Toc226451932 \h </w:instrText>
              <w:fldChar w:fldCharType="separate"/>
              <w:t>20</w:t>
              <w:fldChar w:fldCharType="end"/>
            </w:r>
          </w:hyperlink>
        </w:p>
        <w:p w14:paraId="18E2D6FB" w14:textId="6A141C99" w:rsidR="003B732C" w:rsidRDefault="003B732C">
          <w:pPr>
            <w:pStyle w:val="Verzeichnis3"/>
            <w:tabs>
              <w:tab w:val="right" w:leader="dot" w:pos="9062"/>
            </w:tabs>
            <w:rPr>
              <w:noProof/>
              <w:kern w:val="2"/>
              <w:sz w:val="24"/>
              <w:szCs w:val="24"/>
              <w:lang w:val="de-AT" w:eastAsia="de-AT"/>
              <w14:ligatures w14:val="standardContextual"/>
            </w:rPr>
          </w:pPr>
          <w:hyperlink w:anchor="_Toc226451933" w:history="1">
            <w:r>
              <w:rPr>
                <w:rStyle w:val="Hyperlink"/>
                <w:noProof/>
                <w:lang w:val="de-AT"/>
              </w:rPr>
              <w:t>9.2 Compliance und rechtlich belastbare Zeitstempel</w:t>
            </w:r>
            <w:r>
              <w:rPr>
                <w:noProof/>
                <w:webHidden/>
              </w:rPr>
              <w:tab/>
              <w:fldChar w:fldCharType="begin"/>
              <w:instrText xml:space="preserve"> PAGEREF _Toc226451933 \h </w:instrText>
              <w:fldChar w:fldCharType="separate"/>
              <w:t>21</w:t>
              <w:fldChar w:fldCharType="end"/>
            </w:r>
          </w:hyperlink>
        </w:p>
        <w:p w14:paraId="515E1D0B" w14:textId="4F24907F" w:rsidR="003B732C" w:rsidRDefault="003B732C">
          <w:pPr>
            <w:pStyle w:val="Verzeichnis3"/>
            <w:tabs>
              <w:tab w:val="right" w:leader="dot" w:pos="9062"/>
            </w:tabs>
            <w:rPr>
              <w:noProof/>
              <w:kern w:val="2"/>
              <w:sz w:val="24"/>
              <w:szCs w:val="24"/>
              <w:lang w:val="de-AT" w:eastAsia="de-AT"/>
              <w14:ligatures w14:val="standardContextual"/>
            </w:rPr>
          </w:pPr>
          <w:hyperlink w:anchor="_Toc226451934" w:history="1">
            <w:r>
              <w:rPr>
                <w:rStyle w:val="Hyperlink"/>
                <w:noProof/>
              </w:rPr>
              <w:t>9.3 Transkription, Aufzeichnung und KI-Analyse</w:t>
            </w:r>
            <w:r>
              <w:rPr>
                <w:noProof/>
                <w:webHidden/>
              </w:rPr>
              <w:tab/>
              <w:fldChar w:fldCharType="begin"/>
              <w:instrText xml:space="preserve"> PAGEREF _Toc226451934 \h </w:instrText>
              <w:fldChar w:fldCharType="separate"/>
              <w:t>21</w:t>
              <w:fldChar w:fldCharType="end"/>
            </w:r>
          </w:hyperlink>
        </w:p>
        <w:p w14:paraId="228D223D" w14:textId="46541169" w:rsidR="003B732C" w:rsidRDefault="003B732C">
          <w:pPr>
            <w:pStyle w:val="Verzeichnis3"/>
            <w:tabs>
              <w:tab w:val="right" w:leader="dot" w:pos="9062"/>
            </w:tabs>
            <w:rPr>
              <w:noProof/>
              <w:kern w:val="2"/>
              <w:sz w:val="24"/>
              <w:szCs w:val="24"/>
              <w:lang w:val="de-AT" w:eastAsia="de-AT"/>
              <w14:ligatures w14:val="standardContextual"/>
            </w:rPr>
          </w:pPr>
          <w:hyperlink w:anchor="_Toc226451935" w:history="1">
            <w:r>
              <w:rPr>
                <w:rStyle w:val="Hyperlink"/>
                <w:noProof/>
              </w:rPr>
              <w:t>9.4 Virtuelle Zusammenarbeit in verteilten Teams</w:t>
            </w:r>
            <w:r>
              <w:rPr>
                <w:noProof/>
                <w:webHidden/>
              </w:rPr>
              <w:tab/>
              <w:fldChar w:fldCharType="begin"/>
              <w:instrText xml:space="preserve"> PAGEREF _Toc226451935 \h </w:instrText>
              <w:fldChar w:fldCharType="separate"/>
              <w:t>22</w:t>
              <w:fldChar w:fldCharType="end"/>
            </w:r>
          </w:hyperlink>
        </w:p>
        <w:p w14:paraId="1B673F93" w14:textId="2A5AEE0E" w:rsidR="003B732C" w:rsidRDefault="003B732C">
          <w:pPr>
            <w:pStyle w:val="Verzeichnis2"/>
            <w:tabs>
              <w:tab w:val="right" w:leader="dot" w:pos="9062"/>
            </w:tabs>
            <w:rPr>
              <w:noProof/>
              <w:kern w:val="2"/>
              <w:sz w:val="24"/>
              <w:szCs w:val="24"/>
              <w:lang w:val="de-AT" w:eastAsia="de-AT"/>
              <w14:ligatures w14:val="standardContextual"/>
            </w:rPr>
          </w:pPr>
          <w:hyperlink w:anchor="_Toc226451936" w:history="1">
            <w:r>
              <w:rPr>
                <w:rStyle w:val="Hyperlink"/>
                <w:noProof/>
                <w:lang w:val="de-AT"/>
              </w:rPr>
              <w:t>10 E-Commerce, Fintech und Banking</w:t>
            </w:r>
            <w:r>
              <w:rPr>
                <w:noProof/>
                <w:webHidden/>
              </w:rPr>
              <w:tab/>
              <w:fldChar w:fldCharType="begin"/>
              <w:instrText xml:space="preserve"> PAGEREF _Toc226451936 \h </w:instrText>
              <w:fldChar w:fldCharType="separate"/>
              <w:t>22</w:t>
              <w:fldChar w:fldCharType="end"/>
            </w:r>
          </w:hyperlink>
        </w:p>
        <w:p w14:paraId="62FEB3D5" w14:textId="1CC4BC59" w:rsidR="003B732C" w:rsidRDefault="003B732C">
          <w:pPr>
            <w:pStyle w:val="Verzeichnis3"/>
            <w:tabs>
              <w:tab w:val="right" w:leader="dot" w:pos="9062"/>
            </w:tabs>
            <w:rPr>
              <w:noProof/>
              <w:kern w:val="2"/>
              <w:sz w:val="24"/>
              <w:szCs w:val="24"/>
              <w:lang w:val="de-AT" w:eastAsia="de-AT"/>
              <w14:ligatures w14:val="standardContextual"/>
            </w:rPr>
          </w:pPr>
          <w:hyperlink w:anchor="_Toc226451937" w:history="1">
            <w:r>
              <w:rPr>
                <w:rStyle w:val="Hyperlink"/>
                <w:noProof/>
                <w:lang w:val="de-AT"/>
              </w:rPr>
              <w:t>10.1 E-Commerce: Fristen, Steuerperioden und Lieferzusagen</w:t>
            </w:r>
            <w:r>
              <w:rPr>
                <w:noProof/>
                <w:webHidden/>
              </w:rPr>
              <w:tab/>
              <w:fldChar w:fldCharType="begin"/>
              <w:instrText xml:space="preserve"> PAGEREF _Toc226451937 \h </w:instrText>
              <w:fldChar w:fldCharType="separate"/>
              <w:t>22</w:t>
              <w:fldChar w:fldCharType="end"/>
            </w:r>
          </w:hyperlink>
        </w:p>
        <w:p w14:paraId="6045CC84" w14:textId="6EE0C254" w:rsidR="003B732C" w:rsidRDefault="003B732C">
          <w:pPr>
            <w:pStyle w:val="Verzeichnis3"/>
            <w:tabs>
              <w:tab w:val="right" w:leader="dot" w:pos="9062"/>
            </w:tabs>
            <w:rPr>
              <w:noProof/>
              <w:kern w:val="2"/>
              <w:sz w:val="24"/>
              <w:szCs w:val="24"/>
              <w:lang w:val="de-AT" w:eastAsia="de-AT"/>
              <w14:ligatures w14:val="standardContextual"/>
            </w:rPr>
          </w:pPr>
          <w:hyperlink w:anchor="_Toc226451938" w:history="1">
            <w:r>
              <w:rPr>
                <w:rStyle w:val="Hyperlink"/>
                <w:noProof/>
              </w:rPr>
              <w:t>10.2 Banking und Zahlungsverkehr</w:t>
            </w:r>
            <w:r>
              <w:rPr>
                <w:noProof/>
                <w:webHidden/>
              </w:rPr>
              <w:tab/>
              <w:fldChar w:fldCharType="begin"/>
              <w:instrText xml:space="preserve"> PAGEREF _Toc226451938 \h </w:instrText>
              <w:fldChar w:fldCharType="separate"/>
              <w:t>23</w:t>
              <w:fldChar w:fldCharType="end"/>
            </w:r>
          </w:hyperlink>
        </w:p>
        <w:p w14:paraId="70C3D17F" w14:textId="78A154A9" w:rsidR="003B732C" w:rsidRDefault="003B732C">
          <w:pPr>
            <w:pStyle w:val="Verzeichnis3"/>
            <w:tabs>
              <w:tab w:val="right" w:leader="dot" w:pos="9062"/>
            </w:tabs>
            <w:rPr>
              <w:noProof/>
              <w:kern w:val="2"/>
              <w:sz w:val="24"/>
              <w:szCs w:val="24"/>
              <w:lang w:val="de-AT" w:eastAsia="de-AT"/>
              <w14:ligatures w14:val="standardContextual"/>
            </w:rPr>
          </w:pPr>
          <w:hyperlink w:anchor="_Toc226451939" w:history="1">
            <w:r>
              <w:rPr>
                <w:rStyle w:val="Hyperlink"/>
                <w:noProof/>
              </w:rPr>
              <w:t>10.3 Kryptowährungen und DeFi</w:t>
            </w:r>
            <w:r>
              <w:rPr>
                <w:noProof/>
                <w:webHidden/>
              </w:rPr>
              <w:tab/>
              <w:fldChar w:fldCharType="begin"/>
              <w:instrText xml:space="preserve"> PAGEREF _Toc226451939 \h </w:instrText>
              <w:fldChar w:fldCharType="separate"/>
              <w:t>23</w:t>
              <w:fldChar w:fldCharType="end"/>
            </w:r>
          </w:hyperlink>
        </w:p>
        <w:p w14:paraId="2348E468" w14:textId="24FA06F3" w:rsidR="003B732C" w:rsidRDefault="003B732C">
          <w:pPr>
            <w:pStyle w:val="Verzeichnis2"/>
            <w:tabs>
              <w:tab w:val="right" w:leader="dot" w:pos="9062"/>
            </w:tabs>
            <w:rPr>
              <w:noProof/>
              <w:kern w:val="2"/>
              <w:sz w:val="24"/>
              <w:szCs w:val="24"/>
              <w:lang w:val="de-AT" w:eastAsia="de-AT"/>
              <w14:ligatures w14:val="standardContextual"/>
            </w:rPr>
          </w:pPr>
          <w:hyperlink w:anchor="_Toc226451940" w:history="1">
            <w:r>
              <w:rPr>
                <w:rStyle w:val="Hyperlink"/>
                <w:noProof/>
                <w:lang w:val="de-AT"/>
              </w:rPr>
              <w:t>11 Streaming, Social Media und Cybersecurity</w:t>
            </w:r>
            <w:r>
              <w:rPr>
                <w:noProof/>
                <w:webHidden/>
              </w:rPr>
              <w:tab/>
              <w:fldChar w:fldCharType="begin"/>
              <w:instrText xml:space="preserve"> PAGEREF _Toc226451940 \h </w:instrText>
              <w:fldChar w:fldCharType="separate"/>
              <w:t>24</w:t>
              <w:fldChar w:fldCharType="end"/>
            </w:r>
          </w:hyperlink>
        </w:p>
        <w:p w14:paraId="3E6F3995" w14:textId="637B69B3" w:rsidR="003B732C" w:rsidRDefault="003B732C">
          <w:pPr>
            <w:pStyle w:val="Verzeichnis3"/>
            <w:tabs>
              <w:tab w:val="right" w:leader="dot" w:pos="9062"/>
            </w:tabs>
            <w:rPr>
              <w:noProof/>
              <w:kern w:val="2"/>
              <w:sz w:val="24"/>
              <w:szCs w:val="24"/>
              <w:lang w:val="de-AT" w:eastAsia="de-AT"/>
              <w14:ligatures w14:val="standardContextual"/>
            </w:rPr>
          </w:pPr>
          <w:hyperlink w:anchor="_Toc226451941" w:history="1">
            <w:r>
              <w:rPr>
                <w:rStyle w:val="Hyperlink"/>
                <w:noProof/>
                <w:lang w:val="de-AT"/>
              </w:rPr>
              <w:t>11.1 Streaming-Dienste: Inhaltsverfügbarkeit und Lizenzen</w:t>
            </w:r>
            <w:r>
              <w:rPr>
                <w:noProof/>
                <w:webHidden/>
              </w:rPr>
              <w:tab/>
              <w:fldChar w:fldCharType="begin"/>
              <w:instrText xml:space="preserve"> PAGEREF _Toc226451941 \h </w:instrText>
              <w:fldChar w:fldCharType="separate"/>
              <w:t>24</w:t>
              <w:fldChar w:fldCharType="end"/>
            </w:r>
          </w:hyperlink>
        </w:p>
        <w:p w14:paraId="4C00CDC3" w14:textId="6EBD3E76" w:rsidR="003B732C" w:rsidRDefault="003B732C">
          <w:pPr>
            <w:pStyle w:val="Verzeichnis3"/>
            <w:tabs>
              <w:tab w:val="right" w:leader="dot" w:pos="9062"/>
            </w:tabs>
            <w:rPr>
              <w:noProof/>
              <w:kern w:val="2"/>
              <w:sz w:val="24"/>
              <w:szCs w:val="24"/>
              <w:lang w:val="de-AT" w:eastAsia="de-AT"/>
              <w14:ligatures w14:val="standardContextual"/>
            </w:rPr>
          </w:pPr>
          <w:hyperlink w:anchor="_Toc226451942" w:history="1">
            <w:r>
              <w:rPr>
                <w:rStyle w:val="Hyperlink"/>
                <w:noProof/>
              </w:rPr>
              <w:t>11.2 Social Media: Zeitstempel, Trends und Analyse</w:t>
            </w:r>
            <w:r>
              <w:rPr>
                <w:noProof/>
                <w:webHidden/>
              </w:rPr>
              <w:tab/>
              <w:fldChar w:fldCharType="begin"/>
              <w:instrText xml:space="preserve"> PAGEREF _Toc226451942 \h </w:instrText>
              <w:fldChar w:fldCharType="separate"/>
              <w:t>24</w:t>
              <w:fldChar w:fldCharType="end"/>
            </w:r>
          </w:hyperlink>
        </w:p>
        <w:p w14:paraId="55E29A5D" w14:textId="6AF00EDF" w:rsidR="003B732C" w:rsidRDefault="003B732C">
          <w:pPr>
            <w:pStyle w:val="Verzeichnis3"/>
            <w:tabs>
              <w:tab w:val="right" w:leader="dot" w:pos="9062"/>
            </w:tabs>
            <w:rPr>
              <w:noProof/>
              <w:kern w:val="2"/>
              <w:sz w:val="24"/>
              <w:szCs w:val="24"/>
              <w:lang w:val="de-AT" w:eastAsia="de-AT"/>
              <w14:ligatures w14:val="standardContextual"/>
            </w:rPr>
          </w:pPr>
          <w:hyperlink w:anchor="_Toc226451943" w:history="1">
            <w:r>
              <w:rPr>
                <w:rStyle w:val="Hyperlink"/>
                <w:noProof/>
                <w:lang w:val="de-AT"/>
              </w:rPr>
              <w:t>11.3 Cybersecurity: Zeit als Angriffsfläche</w:t>
            </w:r>
            <w:r>
              <w:rPr>
                <w:noProof/>
                <w:webHidden/>
              </w:rPr>
              <w:tab/>
              <w:fldChar w:fldCharType="begin"/>
              <w:instrText xml:space="preserve"> PAGEREF _Toc226451943 \h </w:instrText>
              <w:fldChar w:fldCharType="separate"/>
              <w:t>25</w:t>
              <w:fldChar w:fldCharType="end"/>
            </w:r>
          </w:hyperlink>
        </w:p>
        <w:p w14:paraId="7148CA88" w14:textId="00B37798" w:rsidR="003B732C" w:rsidRDefault="003B732C">
          <w:pPr>
            <w:pStyle w:val="Verzeichnis3"/>
            <w:tabs>
              <w:tab w:val="right" w:leader="dot" w:pos="9062"/>
            </w:tabs>
            <w:rPr>
              <w:noProof/>
              <w:kern w:val="2"/>
              <w:sz w:val="24"/>
              <w:szCs w:val="24"/>
              <w:lang w:val="de-AT" w:eastAsia="de-AT"/>
              <w14:ligatures w14:val="standardContextual"/>
            </w:rPr>
          </w:pPr>
          <w:hyperlink w:anchor="_Toc226451944" w:history="1">
            <w:r>
              <w:rPr>
                <w:rStyle w:val="Hyperlink"/>
                <w:noProof/>
              </w:rPr>
              <w:t>11.4 Ticketsysteme und SLA-Management</w:t>
            </w:r>
            <w:r>
              <w:rPr>
                <w:noProof/>
                <w:webHidden/>
              </w:rPr>
              <w:tab/>
              <w:fldChar w:fldCharType="begin"/>
              <w:instrText xml:space="preserve"> PAGEREF _Toc226451944 \h </w:instrText>
              <w:fldChar w:fldCharType="separate"/>
              <w:t>25</w:t>
              <w:fldChar w:fldCharType="end"/>
            </w:r>
          </w:hyperlink>
        </w:p>
        <w:p w14:paraId="108EC110" w14:textId="1106D289" w:rsidR="003B732C" w:rsidRDefault="003B732C">
          <w:pPr>
            <w:pStyle w:val="Verzeichnis2"/>
            <w:tabs>
              <w:tab w:val="right" w:leader="dot" w:pos="9062"/>
            </w:tabs>
            <w:rPr>
              <w:noProof/>
              <w:kern w:val="2"/>
              <w:sz w:val="24"/>
              <w:szCs w:val="24"/>
              <w:lang w:val="de-AT" w:eastAsia="de-AT"/>
              <w14:ligatures w14:val="standardContextual"/>
            </w:rPr>
          </w:pPr>
          <w:hyperlink w:anchor="_Toc226451945" w:history="1">
            <w:r>
              <w:rPr>
                <w:rStyle w:val="Hyperlink"/>
                <w:noProof/>
                <w:lang w:val="de-AT"/>
              </w:rPr>
              <w:t>12 Weitere Online-Anwendungsfelder</w:t>
            </w:r>
            <w:r>
              <w:rPr>
                <w:noProof/>
                <w:webHidden/>
              </w:rPr>
              <w:tab/>
              <w:fldChar w:fldCharType="begin"/>
              <w:instrText xml:space="preserve"> PAGEREF _Toc226451945 \h </w:instrText>
              <w:fldChar w:fldCharType="separate"/>
              <w:t>26</w:t>
              <w:fldChar w:fldCharType="end"/>
            </w:r>
          </w:hyperlink>
        </w:p>
        <w:p w14:paraId="4F914DD1" w14:textId="7E15681A" w:rsidR="003B732C" w:rsidRDefault="003B732C">
          <w:pPr>
            <w:pStyle w:val="Verzeichnis3"/>
            <w:tabs>
              <w:tab w:val="right" w:leader="dot" w:pos="9062"/>
            </w:tabs>
            <w:rPr>
              <w:noProof/>
              <w:kern w:val="2"/>
              <w:sz w:val="24"/>
              <w:szCs w:val="24"/>
              <w:lang w:val="de-AT" w:eastAsia="de-AT"/>
              <w14:ligatures w14:val="standardContextual"/>
            </w:rPr>
          </w:pPr>
          <w:hyperlink w:anchor="_Toc226451946" w:history="1">
            <w:r>
              <w:rPr>
                <w:rStyle w:val="Hyperlink"/>
                <w:noProof/>
                <w:lang w:val="de-AT"/>
              </w:rPr>
              <w:t>12.1 Digitale Verträge und eIDAS</w:t>
            </w:r>
            <w:r>
              <w:rPr>
                <w:noProof/>
                <w:webHidden/>
              </w:rPr>
              <w:tab/>
              <w:fldChar w:fldCharType="begin"/>
              <w:instrText xml:space="preserve"> PAGEREF _Toc226451946 \h </w:instrText>
              <w:fldChar w:fldCharType="separate"/>
              <w:t>26</w:t>
              <w:fldChar w:fldCharType="end"/>
            </w:r>
          </w:hyperlink>
        </w:p>
        <w:p w14:paraId="14631DF3" w14:textId="56425209" w:rsidR="003B732C" w:rsidRDefault="003B732C">
          <w:pPr>
            <w:pStyle w:val="Verzeichnis3"/>
            <w:tabs>
              <w:tab w:val="right" w:leader="dot" w:pos="9062"/>
            </w:tabs>
            <w:rPr>
              <w:noProof/>
              <w:kern w:val="2"/>
              <w:sz w:val="24"/>
              <w:szCs w:val="24"/>
              <w:lang w:val="de-AT" w:eastAsia="de-AT"/>
              <w14:ligatures w14:val="standardContextual"/>
            </w:rPr>
          </w:pPr>
          <w:hyperlink w:anchor="_Toc226451947" w:history="1">
            <w:r>
              <w:rPr>
                <w:rStyle w:val="Hyperlink"/>
                <w:noProof/>
              </w:rPr>
              <w:t>12.2 Gesundheitswesen und Telemedizin</w:t>
            </w:r>
            <w:r>
              <w:rPr>
                <w:noProof/>
                <w:webHidden/>
              </w:rPr>
              <w:tab/>
              <w:fldChar w:fldCharType="begin"/>
              <w:instrText xml:space="preserve"> PAGEREF _Toc226451947 \h </w:instrText>
              <w:fldChar w:fldCharType="separate"/>
              <w:t>26</w:t>
              <w:fldChar w:fldCharType="end"/>
            </w:r>
          </w:hyperlink>
        </w:p>
        <w:p w14:paraId="3980B0A5" w14:textId="693CCEC8" w:rsidR="003B732C" w:rsidRDefault="003B732C">
          <w:pPr>
            <w:pStyle w:val="Verzeichnis3"/>
            <w:tabs>
              <w:tab w:val="right" w:leader="dot" w:pos="9062"/>
            </w:tabs>
            <w:rPr>
              <w:noProof/>
              <w:kern w:val="2"/>
              <w:sz w:val="24"/>
              <w:szCs w:val="24"/>
              <w:lang w:val="de-AT" w:eastAsia="de-AT"/>
              <w14:ligatures w14:val="standardContextual"/>
            </w:rPr>
          </w:pPr>
          <w:hyperlink w:anchor="_Toc226451948" w:history="1">
            <w:r>
              <w:rPr>
                <w:rStyle w:val="Hyperlink"/>
                <w:noProof/>
              </w:rPr>
              <w:t>12.3 Transport und Logistik</w:t>
            </w:r>
            <w:r>
              <w:rPr>
                <w:noProof/>
                <w:webHidden/>
              </w:rPr>
              <w:tab/>
              <w:fldChar w:fldCharType="begin"/>
              <w:instrText xml:space="preserve"> PAGEREF _Toc226451948 \h </w:instrText>
              <w:fldChar w:fldCharType="separate"/>
              <w:t>27</w:t>
              <w:fldChar w:fldCharType="end"/>
            </w:r>
          </w:hyperlink>
        </w:p>
        <w:p w14:paraId="19057AB8" w14:textId="0F205A1C" w:rsidR="003B732C" w:rsidRDefault="003B732C">
          <w:pPr>
            <w:pStyle w:val="Verzeichnis3"/>
            <w:tabs>
              <w:tab w:val="right" w:leader="dot" w:pos="9062"/>
            </w:tabs>
            <w:rPr>
              <w:noProof/>
              <w:kern w:val="2"/>
              <w:sz w:val="24"/>
              <w:szCs w:val="24"/>
              <w:lang w:val="de-AT" w:eastAsia="de-AT"/>
              <w14:ligatures w14:val="standardContextual"/>
            </w:rPr>
          </w:pPr>
          <w:hyperlink w:anchor="_Toc226451949" w:history="1">
            <w:r>
              <w:rPr>
                <w:rStyle w:val="Hyperlink"/>
                <w:noProof/>
              </w:rPr>
              <w:t>12.4 Öffentliche Verwaltung und E-Government</w:t>
            </w:r>
            <w:r>
              <w:rPr>
                <w:noProof/>
                <w:webHidden/>
              </w:rPr>
              <w:tab/>
              <w:fldChar w:fldCharType="begin"/>
              <w:instrText xml:space="preserve"> PAGEREF _Toc226451949 \h </w:instrText>
              <w:fldChar w:fldCharType="separate"/>
              <w:t>27</w:t>
              <w:fldChar w:fldCharType="end"/>
            </w:r>
          </w:hyperlink>
        </w:p>
        <w:p w14:paraId="024190FB" w14:textId="5B2DEC54" w:rsidR="003B732C" w:rsidRDefault="003B732C">
          <w:pPr>
            <w:pStyle w:val="Verzeichnis1"/>
            <w:tabs>
              <w:tab w:val="right" w:leader="dot" w:pos="9062"/>
            </w:tabs>
            <w:rPr>
              <w:noProof/>
              <w:kern w:val="2"/>
              <w:sz w:val="24"/>
              <w:szCs w:val="24"/>
              <w:lang w:val="de-AT" w:eastAsia="de-AT"/>
              <w14:ligatures w14:val="standardContextual"/>
            </w:rPr>
          </w:pPr>
          <w:hyperlink w:anchor="_Toc226451950" w:history="1">
            <w:r>
              <w:rPr>
                <w:rStyle w:val="Hyperlink"/>
                <w:noProof/>
                <w:lang w:val="de-AT"/>
              </w:rPr>
              <w:t>Teil V: Energiewirtschaft, Smart Grid und Telekommunikation</w:t>
            </w:r>
            <w:r>
              <w:rPr>
                <w:noProof/>
                <w:webHidden/>
              </w:rPr>
              <w:tab/>
              <w:fldChar w:fldCharType="begin"/>
              <w:instrText xml:space="preserve"> PAGEREF _Toc226451950 \h </w:instrText>
              <w:fldChar w:fldCharType="separate"/>
              <w:t>28</w:t>
              <w:fldChar w:fldCharType="end"/>
            </w:r>
          </w:hyperlink>
        </w:p>
        <w:p w14:paraId="2863A023" w14:textId="4EDA72DB" w:rsidR="003B732C" w:rsidRDefault="003B732C">
          <w:pPr>
            <w:pStyle w:val="Verzeichnis2"/>
            <w:tabs>
              <w:tab w:val="right" w:leader="dot" w:pos="9062"/>
            </w:tabs>
            <w:rPr>
              <w:noProof/>
              <w:kern w:val="2"/>
              <w:sz w:val="24"/>
              <w:szCs w:val="24"/>
              <w:lang w:val="de-AT" w:eastAsia="de-AT"/>
              <w14:ligatures w14:val="standardContextual"/>
            </w:rPr>
          </w:pPr>
          <w:hyperlink w:anchor="_Toc226451951" w:history="1">
            <w:r>
              <w:rPr>
                <w:rStyle w:val="Hyperlink"/>
                <w:noProof/>
                <w:lang w:val="de-AT"/>
              </w:rPr>
              <w:t>13 Energie &amp; Smart Grid</w:t>
            </w:r>
            <w:r>
              <w:rPr>
                <w:noProof/>
                <w:webHidden/>
              </w:rPr>
              <w:tab/>
              <w:fldChar w:fldCharType="begin"/>
              <w:instrText xml:space="preserve"> PAGEREF _Toc226451951 \h </w:instrText>
              <w:fldChar w:fldCharType="separate"/>
              <w:t>28</w:t>
              <w:fldChar w:fldCharType="end"/>
            </w:r>
          </w:hyperlink>
        </w:p>
        <w:p w14:paraId="110325FA" w14:textId="00C29039" w:rsidR="003B732C" w:rsidRDefault="003B732C">
          <w:pPr>
            <w:pStyle w:val="Verzeichnis3"/>
            <w:tabs>
              <w:tab w:val="right" w:leader="dot" w:pos="9062"/>
            </w:tabs>
            <w:rPr>
              <w:noProof/>
              <w:kern w:val="2"/>
              <w:sz w:val="24"/>
              <w:szCs w:val="24"/>
              <w:lang w:val="de-AT" w:eastAsia="de-AT"/>
              <w14:ligatures w14:val="standardContextual"/>
            </w:rPr>
          </w:pPr>
          <w:hyperlink w:anchor="_Toc226451952" w:history="1">
            <w:r>
              <w:rPr>
                <w:rStyle w:val="Hyperlink"/>
                <w:noProof/>
                <w:lang w:val="de-AT"/>
              </w:rPr>
              <w:t>13.1 Strombörsen und Energiemärkte</w:t>
            </w:r>
            <w:r>
              <w:rPr>
                <w:noProof/>
                <w:webHidden/>
              </w:rPr>
              <w:tab/>
              <w:fldChar w:fldCharType="begin"/>
              <w:instrText xml:space="preserve"> PAGEREF _Toc226451952 \h </w:instrText>
              <w:fldChar w:fldCharType="separate"/>
              <w:t>28</w:t>
              <w:fldChar w:fldCharType="end"/>
            </w:r>
          </w:hyperlink>
        </w:p>
        <w:p w14:paraId="40D4A855" w14:textId="42C838A4" w:rsidR="003B732C" w:rsidRDefault="003B732C">
          <w:pPr>
            <w:pStyle w:val="Verzeichnis3"/>
            <w:tabs>
              <w:tab w:val="right" w:leader="dot" w:pos="9062"/>
            </w:tabs>
            <w:rPr>
              <w:noProof/>
              <w:kern w:val="2"/>
              <w:sz w:val="24"/>
              <w:szCs w:val="24"/>
              <w:lang w:val="de-AT" w:eastAsia="de-AT"/>
              <w14:ligatures w14:val="standardContextual"/>
            </w:rPr>
          </w:pPr>
          <w:hyperlink w:anchor="_Toc226451953" w:history="1">
            <w:r>
              <w:rPr>
                <w:rStyle w:val="Hyperlink"/>
                <w:noProof/>
                <w:lang w:val="de-AT"/>
              </w:rPr>
              <w:t>13.2 Smart Meter und Haushaltsmessung</w:t>
            </w:r>
            <w:r>
              <w:rPr>
                <w:noProof/>
                <w:webHidden/>
              </w:rPr>
              <w:tab/>
              <w:fldChar w:fldCharType="begin"/>
              <w:instrText xml:space="preserve"> PAGEREF _Toc226451953 \h </w:instrText>
              <w:fldChar w:fldCharType="separate"/>
              <w:t>29</w:t>
              <w:fldChar w:fldCharType="end"/>
            </w:r>
          </w:hyperlink>
        </w:p>
        <w:p w14:paraId="394AADC7" w14:textId="0D10BB53" w:rsidR="003B732C" w:rsidRDefault="003B732C">
          <w:pPr>
            <w:pStyle w:val="Verzeichnis3"/>
            <w:tabs>
              <w:tab w:val="right" w:leader="dot" w:pos="9062"/>
            </w:tabs>
            <w:rPr>
              <w:noProof/>
              <w:kern w:val="2"/>
              <w:sz w:val="24"/>
              <w:szCs w:val="24"/>
              <w:lang w:val="de-AT" w:eastAsia="de-AT"/>
              <w14:ligatures w14:val="standardContextual"/>
            </w:rPr>
          </w:pPr>
          <w:hyperlink w:anchor="_Toc226451954" w:history="1">
            <w:r>
              <w:rPr>
                <w:rStyle w:val="Hyperlink"/>
                <w:noProof/>
                <w:lang w:val="de-AT"/>
              </w:rPr>
              <w:t>13.3 Stromnetz-Synchronisation</w:t>
            </w:r>
            <w:r>
              <w:rPr>
                <w:noProof/>
                <w:webHidden/>
              </w:rPr>
              <w:tab/>
              <w:fldChar w:fldCharType="begin"/>
              <w:instrText xml:space="preserve"> PAGEREF _Toc226451954 \h </w:instrText>
              <w:fldChar w:fldCharType="separate"/>
              <w:t>29</w:t>
              <w:fldChar w:fldCharType="end"/>
            </w:r>
          </w:hyperlink>
        </w:p>
        <w:p w14:paraId="00F99086" w14:textId="503475F4" w:rsidR="003B732C" w:rsidRDefault="003B732C">
          <w:pPr>
            <w:pStyle w:val="Verzeichnis3"/>
            <w:tabs>
              <w:tab w:val="right" w:leader="dot" w:pos="9062"/>
            </w:tabs>
            <w:rPr>
              <w:noProof/>
              <w:kern w:val="2"/>
              <w:sz w:val="24"/>
              <w:szCs w:val="24"/>
              <w:lang w:val="de-AT" w:eastAsia="de-AT"/>
              <w14:ligatures w14:val="standardContextual"/>
            </w:rPr>
          </w:pPr>
          <w:hyperlink w:anchor="_Toc226451955" w:history="1">
            <w:r>
              <w:rPr>
                <w:rStyle w:val="Hyperlink"/>
                <w:noProof/>
              </w:rPr>
              <w:t>13.4 Erneuerbare Energien und Wetterprognosen</w:t>
            </w:r>
            <w:r>
              <w:rPr>
                <w:noProof/>
                <w:webHidden/>
              </w:rPr>
              <w:tab/>
              <w:fldChar w:fldCharType="begin"/>
              <w:instrText xml:space="preserve"> PAGEREF _Toc226451955 \h </w:instrText>
              <w:fldChar w:fldCharType="separate"/>
              <w:t>30</w:t>
              <w:fldChar w:fldCharType="end"/>
            </w:r>
          </w:hyperlink>
        </w:p>
        <w:p w14:paraId="012A275F" w14:textId="4F686A7A" w:rsidR="003B732C" w:rsidRDefault="003B732C">
          <w:pPr>
            <w:pStyle w:val="Verzeichnis2"/>
            <w:tabs>
              <w:tab w:val="right" w:leader="dot" w:pos="9062"/>
            </w:tabs>
            <w:rPr>
              <w:noProof/>
              <w:kern w:val="2"/>
              <w:sz w:val="24"/>
              <w:szCs w:val="24"/>
              <w:lang w:val="de-AT" w:eastAsia="de-AT"/>
              <w14:ligatures w14:val="standardContextual"/>
            </w:rPr>
          </w:pPr>
          <w:hyperlink w:anchor="_Toc226451956" w:history="1">
            <w:r>
              <w:rPr>
                <w:rStyle w:val="Hyperlink"/>
                <w:noProof/>
                <w:lang w:val="de-AT"/>
              </w:rPr>
              <w:t>14 Telekommunikation und Netzinfrastruktur</w:t>
            </w:r>
            <w:r>
              <w:rPr>
                <w:noProof/>
                <w:webHidden/>
              </w:rPr>
              <w:tab/>
              <w:fldChar w:fldCharType="begin"/>
              <w:instrText xml:space="preserve"> PAGEREF _Toc226451956 \h </w:instrText>
              <w:fldChar w:fldCharType="separate"/>
              <w:t>30</w:t>
              <w:fldChar w:fldCharType="end"/>
            </w:r>
          </w:hyperlink>
        </w:p>
        <w:p w14:paraId="49350DF3" w14:textId="1AF8FB91" w:rsidR="003B732C" w:rsidRDefault="003B732C">
          <w:pPr>
            <w:pStyle w:val="Verzeichnis3"/>
            <w:tabs>
              <w:tab w:val="right" w:leader="dot" w:pos="9062"/>
            </w:tabs>
            <w:rPr>
              <w:noProof/>
              <w:kern w:val="2"/>
              <w:sz w:val="24"/>
              <w:szCs w:val="24"/>
              <w:lang w:val="de-AT" w:eastAsia="de-AT"/>
              <w14:ligatures w14:val="standardContextual"/>
            </w:rPr>
          </w:pPr>
          <w:hyperlink w:anchor="_Toc226451957" w:history="1">
            <w:r>
              <w:rPr>
                <w:rStyle w:val="Hyperlink"/>
                <w:noProof/>
                <w:lang w:val="de-AT"/>
              </w:rPr>
              <w:t>14.1 5G und Präzisionszeitprotokolle</w:t>
            </w:r>
            <w:r>
              <w:rPr>
                <w:noProof/>
                <w:webHidden/>
              </w:rPr>
              <w:tab/>
              <w:fldChar w:fldCharType="begin"/>
              <w:instrText xml:space="preserve"> PAGEREF _Toc226451957 \h </w:instrText>
              <w:fldChar w:fldCharType="separate"/>
              <w:t>30</w:t>
              <w:fldChar w:fldCharType="end"/>
            </w:r>
          </w:hyperlink>
        </w:p>
        <w:p w14:paraId="13650F96" w14:textId="59C28FA9" w:rsidR="003B732C" w:rsidRDefault="003B732C">
          <w:pPr>
            <w:pStyle w:val="Verzeichnis3"/>
            <w:tabs>
              <w:tab w:val="right" w:leader="dot" w:pos="9062"/>
            </w:tabs>
            <w:rPr>
              <w:noProof/>
              <w:kern w:val="2"/>
              <w:sz w:val="24"/>
              <w:szCs w:val="24"/>
              <w:lang w:val="de-AT" w:eastAsia="de-AT"/>
              <w14:ligatures w14:val="standardContextual"/>
            </w:rPr>
          </w:pPr>
          <w:hyperlink w:anchor="_Toc226451958" w:history="1">
            <w:r>
              <w:rPr>
                <w:rStyle w:val="Hyperlink"/>
                <w:noProof/>
              </w:rPr>
              <w:t>14.2 CDN und Web-Infrastruktur</w:t>
            </w:r>
            <w:r>
              <w:rPr>
                <w:noProof/>
                <w:webHidden/>
              </w:rPr>
              <w:tab/>
              <w:fldChar w:fldCharType="begin"/>
              <w:instrText xml:space="preserve"> PAGEREF _Toc226451958 \h </w:instrText>
              <w:fldChar w:fldCharType="separate"/>
              <w:t>31</w:t>
              <w:fldChar w:fldCharType="end"/>
            </w:r>
          </w:hyperlink>
        </w:p>
        <w:p w14:paraId="2713B2BA" w14:textId="7563FC83" w:rsidR="003B732C" w:rsidRDefault="003B732C">
          <w:pPr>
            <w:pStyle w:val="Verzeichnis3"/>
            <w:tabs>
              <w:tab w:val="right" w:leader="dot" w:pos="9062"/>
            </w:tabs>
            <w:rPr>
              <w:noProof/>
              <w:kern w:val="2"/>
              <w:sz w:val="24"/>
              <w:szCs w:val="24"/>
              <w:lang w:val="de-AT" w:eastAsia="de-AT"/>
              <w14:ligatures w14:val="standardContextual"/>
            </w:rPr>
          </w:pPr>
          <w:hyperlink w:anchor="_Toc226451959" w:history="1">
            <w:r>
              <w:rPr>
                <w:rStyle w:val="Hyperlink"/>
                <w:noProof/>
                <w:lang w:val="de-AT"/>
              </w:rPr>
              <w:t>14.3 DNS und Netzwerksicherheit</w:t>
            </w:r>
            <w:r>
              <w:rPr>
                <w:noProof/>
                <w:webHidden/>
              </w:rPr>
              <w:tab/>
              <w:fldChar w:fldCharType="begin"/>
              <w:instrText xml:space="preserve"> PAGEREF _Toc226451959 \h </w:instrText>
              <w:fldChar w:fldCharType="separate"/>
              <w:t>31</w:t>
              <w:fldChar w:fldCharType="end"/>
            </w:r>
          </w:hyperlink>
        </w:p>
        <w:p w14:paraId="39BC5D1E" w14:textId="4C8A2CBD" w:rsidR="003B732C" w:rsidRDefault="003B732C">
          <w:pPr>
            <w:pStyle w:val="Verzeichnis3"/>
            <w:tabs>
              <w:tab w:val="right" w:leader="dot" w:pos="9062"/>
            </w:tabs>
            <w:rPr>
              <w:noProof/>
              <w:kern w:val="2"/>
              <w:sz w:val="24"/>
              <w:szCs w:val="24"/>
              <w:lang w:val="de-AT" w:eastAsia="de-AT"/>
              <w14:ligatures w14:val="standardContextual"/>
            </w:rPr>
          </w:pPr>
          <w:hyperlink w:anchor="_Toc226451960" w:history="1">
            <w:r>
              <w:rPr>
                <w:rStyle w:val="Hyperlink"/>
                <w:noProof/>
              </w:rPr>
              <w:t>14.4 Mobilfunk und Roaming</w:t>
            </w:r>
            <w:r>
              <w:rPr>
                <w:noProof/>
                <w:webHidden/>
              </w:rPr>
              <w:tab/>
              <w:fldChar w:fldCharType="begin"/>
              <w:instrText xml:space="preserve"> PAGEREF _Toc226451960 \h </w:instrText>
              <w:fldChar w:fldCharType="separate"/>
              <w:t>32</w:t>
              <w:fldChar w:fldCharType="end"/>
            </w:r>
          </w:hyperlink>
        </w:p>
        <w:p w14:paraId="0A4D0FAF" w14:textId="028D3F95" w:rsidR="003B732C" w:rsidRDefault="003B732C">
          <w:pPr>
            <w:pStyle w:val="Verzeichnis3"/>
            <w:tabs>
              <w:tab w:val="right" w:leader="dot" w:pos="9062"/>
            </w:tabs>
            <w:rPr>
              <w:noProof/>
              <w:kern w:val="2"/>
              <w:sz w:val="24"/>
              <w:szCs w:val="24"/>
              <w:lang w:val="de-AT" w:eastAsia="de-AT"/>
              <w14:ligatures w14:val="standardContextual"/>
            </w:rPr>
          </w:pPr>
          <w:hyperlink w:anchor="_Toc226451961" w:history="1">
            <w:r>
              <w:rPr>
                <w:rStyle w:val="Hyperlink"/>
                <w:noProof/>
              </w:rPr>
              <w:t>14.5 Satellitentelekommunikation</w:t>
            </w:r>
            <w:r>
              <w:rPr>
                <w:noProof/>
                <w:webHidden/>
              </w:rPr>
              <w:tab/>
              <w:fldChar w:fldCharType="begin"/>
              <w:instrText xml:space="preserve"> PAGEREF _Toc226451961 \h </w:instrText>
              <w:fldChar w:fldCharType="separate"/>
              <w:t>32</w:t>
              <w:fldChar w:fldCharType="end"/>
            </w:r>
          </w:hyperlink>
        </w:p>
        <w:p w14:paraId="495F6080" w14:textId="75CF3145" w:rsidR="003B732C" w:rsidRDefault="003B732C">
          <w:pPr>
            <w:pStyle w:val="Verzeichnis1"/>
            <w:tabs>
              <w:tab w:val="right" w:leader="dot" w:pos="9062"/>
            </w:tabs>
            <w:rPr>
              <w:noProof/>
              <w:kern w:val="2"/>
              <w:sz w:val="24"/>
              <w:szCs w:val="24"/>
              <w:lang w:val="de-AT" w:eastAsia="de-AT"/>
              <w14:ligatures w14:val="standardContextual"/>
            </w:rPr>
          </w:pPr>
          <w:hyperlink w:anchor="_Toc226451962" w:history="1">
            <w:r>
              <w:rPr>
                <w:rStyle w:val="Hyperlink"/>
                <w:noProof/>
                <w:lang w:val="de-AT"/>
              </w:rPr>
              <w:t>Teil VI: Rechtswesen, Personalverwaltung und Versicherung</w:t>
            </w:r>
            <w:r>
              <w:rPr>
                <w:noProof/>
                <w:webHidden/>
              </w:rPr>
              <w:tab/>
              <w:fldChar w:fldCharType="begin"/>
              <w:instrText xml:space="preserve"> PAGEREF _Toc226451962 \h </w:instrText>
              <w:fldChar w:fldCharType="separate"/>
              <w:t>33</w:t>
              <w:fldChar w:fldCharType="end"/>
            </w:r>
          </w:hyperlink>
        </w:p>
        <w:p w14:paraId="6B05E39E" w14:textId="6DDACDE2" w:rsidR="003B732C" w:rsidRDefault="003B732C">
          <w:pPr>
            <w:pStyle w:val="Verzeichnis2"/>
            <w:tabs>
              <w:tab w:val="right" w:leader="dot" w:pos="9062"/>
            </w:tabs>
            <w:rPr>
              <w:noProof/>
              <w:kern w:val="2"/>
              <w:sz w:val="24"/>
              <w:szCs w:val="24"/>
              <w:lang w:val="de-AT" w:eastAsia="de-AT"/>
              <w14:ligatures w14:val="standardContextual"/>
            </w:rPr>
          </w:pPr>
          <w:hyperlink w:anchor="_Toc226451963" w:history="1">
            <w:r>
              <w:rPr>
                <w:rStyle w:val="Hyperlink"/>
                <w:noProof/>
                <w:lang w:val="de-AT"/>
              </w:rPr>
              <w:t>15 Recht &amp; Justiz</w:t>
            </w:r>
            <w:r>
              <w:rPr>
                <w:noProof/>
                <w:webHidden/>
              </w:rPr>
              <w:tab/>
              <w:fldChar w:fldCharType="begin"/>
              <w:instrText xml:space="preserve"> PAGEREF _Toc226451963 \h </w:instrText>
              <w:fldChar w:fldCharType="separate"/>
              <w:t>33</w:t>
              <w:fldChar w:fldCharType="end"/>
            </w:r>
          </w:hyperlink>
        </w:p>
        <w:p w14:paraId="5BFA0B6C" w14:textId="2979E83A" w:rsidR="003B732C" w:rsidRDefault="003B732C">
          <w:pPr>
            <w:pStyle w:val="Verzeichnis3"/>
            <w:tabs>
              <w:tab w:val="right" w:leader="dot" w:pos="9062"/>
            </w:tabs>
            <w:rPr>
              <w:noProof/>
              <w:kern w:val="2"/>
              <w:sz w:val="24"/>
              <w:szCs w:val="24"/>
              <w:lang w:val="de-AT" w:eastAsia="de-AT"/>
              <w14:ligatures w14:val="standardContextual"/>
            </w:rPr>
          </w:pPr>
          <w:hyperlink w:anchor="_Toc226451964" w:history="1">
            <w:r>
              <w:rPr>
                <w:rStyle w:val="Hyperlink"/>
                <w:noProof/>
                <w:lang w:val="de-AT"/>
              </w:rPr>
              <w:t>15.1 Patentrecht: First-to-File und Prioritätszeitpunkte</w:t>
            </w:r>
            <w:r>
              <w:rPr>
                <w:noProof/>
                <w:webHidden/>
              </w:rPr>
              <w:tab/>
              <w:fldChar w:fldCharType="begin"/>
              <w:instrText xml:space="preserve"> PAGEREF _Toc226451964 \h </w:instrText>
              <w:fldChar w:fldCharType="separate"/>
              <w:t>33</w:t>
              <w:fldChar w:fldCharType="end"/>
            </w:r>
          </w:hyperlink>
        </w:p>
        <w:p w14:paraId="22952526" w14:textId="48764041" w:rsidR="003B732C" w:rsidRDefault="003B732C">
          <w:pPr>
            <w:pStyle w:val="Verzeichnis3"/>
            <w:tabs>
              <w:tab w:val="right" w:leader="dot" w:pos="9062"/>
            </w:tabs>
            <w:rPr>
              <w:noProof/>
              <w:kern w:val="2"/>
              <w:sz w:val="24"/>
              <w:szCs w:val="24"/>
              <w:lang w:val="de-AT" w:eastAsia="de-AT"/>
              <w14:ligatures w14:val="standardContextual"/>
            </w:rPr>
          </w:pPr>
          <w:hyperlink w:anchor="_Toc226451965" w:history="1">
            <w:r>
              <w:rPr>
                <w:rStyle w:val="Hyperlink"/>
                <w:noProof/>
                <w:lang w:val="de-AT"/>
              </w:rPr>
              <w:t>15.2 Digitale Beweismittel</w:t>
            </w:r>
            <w:r>
              <w:rPr>
                <w:noProof/>
                <w:webHidden/>
              </w:rPr>
              <w:tab/>
              <w:fldChar w:fldCharType="begin"/>
              <w:instrText xml:space="preserve"> PAGEREF _Toc226451965 \h </w:instrText>
              <w:fldChar w:fldCharType="separate"/>
              <w:t>34</w:t>
              <w:fldChar w:fldCharType="end"/>
            </w:r>
          </w:hyperlink>
        </w:p>
        <w:p w14:paraId="4EBEE065" w14:textId="3F7C0750" w:rsidR="003B732C" w:rsidRDefault="003B732C">
          <w:pPr>
            <w:pStyle w:val="Verzeichnis3"/>
            <w:tabs>
              <w:tab w:val="right" w:leader="dot" w:pos="9062"/>
            </w:tabs>
            <w:rPr>
              <w:noProof/>
              <w:kern w:val="2"/>
              <w:sz w:val="24"/>
              <w:szCs w:val="24"/>
              <w:lang w:val="de-AT" w:eastAsia="de-AT"/>
              <w14:ligatures w14:val="standardContextual"/>
            </w:rPr>
          </w:pPr>
          <w:hyperlink w:anchor="_Toc226451966" w:history="1">
            <w:r>
              <w:rPr>
                <w:rStyle w:val="Hyperlink"/>
                <w:noProof/>
              </w:rPr>
              <w:t>15.3 Gerichtsfristen und Verfahrensrecht</w:t>
            </w:r>
            <w:r>
              <w:rPr>
                <w:noProof/>
                <w:webHidden/>
              </w:rPr>
              <w:tab/>
              <w:fldChar w:fldCharType="begin"/>
              <w:instrText xml:space="preserve"> PAGEREF _Toc226451966 \h </w:instrText>
              <w:fldChar w:fldCharType="separate"/>
              <w:t>34</w:t>
              <w:fldChar w:fldCharType="end"/>
            </w:r>
          </w:hyperlink>
        </w:p>
        <w:p w14:paraId="0BB3685F" w14:textId="44213CA0" w:rsidR="003B732C" w:rsidRDefault="003B732C">
          <w:pPr>
            <w:pStyle w:val="Verzeichnis3"/>
            <w:tabs>
              <w:tab w:val="right" w:leader="dot" w:pos="9062"/>
            </w:tabs>
            <w:rPr>
              <w:noProof/>
              <w:kern w:val="2"/>
              <w:sz w:val="24"/>
              <w:szCs w:val="24"/>
              <w:lang w:val="de-AT" w:eastAsia="de-AT"/>
              <w14:ligatures w14:val="standardContextual"/>
            </w:rPr>
          </w:pPr>
          <w:hyperlink w:anchor="_Toc226451967" w:history="1">
            <w:r>
              <w:rPr>
                <w:rStyle w:val="Hyperlink"/>
                <w:noProof/>
              </w:rPr>
              <w:t>15.4 Vertragsrecht und elektronische Signatur</w:t>
            </w:r>
            <w:r>
              <w:rPr>
                <w:noProof/>
                <w:webHidden/>
              </w:rPr>
              <w:tab/>
              <w:fldChar w:fldCharType="begin"/>
              <w:instrText xml:space="preserve"> PAGEREF _Toc226451967 \h </w:instrText>
              <w:fldChar w:fldCharType="separate"/>
              <w:t>35</w:t>
              <w:fldChar w:fldCharType="end"/>
            </w:r>
          </w:hyperlink>
        </w:p>
        <w:p w14:paraId="7CB7CAA4" w14:textId="3C0EC3F8" w:rsidR="003B732C" w:rsidRDefault="003B732C">
          <w:pPr>
            <w:pStyle w:val="Verzeichnis2"/>
            <w:tabs>
              <w:tab w:val="right" w:leader="dot" w:pos="9062"/>
            </w:tabs>
            <w:rPr>
              <w:noProof/>
              <w:kern w:val="2"/>
              <w:sz w:val="24"/>
              <w:szCs w:val="24"/>
              <w:lang w:val="de-AT" w:eastAsia="de-AT"/>
              <w14:ligatures w14:val="standardContextual"/>
            </w:rPr>
          </w:pPr>
          <w:hyperlink w:anchor="_Toc226451968" w:history="1">
            <w:r>
              <w:rPr>
                <w:rStyle w:val="Hyperlink"/>
                <w:noProof/>
                <w:lang w:val="de-AT"/>
              </w:rPr>
              <w:t>16 Personalwesen (HR)</w:t>
            </w:r>
            <w:r>
              <w:rPr>
                <w:noProof/>
                <w:webHidden/>
              </w:rPr>
              <w:tab/>
              <w:fldChar w:fldCharType="begin"/>
              <w:instrText xml:space="preserve"> PAGEREF _Toc226451968 \h </w:instrText>
              <w:fldChar w:fldCharType="separate"/>
              <w:t>35</w:t>
              <w:fldChar w:fldCharType="end"/>
            </w:r>
          </w:hyperlink>
        </w:p>
        <w:p w14:paraId="31E5F662" w14:textId="7372D375" w:rsidR="003B732C" w:rsidRDefault="003B732C">
          <w:pPr>
            <w:pStyle w:val="Verzeichnis3"/>
            <w:tabs>
              <w:tab w:val="right" w:leader="dot" w:pos="9062"/>
            </w:tabs>
            <w:rPr>
              <w:noProof/>
              <w:kern w:val="2"/>
              <w:sz w:val="24"/>
              <w:szCs w:val="24"/>
              <w:lang w:val="de-AT" w:eastAsia="de-AT"/>
              <w14:ligatures w14:val="standardContextual"/>
            </w:rPr>
          </w:pPr>
          <w:hyperlink w:anchor="_Toc226451969" w:history="1">
            <w:r>
              <w:rPr>
                <w:rStyle w:val="Hyperlink"/>
                <w:noProof/>
                <w:lang w:val="de-AT"/>
              </w:rPr>
              <w:t>16.1 Arbeitszeiterfassung und Überstunden</w:t>
            </w:r>
            <w:r>
              <w:rPr>
                <w:noProof/>
                <w:webHidden/>
              </w:rPr>
              <w:tab/>
              <w:fldChar w:fldCharType="begin"/>
              <w:instrText xml:space="preserve"> PAGEREF _Toc226451969 \h </w:instrText>
              <w:fldChar w:fldCharType="separate"/>
              <w:t>35</w:t>
              <w:fldChar w:fldCharType="end"/>
            </w:r>
          </w:hyperlink>
        </w:p>
        <w:p w14:paraId="5E29CA5E" w14:textId="561BBBF7" w:rsidR="003B732C" w:rsidRDefault="003B732C">
          <w:pPr>
            <w:pStyle w:val="Verzeichnis3"/>
            <w:tabs>
              <w:tab w:val="right" w:leader="dot" w:pos="9062"/>
            </w:tabs>
            <w:rPr>
              <w:noProof/>
              <w:kern w:val="2"/>
              <w:sz w:val="24"/>
              <w:szCs w:val="24"/>
              <w:lang w:val="de-AT" w:eastAsia="de-AT"/>
              <w14:ligatures w14:val="standardContextual"/>
            </w:rPr>
          </w:pPr>
          <w:hyperlink w:anchor="_Toc226451970" w:history="1">
            <w:r>
              <w:rPr>
                <w:rStyle w:val="Hyperlink"/>
                <w:noProof/>
              </w:rPr>
              <w:t>16.2 Internationales Payroll</w:t>
            </w:r>
            <w:r>
              <w:rPr>
                <w:noProof/>
                <w:webHidden/>
              </w:rPr>
              <w:tab/>
              <w:fldChar w:fldCharType="begin"/>
              <w:instrText xml:space="preserve"> PAGEREF _Toc226451970 \h </w:instrText>
              <w:fldChar w:fldCharType="separate"/>
              <w:t>36</w:t>
              <w:fldChar w:fldCharType="end"/>
            </w:r>
          </w:hyperlink>
        </w:p>
        <w:p w14:paraId="04455DE8" w14:textId="7D58A968" w:rsidR="003B732C" w:rsidRDefault="003B732C">
          <w:pPr>
            <w:pStyle w:val="Verzeichnis3"/>
            <w:tabs>
              <w:tab w:val="right" w:leader="dot" w:pos="9062"/>
            </w:tabs>
            <w:rPr>
              <w:noProof/>
              <w:kern w:val="2"/>
              <w:sz w:val="24"/>
              <w:szCs w:val="24"/>
              <w:lang w:val="de-AT" w:eastAsia="de-AT"/>
              <w14:ligatures w14:val="standardContextual"/>
            </w:rPr>
          </w:pPr>
          <w:hyperlink w:anchor="_Toc226451971" w:history="1">
            <w:r>
              <w:rPr>
                <w:rStyle w:val="Hyperlink"/>
                <w:noProof/>
              </w:rPr>
              <w:t>16.3 Follow-the-Sun und globale Teams</w:t>
            </w:r>
            <w:r>
              <w:rPr>
                <w:noProof/>
                <w:webHidden/>
              </w:rPr>
              <w:tab/>
              <w:fldChar w:fldCharType="begin"/>
              <w:instrText xml:space="preserve"> PAGEREF _Toc226451971 \h </w:instrText>
              <w:fldChar w:fldCharType="separate"/>
              <w:t>36</w:t>
              <w:fldChar w:fldCharType="end"/>
            </w:r>
          </w:hyperlink>
        </w:p>
        <w:p w14:paraId="74303404" w14:textId="26B02E4E" w:rsidR="003B732C" w:rsidRDefault="003B732C">
          <w:pPr>
            <w:pStyle w:val="Verzeichnis2"/>
            <w:tabs>
              <w:tab w:val="right" w:leader="dot" w:pos="9062"/>
            </w:tabs>
            <w:rPr>
              <w:noProof/>
              <w:kern w:val="2"/>
              <w:sz w:val="24"/>
              <w:szCs w:val="24"/>
              <w:lang w:val="de-AT" w:eastAsia="de-AT"/>
              <w14:ligatures w14:val="standardContextual"/>
            </w:rPr>
          </w:pPr>
          <w:hyperlink w:anchor="_Toc226451972" w:history="1">
            <w:r>
              <w:rPr>
                <w:rStyle w:val="Hyperlink"/>
                <w:noProof/>
                <w:lang w:val="de-AT"/>
              </w:rPr>
              <w:t>17 Versicherungswesen</w:t>
            </w:r>
            <w:r>
              <w:rPr>
                <w:noProof/>
                <w:webHidden/>
              </w:rPr>
              <w:tab/>
              <w:fldChar w:fldCharType="begin"/>
              <w:instrText xml:space="preserve"> PAGEREF _Toc226451972 \h </w:instrText>
              <w:fldChar w:fldCharType="separate"/>
              <w:t>37</w:t>
              <w:fldChar w:fldCharType="end"/>
            </w:r>
          </w:hyperlink>
        </w:p>
        <w:p w14:paraId="78487A21" w14:textId="5ADAFA7E" w:rsidR="003B732C" w:rsidRDefault="003B732C">
          <w:pPr>
            <w:pStyle w:val="Verzeichnis3"/>
            <w:tabs>
              <w:tab w:val="right" w:leader="dot" w:pos="9062"/>
            </w:tabs>
            <w:rPr>
              <w:noProof/>
              <w:kern w:val="2"/>
              <w:sz w:val="24"/>
              <w:szCs w:val="24"/>
              <w:lang w:val="de-AT" w:eastAsia="de-AT"/>
              <w14:ligatures w14:val="standardContextual"/>
            </w:rPr>
          </w:pPr>
          <w:hyperlink w:anchor="_Toc226451973" w:history="1">
            <w:r>
              <w:rPr>
                <w:rStyle w:val="Hyperlink"/>
                <w:noProof/>
                <w:lang w:val="de-AT"/>
              </w:rPr>
              <w:t>17.1 Policen-Laufzeiten und Deckungsmomente</w:t>
            </w:r>
            <w:r>
              <w:rPr>
                <w:noProof/>
                <w:webHidden/>
              </w:rPr>
              <w:tab/>
              <w:fldChar w:fldCharType="begin"/>
              <w:instrText xml:space="preserve"> PAGEREF _Toc226451973 \h </w:instrText>
              <w:fldChar w:fldCharType="separate"/>
              <w:t>37</w:t>
              <w:fldChar w:fldCharType="end"/>
            </w:r>
          </w:hyperlink>
        </w:p>
        <w:p w14:paraId="0F824DC9" w14:textId="35E4440E" w:rsidR="003B732C" w:rsidRDefault="003B732C">
          <w:pPr>
            <w:pStyle w:val="Verzeichnis3"/>
            <w:tabs>
              <w:tab w:val="right" w:leader="dot" w:pos="9062"/>
            </w:tabs>
            <w:rPr>
              <w:noProof/>
              <w:kern w:val="2"/>
              <w:sz w:val="24"/>
              <w:szCs w:val="24"/>
              <w:lang w:val="de-AT" w:eastAsia="de-AT"/>
              <w14:ligatures w14:val="standardContextual"/>
            </w:rPr>
          </w:pPr>
          <w:hyperlink w:anchor="_Toc226451974" w:history="1">
            <w:r>
              <w:rPr>
                <w:rStyle w:val="Hyperlink"/>
                <w:noProof/>
              </w:rPr>
              <w:t>17.2 Schadensmeldungsfristen und Obliegenheiten</w:t>
            </w:r>
            <w:r>
              <w:rPr>
                <w:noProof/>
                <w:webHidden/>
              </w:rPr>
              <w:tab/>
              <w:fldChar w:fldCharType="begin"/>
              <w:instrText xml:space="preserve"> PAGEREF _Toc226451974 \h </w:instrText>
              <w:fldChar w:fldCharType="separate"/>
              <w:t>38</w:t>
              <w:fldChar w:fldCharType="end"/>
            </w:r>
          </w:hyperlink>
        </w:p>
        <w:p w14:paraId="14EECCFF" w14:textId="3A5C3F3E" w:rsidR="003B732C" w:rsidRDefault="003B732C">
          <w:pPr>
            <w:pStyle w:val="Verzeichnis3"/>
            <w:tabs>
              <w:tab w:val="right" w:leader="dot" w:pos="9062"/>
            </w:tabs>
            <w:rPr>
              <w:noProof/>
              <w:kern w:val="2"/>
              <w:sz w:val="24"/>
              <w:szCs w:val="24"/>
              <w:lang w:val="de-AT" w:eastAsia="de-AT"/>
              <w14:ligatures w14:val="standardContextual"/>
            </w:rPr>
          </w:pPr>
          <w:hyperlink w:anchor="_Toc226451975" w:history="1">
            <w:r>
              <w:rPr>
                <w:rStyle w:val="Hyperlink"/>
                <w:noProof/>
                <w:lang w:val="de-AT"/>
              </w:rPr>
              <w:t>17.3 Aktuarielle Berechnungen</w:t>
            </w:r>
            <w:r>
              <w:rPr>
                <w:noProof/>
                <w:webHidden/>
              </w:rPr>
              <w:tab/>
              <w:fldChar w:fldCharType="begin"/>
              <w:instrText xml:space="preserve"> PAGEREF _Toc226451975 \h </w:instrText>
              <w:fldChar w:fldCharType="separate"/>
              <w:t>38</w:t>
              <w:fldChar w:fldCharType="end"/>
            </w:r>
          </w:hyperlink>
        </w:p>
        <w:p w14:paraId="283B1639" w14:textId="2ABE9D54" w:rsidR="003B732C" w:rsidRDefault="003B732C">
          <w:pPr>
            <w:pStyle w:val="Verzeichnis3"/>
            <w:tabs>
              <w:tab w:val="right" w:leader="dot" w:pos="9062"/>
            </w:tabs>
            <w:rPr>
              <w:noProof/>
              <w:kern w:val="2"/>
              <w:sz w:val="24"/>
              <w:szCs w:val="24"/>
              <w:lang w:val="de-AT" w:eastAsia="de-AT"/>
              <w14:ligatures w14:val="standardContextual"/>
            </w:rPr>
          </w:pPr>
          <w:hyperlink w:anchor="_Toc226451976" w:history="1">
            <w:r>
              <w:rPr>
                <w:rStyle w:val="Hyperlink"/>
                <w:noProof/>
              </w:rPr>
              <w:t>17.4 InsurTech und digitale Versicherungsprodukte</w:t>
            </w:r>
            <w:r>
              <w:rPr>
                <w:noProof/>
                <w:webHidden/>
              </w:rPr>
              <w:tab/>
              <w:fldChar w:fldCharType="begin"/>
              <w:instrText xml:space="preserve"> PAGEREF _Toc226451976 \h </w:instrText>
              <w:fldChar w:fldCharType="separate"/>
              <w:t>39</w:t>
              <w:fldChar w:fldCharType="end"/>
            </w:r>
          </w:hyperlink>
        </w:p>
        <w:p w14:paraId="7DD05C66" w14:textId="23379003" w:rsidR="003B732C" w:rsidRDefault="003B732C">
          <w:pPr>
            <w:pStyle w:val="Verzeichnis1"/>
            <w:tabs>
              <w:tab w:val="right" w:leader="dot" w:pos="9062"/>
            </w:tabs>
            <w:rPr>
              <w:noProof/>
              <w:kern w:val="2"/>
              <w:sz w:val="24"/>
              <w:szCs w:val="24"/>
              <w:lang w:val="de-AT" w:eastAsia="de-AT"/>
              <w14:ligatures w14:val="standardContextual"/>
            </w:rPr>
          </w:pPr>
          <w:hyperlink w:anchor="_Toc226451977" w:history="1">
            <w:r>
              <w:rPr>
                <w:rStyle w:val="Hyperlink"/>
                <w:noProof/>
                <w:lang w:val="de-AT"/>
              </w:rPr>
              <w:t>Teil VII: Industrielle Fertigung, Langzeitarchivierung und Autonome Systeme</w:t>
            </w:r>
            <w:r>
              <w:rPr>
                <w:noProof/>
                <w:webHidden/>
              </w:rPr>
              <w:tab/>
              <w:fldChar w:fldCharType="begin"/>
              <w:instrText xml:space="preserve"> PAGEREF _Toc226451977 \h </w:instrText>
              <w:fldChar w:fldCharType="separate"/>
              <w:t>39</w:t>
              <w:fldChar w:fldCharType="end"/>
            </w:r>
          </w:hyperlink>
        </w:p>
        <w:p w14:paraId="3D75B123" w14:textId="0306B61B" w:rsidR="003B732C" w:rsidRDefault="003B732C">
          <w:pPr>
            <w:pStyle w:val="Verzeichnis2"/>
            <w:tabs>
              <w:tab w:val="right" w:leader="dot" w:pos="9062"/>
            </w:tabs>
            <w:rPr>
              <w:noProof/>
              <w:kern w:val="2"/>
              <w:sz w:val="24"/>
              <w:szCs w:val="24"/>
              <w:lang w:val="de-AT" w:eastAsia="de-AT"/>
              <w14:ligatures w14:val="standardContextual"/>
            </w:rPr>
          </w:pPr>
          <w:hyperlink w:anchor="_Toc226451978" w:history="1">
            <w:r>
              <w:rPr>
                <w:rStyle w:val="Hyperlink"/>
                <w:noProof/>
                <w:lang w:val="de-AT"/>
              </w:rPr>
              <w:t>18 Industrie 4.0 und Fertigung</w:t>
            </w:r>
            <w:r>
              <w:rPr>
                <w:noProof/>
                <w:webHidden/>
              </w:rPr>
              <w:tab/>
              <w:fldChar w:fldCharType="begin"/>
              <w:instrText xml:space="preserve"> PAGEREF _Toc226451978 \h </w:instrText>
              <w:fldChar w:fldCharType="separate"/>
              <w:t>39</w:t>
              <w:fldChar w:fldCharType="end"/>
            </w:r>
          </w:hyperlink>
        </w:p>
        <w:p w14:paraId="67195DC2" w14:textId="08CE665B" w:rsidR="003B732C" w:rsidRDefault="003B732C">
          <w:pPr>
            <w:pStyle w:val="Verzeichnis3"/>
            <w:tabs>
              <w:tab w:val="right" w:leader="dot" w:pos="9062"/>
            </w:tabs>
            <w:rPr>
              <w:noProof/>
              <w:kern w:val="2"/>
              <w:sz w:val="24"/>
              <w:szCs w:val="24"/>
              <w:lang w:val="de-AT" w:eastAsia="de-AT"/>
              <w14:ligatures w14:val="standardContextual"/>
            </w:rPr>
          </w:pPr>
          <w:hyperlink w:anchor="_Toc226451979" w:history="1">
            <w:r>
              <w:rPr>
                <w:rStyle w:val="Hyperlink"/>
                <w:noProof/>
                <w:lang w:val="de-AT"/>
              </w:rPr>
              <w:t>18.1 SCADA und industrielle Steuerungssysteme</w:t>
            </w:r>
            <w:r>
              <w:rPr>
                <w:noProof/>
                <w:webHidden/>
              </w:rPr>
              <w:tab/>
              <w:fldChar w:fldCharType="begin"/>
              <w:instrText xml:space="preserve"> PAGEREF _Toc226451979 \h </w:instrText>
              <w:fldChar w:fldCharType="separate"/>
              <w:t>39</w:t>
              <w:fldChar w:fldCharType="end"/>
            </w:r>
          </w:hyperlink>
        </w:p>
        <w:p w14:paraId="532ED7B5" w14:textId="42AA43BE" w:rsidR="003B732C" w:rsidRDefault="003B732C">
          <w:pPr>
            <w:pStyle w:val="Verzeichnis3"/>
            <w:tabs>
              <w:tab w:val="right" w:leader="dot" w:pos="9062"/>
            </w:tabs>
            <w:rPr>
              <w:noProof/>
              <w:kern w:val="2"/>
              <w:sz w:val="24"/>
              <w:szCs w:val="24"/>
              <w:lang w:val="de-AT" w:eastAsia="de-AT"/>
              <w14:ligatures w14:val="standardContextual"/>
            </w:rPr>
          </w:pPr>
          <w:hyperlink w:anchor="_Toc226451980" w:history="1">
            <w:r>
              <w:rPr>
                <w:rStyle w:val="Hyperlink"/>
                <w:noProof/>
              </w:rPr>
              <w:t>18.2 Manufacturing Execution Systems (MES) und Qualitätsmanagement</w:t>
            </w:r>
            <w:r>
              <w:rPr>
                <w:noProof/>
                <w:webHidden/>
              </w:rPr>
              <w:tab/>
              <w:fldChar w:fldCharType="begin"/>
              <w:instrText xml:space="preserve"> PAGEREF _Toc226451980 \h </w:instrText>
              <w:fldChar w:fldCharType="separate"/>
              <w:t>40</w:t>
              <w:fldChar w:fldCharType="end"/>
            </w:r>
          </w:hyperlink>
        </w:p>
        <w:p w14:paraId="47161ABD" w14:textId="2320995B" w:rsidR="003B732C" w:rsidRDefault="003B732C">
          <w:pPr>
            <w:pStyle w:val="Verzeichnis3"/>
            <w:tabs>
              <w:tab w:val="right" w:leader="dot" w:pos="9062"/>
            </w:tabs>
            <w:rPr>
              <w:noProof/>
              <w:kern w:val="2"/>
              <w:sz w:val="24"/>
              <w:szCs w:val="24"/>
              <w:lang w:val="de-AT" w:eastAsia="de-AT"/>
              <w14:ligatures w14:val="standardContextual"/>
            </w:rPr>
          </w:pPr>
          <w:hyperlink w:anchor="_Toc226451981" w:history="1">
            <w:r>
              <w:rPr>
                <w:rStyle w:val="Hyperlink"/>
                <w:noProof/>
                <w:lang w:val="de-AT"/>
              </w:rPr>
              <w:t>18.3 Wartungsintervalle und Betriebsstunden</w:t>
            </w:r>
            <w:r>
              <w:rPr>
                <w:noProof/>
                <w:webHidden/>
              </w:rPr>
              <w:tab/>
              <w:fldChar w:fldCharType="begin"/>
              <w:instrText xml:space="preserve"> PAGEREF _Toc226451981 \h </w:instrText>
              <w:fldChar w:fldCharType="separate"/>
              <w:t>40</w:t>
              <w:fldChar w:fldCharType="end"/>
            </w:r>
          </w:hyperlink>
        </w:p>
        <w:p w14:paraId="360C9249" w14:textId="2CB28E06" w:rsidR="003B732C" w:rsidRDefault="003B732C">
          <w:pPr>
            <w:pStyle w:val="Verzeichnis2"/>
            <w:tabs>
              <w:tab w:val="right" w:leader="dot" w:pos="9062"/>
            </w:tabs>
            <w:rPr>
              <w:noProof/>
              <w:kern w:val="2"/>
              <w:sz w:val="24"/>
              <w:szCs w:val="24"/>
              <w:lang w:val="de-AT" w:eastAsia="de-AT"/>
              <w14:ligatures w14:val="standardContextual"/>
            </w:rPr>
          </w:pPr>
          <w:hyperlink w:anchor="_Toc226451982" w:history="1">
            <w:r>
              <w:rPr>
                <w:rStyle w:val="Hyperlink"/>
                <w:noProof/>
                <w:lang w:val="de-AT"/>
              </w:rPr>
              <w:t>19 Digitale Langzeitarchivierung</w:t>
            </w:r>
            <w:r>
              <w:rPr>
                <w:noProof/>
                <w:webHidden/>
              </w:rPr>
              <w:tab/>
              <w:fldChar w:fldCharType="begin"/>
              <w:instrText xml:space="preserve"> PAGEREF _Toc226451982 \h </w:instrText>
              <w:fldChar w:fldCharType="separate"/>
              <w:t>41</w:t>
              <w:fldChar w:fldCharType="end"/>
            </w:r>
          </w:hyperlink>
        </w:p>
        <w:p w14:paraId="1B54DB41" w14:textId="55299FC8" w:rsidR="003B732C" w:rsidRDefault="003B732C">
          <w:pPr>
            <w:pStyle w:val="Verzeichnis3"/>
            <w:tabs>
              <w:tab w:val="right" w:leader="dot" w:pos="9062"/>
            </w:tabs>
            <w:rPr>
              <w:noProof/>
              <w:kern w:val="2"/>
              <w:sz w:val="24"/>
              <w:szCs w:val="24"/>
              <w:lang w:val="de-AT" w:eastAsia="de-AT"/>
              <w14:ligatures w14:val="standardContextual"/>
            </w:rPr>
          </w:pPr>
          <w:hyperlink w:anchor="_Toc226451983" w:history="1">
            <w:r>
              <w:rPr>
                <w:rStyle w:val="Hyperlink"/>
                <w:noProof/>
              </w:rPr>
              <w:t>19.1 Kulturelle und wissenschaftliche Archive</w:t>
            </w:r>
            <w:r>
              <w:rPr>
                <w:noProof/>
                <w:webHidden/>
              </w:rPr>
              <w:tab/>
              <w:fldChar w:fldCharType="begin"/>
              <w:instrText xml:space="preserve"> PAGEREF _Toc226451983 \h </w:instrText>
              <w:fldChar w:fldCharType="separate"/>
              <w:t>41</w:t>
              <w:fldChar w:fldCharType="end"/>
            </w:r>
          </w:hyperlink>
        </w:p>
        <w:p w14:paraId="216C1333" w14:textId="10ED5827" w:rsidR="003B732C" w:rsidRDefault="003B732C">
          <w:pPr>
            <w:pStyle w:val="Verzeichnis3"/>
            <w:tabs>
              <w:tab w:val="right" w:leader="dot" w:pos="9062"/>
            </w:tabs>
            <w:rPr>
              <w:noProof/>
              <w:kern w:val="2"/>
              <w:sz w:val="24"/>
              <w:szCs w:val="24"/>
              <w:lang w:val="de-AT" w:eastAsia="de-AT"/>
              <w14:ligatures w14:val="standardContextual"/>
            </w:rPr>
          </w:pPr>
          <w:hyperlink w:anchor="_Toc226451984" w:history="1">
            <w:r>
              <w:rPr>
                <w:rStyle w:val="Hyperlink"/>
                <w:noProof/>
              </w:rPr>
              <w:t>19.2 Unternehmens- und Behördenarchivierung</w:t>
            </w:r>
            <w:r>
              <w:rPr>
                <w:noProof/>
                <w:webHidden/>
              </w:rPr>
              <w:tab/>
              <w:fldChar w:fldCharType="begin"/>
              <w:instrText xml:space="preserve"> PAGEREF _Toc226451984 \h </w:instrText>
              <w:fldChar w:fldCharType="separate"/>
              <w:t>42</w:t>
              <w:fldChar w:fldCharType="end"/>
            </w:r>
          </w:hyperlink>
        </w:p>
        <w:p w14:paraId="4A29430D" w14:textId="5EFB556C" w:rsidR="003B732C" w:rsidRDefault="003B732C">
          <w:pPr>
            <w:pStyle w:val="Verzeichnis3"/>
            <w:tabs>
              <w:tab w:val="right" w:leader="dot" w:pos="9062"/>
            </w:tabs>
            <w:rPr>
              <w:noProof/>
              <w:kern w:val="2"/>
              <w:sz w:val="24"/>
              <w:szCs w:val="24"/>
              <w:lang w:val="de-AT" w:eastAsia="de-AT"/>
              <w14:ligatures w14:val="standardContextual"/>
            </w:rPr>
          </w:pPr>
          <w:hyperlink w:anchor="_Toc226451985" w:history="1">
            <w:r>
              <w:rPr>
                <w:rStyle w:val="Hyperlink"/>
                <w:noProof/>
                <w:lang w:val="de-AT"/>
              </w:rPr>
              <w:t>19.3 Blockchain-basierte Archivierung und ihre Grenzen</w:t>
            </w:r>
            <w:r>
              <w:rPr>
                <w:noProof/>
                <w:webHidden/>
              </w:rPr>
              <w:tab/>
              <w:fldChar w:fldCharType="begin"/>
              <w:instrText xml:space="preserve"> PAGEREF _Toc226451985 \h </w:instrText>
              <w:fldChar w:fldCharType="separate"/>
              <w:t>42</w:t>
              <w:fldChar w:fldCharType="end"/>
            </w:r>
          </w:hyperlink>
        </w:p>
        <w:p w14:paraId="2BFE140E" w14:textId="5036AA81" w:rsidR="003B732C" w:rsidRDefault="003B732C">
          <w:pPr>
            <w:pStyle w:val="Verzeichnis2"/>
            <w:tabs>
              <w:tab w:val="right" w:leader="dot" w:pos="9062"/>
            </w:tabs>
            <w:rPr>
              <w:noProof/>
              <w:kern w:val="2"/>
              <w:sz w:val="24"/>
              <w:szCs w:val="24"/>
              <w:lang w:val="de-AT" w:eastAsia="de-AT"/>
              <w14:ligatures w14:val="standardContextual"/>
            </w:rPr>
          </w:pPr>
          <w:hyperlink w:anchor="_Toc226451986" w:history="1">
            <w:r>
              <w:rPr>
                <w:rStyle w:val="Hyperlink"/>
                <w:noProof/>
                <w:lang w:val="de-AT"/>
              </w:rPr>
              <w:t>20 Autonome Systeme und Robotik</w:t>
            </w:r>
            <w:r>
              <w:rPr>
                <w:noProof/>
                <w:webHidden/>
              </w:rPr>
              <w:tab/>
              <w:fldChar w:fldCharType="begin"/>
              <w:instrText xml:space="preserve"> PAGEREF _Toc226451986 \h </w:instrText>
              <w:fldChar w:fldCharType="separate"/>
              <w:t>43</w:t>
              <w:fldChar w:fldCharType="end"/>
            </w:r>
          </w:hyperlink>
        </w:p>
        <w:p w14:paraId="4D5417C1" w14:textId="6AAC68F4" w:rsidR="003B732C" w:rsidRDefault="003B732C">
          <w:pPr>
            <w:pStyle w:val="Verzeichnis3"/>
            <w:tabs>
              <w:tab w:val="right" w:leader="dot" w:pos="9062"/>
            </w:tabs>
            <w:rPr>
              <w:noProof/>
              <w:kern w:val="2"/>
              <w:sz w:val="24"/>
              <w:szCs w:val="24"/>
              <w:lang w:val="de-AT" w:eastAsia="de-AT"/>
              <w14:ligatures w14:val="standardContextual"/>
            </w:rPr>
          </w:pPr>
          <w:hyperlink w:anchor="_Toc226451987" w:history="1">
            <w:r>
              <w:rPr>
                <w:rStyle w:val="Hyperlink"/>
                <w:noProof/>
                <w:lang w:val="de-AT"/>
              </w:rPr>
              <w:t>20.1 Autonomes Fahren und V2X-Kommunikation</w:t>
            </w:r>
            <w:r>
              <w:rPr>
                <w:noProof/>
                <w:webHidden/>
              </w:rPr>
              <w:tab/>
              <w:fldChar w:fldCharType="begin"/>
              <w:instrText xml:space="preserve"> PAGEREF _Toc226451987 \h </w:instrText>
              <w:fldChar w:fldCharType="separate"/>
              <w:t>43</w:t>
              <w:fldChar w:fldCharType="end"/>
            </w:r>
          </w:hyperlink>
        </w:p>
        <w:p w14:paraId="2E202992" w14:textId="79696B80" w:rsidR="003B732C" w:rsidRDefault="003B732C">
          <w:pPr>
            <w:pStyle w:val="Verzeichnis3"/>
            <w:tabs>
              <w:tab w:val="right" w:leader="dot" w:pos="9062"/>
            </w:tabs>
            <w:rPr>
              <w:noProof/>
              <w:kern w:val="2"/>
              <w:sz w:val="24"/>
              <w:szCs w:val="24"/>
              <w:lang w:val="de-AT" w:eastAsia="de-AT"/>
              <w14:ligatures w14:val="standardContextual"/>
            </w:rPr>
          </w:pPr>
          <w:hyperlink w:anchor="_Toc226451988" w:history="1">
            <w:r>
              <w:rPr>
                <w:rStyle w:val="Hyperlink"/>
                <w:noProof/>
              </w:rPr>
              <w:t>20.2 Drohnen und unbemannter Luftverkehr</w:t>
            </w:r>
            <w:r>
              <w:rPr>
                <w:noProof/>
                <w:webHidden/>
              </w:rPr>
              <w:tab/>
              <w:fldChar w:fldCharType="begin"/>
              <w:instrText xml:space="preserve"> PAGEREF _Toc226451988 \h </w:instrText>
              <w:fldChar w:fldCharType="separate"/>
              <w:t>43</w:t>
              <w:fldChar w:fldCharType="end"/>
            </w:r>
          </w:hyperlink>
        </w:p>
        <w:p w14:paraId="22E79371" w14:textId="382E929F" w:rsidR="003B732C" w:rsidRDefault="003B732C">
          <w:pPr>
            <w:pStyle w:val="Verzeichnis3"/>
            <w:tabs>
              <w:tab w:val="right" w:leader="dot" w:pos="9062"/>
            </w:tabs>
            <w:rPr>
              <w:noProof/>
              <w:kern w:val="2"/>
              <w:sz w:val="24"/>
              <w:szCs w:val="24"/>
              <w:lang w:val="de-AT" w:eastAsia="de-AT"/>
              <w14:ligatures w14:val="standardContextual"/>
            </w:rPr>
          </w:pPr>
          <w:hyperlink w:anchor="_Toc226451989" w:history="1">
            <w:r>
              <w:rPr>
                <w:rStyle w:val="Hyperlink"/>
                <w:noProof/>
              </w:rPr>
              <w:t>20.3 Industrielle Robotik</w:t>
            </w:r>
            <w:r>
              <w:rPr>
                <w:noProof/>
                <w:webHidden/>
              </w:rPr>
              <w:tab/>
              <w:fldChar w:fldCharType="begin"/>
              <w:instrText xml:space="preserve"> PAGEREF _Toc226451989 \h </w:instrText>
              <w:fldChar w:fldCharType="separate"/>
              <w:t>44</w:t>
              <w:fldChar w:fldCharType="end"/>
            </w:r>
          </w:hyperlink>
        </w:p>
        <w:p w14:paraId="291021E1" w14:textId="56A7734C" w:rsidR="003B732C" w:rsidRDefault="003B732C">
          <w:pPr>
            <w:pStyle w:val="Verzeichnis1"/>
            <w:tabs>
              <w:tab w:val="right" w:leader="dot" w:pos="9062"/>
            </w:tabs>
            <w:rPr>
              <w:noProof/>
              <w:kern w:val="2"/>
              <w:sz w:val="24"/>
              <w:szCs w:val="24"/>
              <w:lang w:val="de-AT" w:eastAsia="de-AT"/>
              <w14:ligatures w14:val="standardContextual"/>
            </w:rPr>
          </w:pPr>
          <w:hyperlink w:anchor="_Toc226451990" w:history="1">
            <w:r>
              <w:rPr>
                <w:rStyle w:val="Hyperlink"/>
                <w:noProof/>
                <w:lang w:val="de-AT"/>
              </w:rPr>
              <w:t>Teil VIII: Medienproduktion und wissenschaftliche Anwendungsfelder</w:t>
            </w:r>
            <w:r>
              <w:rPr>
                <w:noProof/>
                <w:webHidden/>
              </w:rPr>
              <w:tab/>
              <w:fldChar w:fldCharType="begin"/>
              <w:instrText xml:space="preserve"> PAGEREF _Toc226451990 \h </w:instrText>
              <w:fldChar w:fldCharType="separate"/>
              <w:t>45</w:t>
              <w:fldChar w:fldCharType="end"/>
            </w:r>
          </w:hyperlink>
        </w:p>
        <w:p w14:paraId="6AF087AE" w14:textId="01ED465E" w:rsidR="003B732C" w:rsidRDefault="003B732C">
          <w:pPr>
            <w:pStyle w:val="Verzeichnis2"/>
            <w:tabs>
              <w:tab w:val="right" w:leader="dot" w:pos="9062"/>
            </w:tabs>
            <w:rPr>
              <w:noProof/>
              <w:kern w:val="2"/>
              <w:sz w:val="24"/>
              <w:szCs w:val="24"/>
              <w:lang w:val="de-AT" w:eastAsia="de-AT"/>
              <w14:ligatures w14:val="standardContextual"/>
            </w:rPr>
          </w:pPr>
          <w:hyperlink w:anchor="_Toc226451991" w:history="1">
            <w:r>
              <w:rPr>
                <w:rStyle w:val="Hyperlink"/>
                <w:noProof/>
                <w:lang w:val="de-AT"/>
              </w:rPr>
              <w:t>21 Medienproduktion und Broadcasting</w:t>
            </w:r>
            <w:r>
              <w:rPr>
                <w:noProof/>
                <w:webHidden/>
              </w:rPr>
              <w:tab/>
              <w:fldChar w:fldCharType="begin"/>
              <w:instrText xml:space="preserve"> PAGEREF _Toc226451991 \h </w:instrText>
              <w:fldChar w:fldCharType="separate"/>
              <w:t>45</w:t>
              <w:fldChar w:fldCharType="end"/>
            </w:r>
          </w:hyperlink>
        </w:p>
        <w:p w14:paraId="28922156" w14:textId="58174224" w:rsidR="003B732C" w:rsidRDefault="003B732C">
          <w:pPr>
            <w:pStyle w:val="Verzeichnis3"/>
            <w:tabs>
              <w:tab w:val="right" w:leader="dot" w:pos="9062"/>
            </w:tabs>
            <w:rPr>
              <w:noProof/>
              <w:kern w:val="2"/>
              <w:sz w:val="24"/>
              <w:szCs w:val="24"/>
              <w:lang w:val="de-AT" w:eastAsia="de-AT"/>
              <w14:ligatures w14:val="standardContextual"/>
            </w:rPr>
          </w:pPr>
          <w:hyperlink w:anchor="_Toc226451992" w:history="1">
            <w:r>
              <w:rPr>
                <w:rStyle w:val="Hyperlink"/>
                <w:noProof/>
                <w:lang w:val="de-AT"/>
              </w:rPr>
              <w:t>21.1 SMPTE-Timecode und Videobearbeitung</w:t>
            </w:r>
            <w:r>
              <w:rPr>
                <w:noProof/>
                <w:webHidden/>
              </w:rPr>
              <w:tab/>
              <w:fldChar w:fldCharType="begin"/>
              <w:instrText xml:space="preserve"> PAGEREF _Toc226451992 \h </w:instrText>
              <w:fldChar w:fldCharType="separate"/>
              <w:t>45</w:t>
              <w:fldChar w:fldCharType="end"/>
            </w:r>
          </w:hyperlink>
        </w:p>
        <w:p w14:paraId="0915B54A" w14:textId="3E25B54F" w:rsidR="003B732C" w:rsidRDefault="003B732C">
          <w:pPr>
            <w:pStyle w:val="Verzeichnis3"/>
            <w:tabs>
              <w:tab w:val="right" w:leader="dot" w:pos="9062"/>
            </w:tabs>
            <w:rPr>
              <w:noProof/>
              <w:kern w:val="2"/>
              <w:sz w:val="24"/>
              <w:szCs w:val="24"/>
              <w:lang w:val="de-AT" w:eastAsia="de-AT"/>
              <w14:ligatures w14:val="standardContextual"/>
            </w:rPr>
          </w:pPr>
          <w:hyperlink w:anchor="_Toc226451993" w:history="1">
            <w:r>
              <w:rPr>
                <w:rStyle w:val="Hyperlink"/>
                <w:noProof/>
              </w:rPr>
              <w:t>21.2 Electronic Programme Guide (EPG) und Broadcast</w:t>
            </w:r>
            <w:r>
              <w:rPr>
                <w:noProof/>
                <w:webHidden/>
              </w:rPr>
              <w:tab/>
              <w:fldChar w:fldCharType="begin"/>
              <w:instrText xml:space="preserve"> PAGEREF _Toc226451993 \h </w:instrText>
              <w:fldChar w:fldCharType="separate"/>
              <w:t>45</w:t>
              <w:fldChar w:fldCharType="end"/>
            </w:r>
          </w:hyperlink>
        </w:p>
        <w:p w14:paraId="20D89194" w14:textId="4C279947" w:rsidR="003B732C" w:rsidRDefault="003B732C">
          <w:pPr>
            <w:pStyle w:val="Verzeichnis3"/>
            <w:tabs>
              <w:tab w:val="right" w:leader="dot" w:pos="9062"/>
            </w:tabs>
            <w:rPr>
              <w:noProof/>
              <w:kern w:val="2"/>
              <w:sz w:val="24"/>
              <w:szCs w:val="24"/>
              <w:lang w:val="de-AT" w:eastAsia="de-AT"/>
              <w14:ligatures w14:val="standardContextual"/>
            </w:rPr>
          </w:pPr>
          <w:hyperlink w:anchor="_Toc226451994" w:history="1">
            <w:r>
              <w:rPr>
                <w:rStyle w:val="Hyperlink"/>
                <w:noProof/>
              </w:rPr>
              <w:t>21.3 Podcasts, YouTube und On-Demand-Medien</w:t>
            </w:r>
            <w:r>
              <w:rPr>
                <w:noProof/>
                <w:webHidden/>
              </w:rPr>
              <w:tab/>
              <w:fldChar w:fldCharType="begin"/>
              <w:instrText xml:space="preserve"> PAGEREF _Toc226451994 \h </w:instrText>
              <w:fldChar w:fldCharType="separate"/>
              <w:t>46</w:t>
              <w:fldChar w:fldCharType="end"/>
            </w:r>
          </w:hyperlink>
        </w:p>
        <w:p w14:paraId="2F55AF5C" w14:textId="1BF191EA" w:rsidR="003B732C" w:rsidRDefault="003B732C">
          <w:pPr>
            <w:pStyle w:val="Verzeichnis2"/>
            <w:tabs>
              <w:tab w:val="right" w:leader="dot" w:pos="9062"/>
            </w:tabs>
            <w:rPr>
              <w:noProof/>
              <w:kern w:val="2"/>
              <w:sz w:val="24"/>
              <w:szCs w:val="24"/>
              <w:lang w:val="de-AT" w:eastAsia="de-AT"/>
              <w14:ligatures w14:val="standardContextual"/>
            </w:rPr>
          </w:pPr>
          <w:hyperlink w:anchor="_Toc226451995" w:history="1">
            <w:r>
              <w:rPr>
                <w:rStyle w:val="Hyperlink"/>
                <w:noProof/>
                <w:lang w:val="de-AT"/>
              </w:rPr>
              <w:t>22 Erweiterte Wissenschaftsbereiche</w:t>
            </w:r>
            <w:r>
              <w:rPr>
                <w:noProof/>
                <w:webHidden/>
              </w:rPr>
              <w:tab/>
              <w:fldChar w:fldCharType="begin"/>
              <w:instrText xml:space="preserve"> PAGEREF _Toc226451995 \h </w:instrText>
              <w:fldChar w:fldCharType="separate"/>
              <w:t>46</w:t>
              <w:fldChar w:fldCharType="end"/>
            </w:r>
          </w:hyperlink>
        </w:p>
        <w:p w14:paraId="0535390A" w14:textId="0EB8E0A3" w:rsidR="003B732C" w:rsidRDefault="003B732C">
          <w:pPr>
            <w:pStyle w:val="Verzeichnis3"/>
            <w:tabs>
              <w:tab w:val="right" w:leader="dot" w:pos="9062"/>
            </w:tabs>
            <w:rPr>
              <w:noProof/>
              <w:kern w:val="2"/>
              <w:sz w:val="24"/>
              <w:szCs w:val="24"/>
              <w:lang w:val="de-AT" w:eastAsia="de-AT"/>
              <w14:ligatures w14:val="standardContextual"/>
            </w:rPr>
          </w:pPr>
          <w:hyperlink w:anchor="_Toc226451996" w:history="1">
            <w:r>
              <w:rPr>
                <w:rStyle w:val="Hyperlink"/>
                <w:noProof/>
                <w:lang w:val="de-AT"/>
              </w:rPr>
              <w:t>22.1 Teilchenphysik (CERN und LHC)</w:t>
            </w:r>
            <w:r>
              <w:rPr>
                <w:noProof/>
                <w:webHidden/>
              </w:rPr>
              <w:tab/>
              <w:fldChar w:fldCharType="begin"/>
              <w:instrText xml:space="preserve"> PAGEREF _Toc226451996 \h </w:instrText>
              <w:fldChar w:fldCharType="separate"/>
              <w:t>46</w:t>
              <w:fldChar w:fldCharType="end"/>
            </w:r>
          </w:hyperlink>
        </w:p>
        <w:p w14:paraId="65D9D53A" w14:textId="2A1F131E" w:rsidR="003B732C" w:rsidRDefault="003B732C">
          <w:pPr>
            <w:pStyle w:val="Verzeichnis3"/>
            <w:tabs>
              <w:tab w:val="right" w:leader="dot" w:pos="9062"/>
            </w:tabs>
            <w:rPr>
              <w:noProof/>
              <w:kern w:val="2"/>
              <w:sz w:val="24"/>
              <w:szCs w:val="24"/>
              <w:lang w:val="de-AT" w:eastAsia="de-AT"/>
              <w14:ligatures w14:val="standardContextual"/>
            </w:rPr>
          </w:pPr>
          <w:hyperlink w:anchor="_Toc226451997" w:history="1">
            <w:r>
              <w:rPr>
                <w:rStyle w:val="Hyperlink"/>
                <w:noProof/>
                <w:lang w:val="de-AT"/>
              </w:rPr>
              <w:t>22.2 Seismologie und Erdbebenfrüherkennung</w:t>
            </w:r>
            <w:r>
              <w:rPr>
                <w:noProof/>
                <w:webHidden/>
              </w:rPr>
              <w:tab/>
              <w:fldChar w:fldCharType="begin"/>
              <w:instrText xml:space="preserve"> PAGEREF _Toc226451997 \h </w:instrText>
              <w:fldChar w:fldCharType="separate"/>
              <w:t>47</w:t>
              <w:fldChar w:fldCharType="end"/>
            </w:r>
          </w:hyperlink>
        </w:p>
        <w:p w14:paraId="70D5EC6E" w14:textId="305850D9" w:rsidR="003B732C" w:rsidRDefault="003B732C">
          <w:pPr>
            <w:pStyle w:val="Verzeichnis3"/>
            <w:tabs>
              <w:tab w:val="right" w:leader="dot" w:pos="9062"/>
            </w:tabs>
            <w:rPr>
              <w:noProof/>
              <w:kern w:val="2"/>
              <w:sz w:val="24"/>
              <w:szCs w:val="24"/>
              <w:lang w:val="de-AT" w:eastAsia="de-AT"/>
              <w14:ligatures w14:val="standardContextual"/>
            </w:rPr>
          </w:pPr>
          <w:hyperlink w:anchor="_Toc226451998" w:history="1">
            <w:r>
              <w:rPr>
                <w:rStyle w:val="Hyperlink"/>
                <w:noProof/>
              </w:rPr>
              <w:t>22.3 Klimaforschung und Meteorologie</w:t>
            </w:r>
            <w:r>
              <w:rPr>
                <w:noProof/>
                <w:webHidden/>
              </w:rPr>
              <w:tab/>
              <w:fldChar w:fldCharType="begin"/>
              <w:instrText xml:space="preserve"> PAGEREF _Toc226451998 \h </w:instrText>
              <w:fldChar w:fldCharType="separate"/>
              <w:t>48</w:t>
              <w:fldChar w:fldCharType="end"/>
            </w:r>
          </w:hyperlink>
        </w:p>
        <w:p w14:paraId="59DC3A69" w14:textId="0BF19135" w:rsidR="003B732C" w:rsidRDefault="003B732C">
          <w:pPr>
            <w:pStyle w:val="Verzeichnis3"/>
            <w:tabs>
              <w:tab w:val="right" w:leader="dot" w:pos="9062"/>
            </w:tabs>
            <w:rPr>
              <w:noProof/>
              <w:kern w:val="2"/>
              <w:sz w:val="24"/>
              <w:szCs w:val="24"/>
              <w:lang w:val="de-AT" w:eastAsia="de-AT"/>
              <w14:ligatures w14:val="standardContextual"/>
            </w:rPr>
          </w:pPr>
          <w:hyperlink w:anchor="_Toc226451999" w:history="1">
            <w:r>
              <w:rPr>
                <w:rStyle w:val="Hyperlink"/>
                <w:noProof/>
              </w:rPr>
              <w:t>22.4 Astronomie (ergänzende Aspekte)</w:t>
            </w:r>
            <w:r>
              <w:rPr>
                <w:noProof/>
                <w:webHidden/>
              </w:rPr>
              <w:tab/>
              <w:fldChar w:fldCharType="begin"/>
              <w:instrText xml:space="preserve"> PAGEREF _Toc226451999 \h </w:instrText>
              <w:fldChar w:fldCharType="separate"/>
              <w:t>48</w:t>
              <w:fldChar w:fldCharType="end"/>
            </w:r>
          </w:hyperlink>
        </w:p>
        <w:p w14:paraId="70B9B11F" w14:textId="6A4ADE02" w:rsidR="003B732C" w:rsidRDefault="003B732C">
          <w:pPr>
            <w:pStyle w:val="Verzeichnis3"/>
            <w:tabs>
              <w:tab w:val="right" w:leader="dot" w:pos="9062"/>
            </w:tabs>
            <w:rPr>
              <w:noProof/>
              <w:kern w:val="2"/>
              <w:sz w:val="24"/>
              <w:szCs w:val="24"/>
              <w:lang w:val="de-AT" w:eastAsia="de-AT"/>
              <w14:ligatures w14:val="standardContextual"/>
            </w:rPr>
          </w:pPr>
          <w:hyperlink w:anchor="_Toc226452000" w:history="1">
            <w:r>
              <w:rPr>
                <w:rStyle w:val="Hyperlink"/>
                <w:noProof/>
              </w:rPr>
              <w:t>22.5 Medizinische Forschung und klinische Studien</w:t>
            </w:r>
            <w:r>
              <w:rPr>
                <w:noProof/>
                <w:webHidden/>
              </w:rPr>
              <w:tab/>
              <w:fldChar w:fldCharType="begin"/>
              <w:instrText xml:space="preserve"> PAGEREF _Toc226452000 \h </w:instrText>
              <w:fldChar w:fldCharType="separate"/>
              <w:t>49</w:t>
              <w:fldChar w:fldCharType="end"/>
            </w:r>
          </w:hyperlink>
        </w:p>
        <w:p w14:paraId="1ECCF071" w14:textId="4229E698" w:rsidR="003B732C" w:rsidRDefault="003B732C">
          <w:pPr>
            <w:pStyle w:val="Verzeichnis1"/>
            <w:tabs>
              <w:tab w:val="right" w:leader="dot" w:pos="9062"/>
            </w:tabs>
            <w:rPr>
              <w:noProof/>
              <w:kern w:val="2"/>
              <w:sz w:val="24"/>
              <w:szCs w:val="24"/>
              <w:lang w:val="de-AT" w:eastAsia="de-AT"/>
              <w14:ligatures w14:val="standardContextual"/>
            </w:rPr>
          </w:pPr>
          <w:hyperlink w:anchor="_Toc226452001" w:history="1">
            <w:r>
              <w:rPr>
                <w:rStyle w:val="Hyperlink"/>
                <w:noProof/>
                <w:lang w:val="de-AT"/>
              </w:rPr>
              <w:t>Teil IX: Flugverkehr, Luftraummanagement und ATM-Software</w:t>
            </w:r>
            <w:r>
              <w:rPr>
                <w:noProof/>
                <w:webHidden/>
              </w:rPr>
              <w:tab/>
              <w:fldChar w:fldCharType="begin"/>
              <w:instrText xml:space="preserve"> PAGEREF _Toc226452001 \h </w:instrText>
              <w:fldChar w:fldCharType="separate"/>
              <w:t>50</w:t>
              <w:fldChar w:fldCharType="end"/>
            </w:r>
          </w:hyperlink>
        </w:p>
        <w:p w14:paraId="3730F465" w14:textId="3C52475B" w:rsidR="003B732C" w:rsidRDefault="003B732C">
          <w:pPr>
            <w:pStyle w:val="Verzeichnis2"/>
            <w:tabs>
              <w:tab w:val="right" w:leader="dot" w:pos="9062"/>
            </w:tabs>
            <w:rPr>
              <w:noProof/>
              <w:kern w:val="2"/>
              <w:sz w:val="24"/>
              <w:szCs w:val="24"/>
              <w:lang w:val="de-AT" w:eastAsia="de-AT"/>
              <w14:ligatures w14:val="standardContextual"/>
            </w:rPr>
          </w:pPr>
          <w:hyperlink w:anchor="_Toc226452002" w:history="1">
            <w:r>
              <w:rPr>
                <w:rStyle w:val="Hyperlink"/>
                <w:noProof/>
                <w:lang w:val="de-AT"/>
              </w:rPr>
              <w:t>23 Zeitdarstellung im Flugverkehr: Grundproblematik</w:t>
            </w:r>
            <w:r>
              <w:rPr>
                <w:noProof/>
                <w:webHidden/>
              </w:rPr>
              <w:tab/>
              <w:fldChar w:fldCharType="begin"/>
              <w:instrText xml:space="preserve"> PAGEREF _Toc226452002 \h </w:instrText>
              <w:fldChar w:fldCharType="separate"/>
              <w:t>50</w:t>
              <w:fldChar w:fldCharType="end"/>
            </w:r>
          </w:hyperlink>
        </w:p>
        <w:p w14:paraId="6C1C9C42" w14:textId="745B09D2" w:rsidR="003B732C" w:rsidRDefault="003B732C">
          <w:pPr>
            <w:pStyle w:val="Verzeichnis3"/>
            <w:tabs>
              <w:tab w:val="right" w:leader="dot" w:pos="9062"/>
            </w:tabs>
            <w:rPr>
              <w:noProof/>
              <w:kern w:val="2"/>
              <w:sz w:val="24"/>
              <w:szCs w:val="24"/>
              <w:lang w:val="de-AT" w:eastAsia="de-AT"/>
              <w14:ligatures w14:val="standardContextual"/>
            </w:rPr>
          </w:pPr>
          <w:hyperlink w:anchor="_Toc226452003" w:history="1">
            <w:r>
              <w:rPr>
                <w:rStyle w:val="Hyperlink"/>
                <w:noProof/>
                <w:lang w:val="de-AT"/>
              </w:rPr>
              <w:t>23.1 Passagierinformation und Buchungssysteme</w:t>
            </w:r>
            <w:r>
              <w:rPr>
                <w:noProof/>
                <w:webHidden/>
              </w:rPr>
              <w:tab/>
              <w:fldChar w:fldCharType="begin"/>
              <w:instrText xml:space="preserve"> PAGEREF _Toc226452003 \h </w:instrText>
              <w:fldChar w:fldCharType="separate"/>
              <w:t>50</w:t>
              <w:fldChar w:fldCharType="end"/>
            </w:r>
          </w:hyperlink>
        </w:p>
        <w:p w14:paraId="20A37A74" w14:textId="5BCC0161" w:rsidR="003B732C" w:rsidRDefault="003B732C">
          <w:pPr>
            <w:pStyle w:val="Verzeichnis3"/>
            <w:tabs>
              <w:tab w:val="right" w:leader="dot" w:pos="9062"/>
            </w:tabs>
            <w:rPr>
              <w:noProof/>
              <w:kern w:val="2"/>
              <w:sz w:val="24"/>
              <w:szCs w:val="24"/>
              <w:lang w:val="de-AT" w:eastAsia="de-AT"/>
              <w14:ligatures w14:val="standardContextual"/>
            </w:rPr>
          </w:pPr>
          <w:hyperlink w:anchor="_Toc226452004" w:history="1">
            <w:r>
              <w:rPr>
                <w:rStyle w:val="Hyperlink"/>
                <w:noProof/>
                <w:lang w:val="de-AT"/>
              </w:rPr>
              <w:t>23.2 Kritische Nachtflug-Szenarien</w:t>
            </w:r>
            <w:r>
              <w:rPr>
                <w:noProof/>
                <w:webHidden/>
              </w:rPr>
              <w:tab/>
              <w:fldChar w:fldCharType="begin"/>
              <w:instrText xml:space="preserve"> PAGEREF _Toc226452004 \h </w:instrText>
              <w:fldChar w:fldCharType="separate"/>
              <w:t>51</w:t>
              <w:fldChar w:fldCharType="end"/>
            </w:r>
          </w:hyperlink>
        </w:p>
        <w:p w14:paraId="3A9D6BF6" w14:textId="757E9B56" w:rsidR="003B732C" w:rsidRDefault="003B732C">
          <w:pPr>
            <w:pStyle w:val="Verzeichnis2"/>
            <w:tabs>
              <w:tab w:val="right" w:leader="dot" w:pos="9062"/>
            </w:tabs>
            <w:rPr>
              <w:noProof/>
              <w:kern w:val="2"/>
              <w:sz w:val="24"/>
              <w:szCs w:val="24"/>
              <w:lang w:val="de-AT" w:eastAsia="de-AT"/>
              <w14:ligatures w14:val="standardContextual"/>
            </w:rPr>
          </w:pPr>
          <w:hyperlink w:anchor="_Toc226452005" w:history="1">
            <w:r>
              <w:rPr>
                <w:rStyle w:val="Hyperlink"/>
                <w:noProof/>
                <w:lang w:val="de-AT"/>
              </w:rPr>
              <w:t>24 Flugsicherung und ATM-Software</w:t>
            </w:r>
            <w:r>
              <w:rPr>
                <w:noProof/>
                <w:webHidden/>
              </w:rPr>
              <w:tab/>
              <w:fldChar w:fldCharType="begin"/>
              <w:instrText xml:space="preserve"> PAGEREF _Toc226452005 \h </w:instrText>
              <w:fldChar w:fldCharType="separate"/>
              <w:t>51</w:t>
              <w:fldChar w:fldCharType="end"/>
            </w:r>
          </w:hyperlink>
        </w:p>
        <w:p w14:paraId="4443A292" w14:textId="2955EDDB" w:rsidR="003B732C" w:rsidRDefault="003B732C">
          <w:pPr>
            <w:pStyle w:val="Verzeichnis3"/>
            <w:tabs>
              <w:tab w:val="right" w:leader="dot" w:pos="9062"/>
            </w:tabs>
            <w:rPr>
              <w:noProof/>
              <w:kern w:val="2"/>
              <w:sz w:val="24"/>
              <w:szCs w:val="24"/>
              <w:lang w:val="de-AT" w:eastAsia="de-AT"/>
              <w14:ligatures w14:val="standardContextual"/>
            </w:rPr>
          </w:pPr>
          <w:hyperlink w:anchor="_Toc226452006" w:history="1">
            <w:r>
              <w:rPr>
                <w:rStyle w:val="Hyperlink"/>
                <w:noProof/>
                <w:lang w:val="de-AT"/>
              </w:rPr>
              <w:t>24.1 Frequentis AG: Systemarchitektur und Zeitproblematik</w:t>
            </w:r>
            <w:r>
              <w:rPr>
                <w:noProof/>
                <w:webHidden/>
              </w:rPr>
              <w:tab/>
              <w:fldChar w:fldCharType="begin"/>
              <w:instrText xml:space="preserve"> PAGEREF _Toc226452006 \h </w:instrText>
              <w:fldChar w:fldCharType="separate"/>
              <w:t>51</w:t>
              <w:fldChar w:fldCharType="end"/>
            </w:r>
          </w:hyperlink>
        </w:p>
        <w:p w14:paraId="71C08B96" w14:textId="75831CE5" w:rsidR="003B732C" w:rsidRDefault="003B732C">
          <w:pPr>
            <w:pStyle w:val="Verzeichnis3"/>
            <w:tabs>
              <w:tab w:val="right" w:leader="dot" w:pos="9062"/>
            </w:tabs>
            <w:rPr>
              <w:noProof/>
              <w:kern w:val="2"/>
              <w:sz w:val="24"/>
              <w:szCs w:val="24"/>
              <w:lang w:val="de-AT" w:eastAsia="de-AT"/>
              <w14:ligatures w14:val="standardContextual"/>
            </w:rPr>
          </w:pPr>
          <w:hyperlink w:anchor="_Toc226452007" w:history="1">
            <w:r>
              <w:rPr>
                <w:rStyle w:val="Hyperlink"/>
                <w:noProof/>
                <w:lang w:val="de-AT"/>
              </w:rPr>
              <w:t>24.2 ASTERIX: Das europäische Radar-Datenformat</w:t>
            </w:r>
            <w:r>
              <w:rPr>
                <w:noProof/>
                <w:webHidden/>
              </w:rPr>
              <w:tab/>
              <w:fldChar w:fldCharType="begin"/>
              <w:instrText xml:space="preserve"> PAGEREF _Toc226452007 \h </w:instrText>
              <w:fldChar w:fldCharType="separate"/>
              <w:t>52</w:t>
              <w:fldChar w:fldCharType="end"/>
            </w:r>
          </w:hyperlink>
        </w:p>
        <w:p w14:paraId="02B7DD73" w14:textId="7120E934" w:rsidR="003B732C" w:rsidRDefault="003B732C">
          <w:pPr>
            <w:pStyle w:val="Verzeichnis3"/>
            <w:tabs>
              <w:tab w:val="right" w:leader="dot" w:pos="9062"/>
            </w:tabs>
            <w:rPr>
              <w:noProof/>
              <w:kern w:val="2"/>
              <w:sz w:val="24"/>
              <w:szCs w:val="24"/>
              <w:lang w:val="de-AT" w:eastAsia="de-AT"/>
              <w14:ligatures w14:val="standardContextual"/>
            </w:rPr>
          </w:pPr>
          <w:hyperlink w:anchor="_Toc226452008" w:history="1">
            <w:r>
              <w:rPr>
                <w:rStyle w:val="Hyperlink"/>
                <w:noProof/>
                <w:lang w:val="de-AT"/>
              </w:rPr>
              <w:t>24.3 Eurocontrol SWIM und NM-Systeme</w:t>
            </w:r>
            <w:r>
              <w:rPr>
                <w:noProof/>
                <w:webHidden/>
              </w:rPr>
              <w:tab/>
              <w:fldChar w:fldCharType="begin"/>
              <w:instrText xml:space="preserve"> PAGEREF _Toc226452008 \h </w:instrText>
              <w:fldChar w:fldCharType="separate"/>
              <w:t>52</w:t>
              <w:fldChar w:fldCharType="end"/>
            </w:r>
          </w:hyperlink>
        </w:p>
        <w:p w14:paraId="62B7443D" w14:textId="7A2F61FB" w:rsidR="003B732C" w:rsidRDefault="003B732C">
          <w:pPr>
            <w:pStyle w:val="Verzeichnis3"/>
            <w:tabs>
              <w:tab w:val="right" w:leader="dot" w:pos="9062"/>
            </w:tabs>
            <w:rPr>
              <w:noProof/>
              <w:kern w:val="2"/>
              <w:sz w:val="24"/>
              <w:szCs w:val="24"/>
              <w:lang w:val="de-AT" w:eastAsia="de-AT"/>
              <w14:ligatures w14:val="standardContextual"/>
            </w:rPr>
          </w:pPr>
          <w:hyperlink w:anchor="_Toc226452009" w:history="1">
            <w:r>
              <w:rPr>
                <w:rStyle w:val="Hyperlink"/>
                <w:noProof/>
              </w:rPr>
              <w:t>24.4 Militärischer Luftraum und NOTAM</w:t>
            </w:r>
            <w:r>
              <w:rPr>
                <w:noProof/>
                <w:webHidden/>
              </w:rPr>
              <w:tab/>
              <w:fldChar w:fldCharType="begin"/>
              <w:instrText xml:space="preserve"> PAGEREF _Toc226452009 \h </w:instrText>
              <w:fldChar w:fldCharType="separate"/>
              <w:t>53</w:t>
              <w:fldChar w:fldCharType="end"/>
            </w:r>
          </w:hyperlink>
        </w:p>
        <w:p w14:paraId="2BC1D299" w14:textId="49467228" w:rsidR="003B732C" w:rsidRDefault="003B732C">
          <w:pPr>
            <w:pStyle w:val="Verzeichnis2"/>
            <w:tabs>
              <w:tab w:val="right" w:leader="dot" w:pos="9062"/>
            </w:tabs>
            <w:rPr>
              <w:noProof/>
              <w:kern w:val="2"/>
              <w:sz w:val="24"/>
              <w:szCs w:val="24"/>
              <w:lang w:val="de-AT" w:eastAsia="de-AT"/>
              <w14:ligatures w14:val="standardContextual"/>
            </w:rPr>
          </w:pPr>
          <w:hyperlink w:anchor="_Toc226452010" w:history="1">
            <w:r>
              <w:rPr>
                <w:rStyle w:val="Hyperlink"/>
                <w:noProof/>
                <w:lang w:val="de-AT"/>
              </w:rPr>
              <w:t>25 Bordsysteme und Datenaufzeichnung</w:t>
            </w:r>
            <w:r>
              <w:rPr>
                <w:noProof/>
                <w:webHidden/>
              </w:rPr>
              <w:tab/>
              <w:fldChar w:fldCharType="begin"/>
              <w:instrText xml:space="preserve"> PAGEREF _Toc226452010 \h </w:instrText>
              <w:fldChar w:fldCharType="separate"/>
              <w:t>54</w:t>
              <w:fldChar w:fldCharType="end"/>
            </w:r>
          </w:hyperlink>
        </w:p>
        <w:p w14:paraId="45B8FA6B" w14:textId="55912747" w:rsidR="003B732C" w:rsidRDefault="003B732C">
          <w:pPr>
            <w:pStyle w:val="Verzeichnis3"/>
            <w:tabs>
              <w:tab w:val="right" w:leader="dot" w:pos="9062"/>
            </w:tabs>
            <w:rPr>
              <w:noProof/>
              <w:kern w:val="2"/>
              <w:sz w:val="24"/>
              <w:szCs w:val="24"/>
              <w:lang w:val="de-AT" w:eastAsia="de-AT"/>
              <w14:ligatures w14:val="standardContextual"/>
            </w:rPr>
          </w:pPr>
          <w:hyperlink w:anchor="_Toc226452011" w:history="1">
            <w:r>
              <w:rPr>
                <w:rStyle w:val="Hyperlink"/>
                <w:noProof/>
                <w:lang w:val="de-AT"/>
              </w:rPr>
              <w:t>25.1 ACARS und Bordzeitstempel</w:t>
            </w:r>
            <w:r>
              <w:rPr>
                <w:noProof/>
                <w:webHidden/>
              </w:rPr>
              <w:tab/>
              <w:fldChar w:fldCharType="begin"/>
              <w:instrText xml:space="preserve"> PAGEREF _Toc226452011 \h </w:instrText>
              <w:fldChar w:fldCharType="separate"/>
              <w:t>54</w:t>
              <w:fldChar w:fldCharType="end"/>
            </w:r>
          </w:hyperlink>
        </w:p>
        <w:p w14:paraId="646BB59B" w14:textId="6259F0E0" w:rsidR="003B732C" w:rsidRDefault="003B732C">
          <w:pPr>
            <w:pStyle w:val="Verzeichnis3"/>
            <w:tabs>
              <w:tab w:val="right" w:leader="dot" w:pos="9062"/>
            </w:tabs>
            <w:rPr>
              <w:noProof/>
              <w:kern w:val="2"/>
              <w:sz w:val="24"/>
              <w:szCs w:val="24"/>
              <w:lang w:val="de-AT" w:eastAsia="de-AT"/>
              <w14:ligatures w14:val="standardContextual"/>
            </w:rPr>
          </w:pPr>
          <w:hyperlink w:anchor="_Toc226452012" w:history="1">
            <w:r>
              <w:rPr>
                <w:rStyle w:val="Hyperlink"/>
                <w:noProof/>
              </w:rPr>
              <w:t>25.2 Flight Data Recorder und Unfalluntersuchung</w:t>
            </w:r>
            <w:r>
              <w:rPr>
                <w:noProof/>
                <w:webHidden/>
              </w:rPr>
              <w:tab/>
              <w:fldChar w:fldCharType="begin"/>
              <w:instrText xml:space="preserve"> PAGEREF _Toc226452012 \h </w:instrText>
              <w:fldChar w:fldCharType="separate"/>
              <w:t>54</w:t>
              <w:fldChar w:fldCharType="end"/>
            </w:r>
          </w:hyperlink>
        </w:p>
        <w:p w14:paraId="1322FA3D" w14:textId="0D92FF4D" w:rsidR="003B732C" w:rsidRDefault="003B732C">
          <w:pPr>
            <w:pStyle w:val="Verzeichnis3"/>
            <w:tabs>
              <w:tab w:val="right" w:leader="dot" w:pos="9062"/>
            </w:tabs>
            <w:rPr>
              <w:noProof/>
              <w:kern w:val="2"/>
              <w:sz w:val="24"/>
              <w:szCs w:val="24"/>
              <w:lang w:val="de-AT" w:eastAsia="de-AT"/>
              <w14:ligatures w14:val="standardContextual"/>
            </w:rPr>
          </w:pPr>
          <w:hyperlink w:anchor="_Toc226452013" w:history="1">
            <w:r>
              <w:rPr>
                <w:rStyle w:val="Hyperlink"/>
                <w:noProof/>
              </w:rPr>
              <w:t>25.3 PBN und GPS-Zeitabhängigkeit</w:t>
            </w:r>
            <w:r>
              <w:rPr>
                <w:noProof/>
                <w:webHidden/>
              </w:rPr>
              <w:tab/>
              <w:fldChar w:fldCharType="begin"/>
              <w:instrText xml:space="preserve"> PAGEREF _Toc226452013 \h </w:instrText>
              <w:fldChar w:fldCharType="separate"/>
              <w:t>55</w:t>
              <w:fldChar w:fldCharType="end"/>
            </w:r>
          </w:hyperlink>
        </w:p>
        <w:p w14:paraId="3FE6C476" w14:textId="7EACAAA8" w:rsidR="003B732C" w:rsidRDefault="003B732C">
          <w:pPr>
            <w:pStyle w:val="Verzeichnis2"/>
            <w:tabs>
              <w:tab w:val="right" w:leader="dot" w:pos="9062"/>
            </w:tabs>
            <w:rPr>
              <w:noProof/>
              <w:kern w:val="2"/>
              <w:sz w:val="24"/>
              <w:szCs w:val="24"/>
              <w:lang w:val="de-AT" w:eastAsia="de-AT"/>
              <w14:ligatures w14:val="standardContextual"/>
            </w:rPr>
          </w:pPr>
          <w:hyperlink w:anchor="_Toc226452014" w:history="1">
            <w:r>
              <w:rPr>
                <w:rStyle w:val="Hyperlink"/>
                <w:noProof/>
                <w:lang w:val="de-AT"/>
              </w:rPr>
              <w:t>26 Verspätungsmanagement und Operations Control</w:t>
            </w:r>
            <w:r>
              <w:rPr>
                <w:noProof/>
                <w:webHidden/>
              </w:rPr>
              <w:tab/>
              <w:fldChar w:fldCharType="begin"/>
              <w:instrText xml:space="preserve"> PAGEREF _Toc226452014 \h </w:instrText>
              <w:fldChar w:fldCharType="separate"/>
              <w:t>55</w:t>
              <w:fldChar w:fldCharType="end"/>
            </w:r>
          </w:hyperlink>
        </w:p>
        <w:p w14:paraId="130BB597" w14:textId="683CBC8A" w:rsidR="003B732C" w:rsidRDefault="003B732C">
          <w:pPr>
            <w:pStyle w:val="Verzeichnis3"/>
            <w:tabs>
              <w:tab w:val="right" w:leader="dot" w:pos="9062"/>
            </w:tabs>
            <w:rPr>
              <w:noProof/>
              <w:kern w:val="2"/>
              <w:sz w:val="24"/>
              <w:szCs w:val="24"/>
              <w:lang w:val="de-AT" w:eastAsia="de-AT"/>
              <w14:ligatures w14:val="standardContextual"/>
            </w:rPr>
          </w:pPr>
          <w:hyperlink w:anchor="_Toc226452015" w:history="1">
            <w:r>
              <w:rPr>
                <w:rStyle w:val="Hyperlink"/>
                <w:noProof/>
                <w:lang w:val="de-AT"/>
              </w:rPr>
              <w:t>26.1 IATA Delay Codes und Zeiterfassung</w:t>
            </w:r>
            <w:r>
              <w:rPr>
                <w:noProof/>
                <w:webHidden/>
              </w:rPr>
              <w:tab/>
              <w:fldChar w:fldCharType="begin"/>
              <w:instrText xml:space="preserve"> PAGEREF _Toc226452015 \h </w:instrText>
              <w:fldChar w:fldCharType="separate"/>
              <w:t>55</w:t>
              <w:fldChar w:fldCharType="end"/>
            </w:r>
          </w:hyperlink>
        </w:p>
        <w:p w14:paraId="434229B6" w14:textId="64A35515" w:rsidR="003B732C" w:rsidRDefault="003B732C">
          <w:pPr>
            <w:pStyle w:val="Verzeichnis3"/>
            <w:tabs>
              <w:tab w:val="right" w:leader="dot" w:pos="9062"/>
            </w:tabs>
            <w:rPr>
              <w:noProof/>
              <w:kern w:val="2"/>
              <w:sz w:val="24"/>
              <w:szCs w:val="24"/>
              <w:lang w:val="de-AT" w:eastAsia="de-AT"/>
              <w14:ligatures w14:val="standardContextual"/>
            </w:rPr>
          </w:pPr>
          <w:hyperlink w:anchor="_Toc226452016" w:history="1">
            <w:r>
              <w:rPr>
                <w:rStyle w:val="Hyperlink"/>
                <w:noProof/>
              </w:rPr>
              <w:t>26.2 Anschlussflugmanagement</w:t>
            </w:r>
            <w:r>
              <w:rPr>
                <w:noProof/>
                <w:webHidden/>
              </w:rPr>
              <w:tab/>
              <w:fldChar w:fldCharType="begin"/>
              <w:instrText xml:space="preserve"> PAGEREF _Toc226452016 \h </w:instrText>
              <w:fldChar w:fldCharType="separate"/>
              <w:t>56</w:t>
              <w:fldChar w:fldCharType="end"/>
            </w:r>
          </w:hyperlink>
        </w:p>
        <w:p w14:paraId="5C470C5F" w14:textId="56BB56C3" w:rsidR="003B732C" w:rsidRDefault="003B732C">
          <w:pPr>
            <w:pStyle w:val="Verzeichnis3"/>
            <w:tabs>
              <w:tab w:val="right" w:leader="dot" w:pos="9062"/>
            </w:tabs>
            <w:rPr>
              <w:noProof/>
              <w:kern w:val="2"/>
              <w:sz w:val="24"/>
              <w:szCs w:val="24"/>
              <w:lang w:val="de-AT" w:eastAsia="de-AT"/>
              <w14:ligatures w14:val="standardContextual"/>
            </w:rPr>
          </w:pPr>
          <w:hyperlink w:anchor="_Toc226452017" w:history="1">
            <w:r>
              <w:rPr>
                <w:rStyle w:val="Hyperlink"/>
                <w:noProof/>
              </w:rPr>
              <w:t>26.3 Airport Operations und Slot-Management</w:t>
            </w:r>
            <w:r>
              <w:rPr>
                <w:noProof/>
                <w:webHidden/>
              </w:rPr>
              <w:tab/>
              <w:fldChar w:fldCharType="begin"/>
              <w:instrText xml:space="preserve"> PAGEREF _Toc226452017 \h </w:instrText>
              <w:fldChar w:fldCharType="separate"/>
              <w:t>56</w:t>
              <w:fldChar w:fldCharType="end"/>
            </w:r>
          </w:hyperlink>
        </w:p>
        <w:p w14:paraId="2CB28FE0" w14:textId="4B64E13A" w:rsidR="003B732C" w:rsidRDefault="003B732C">
          <w:pPr>
            <w:pStyle w:val="Verzeichnis2"/>
            <w:tabs>
              <w:tab w:val="right" w:leader="dot" w:pos="9062"/>
            </w:tabs>
            <w:rPr>
              <w:noProof/>
              <w:kern w:val="2"/>
              <w:sz w:val="24"/>
              <w:szCs w:val="24"/>
              <w:lang w:val="de-AT" w:eastAsia="de-AT"/>
              <w14:ligatures w14:val="standardContextual"/>
            </w:rPr>
          </w:pPr>
          <w:hyperlink w:anchor="_Toc226452018" w:history="1">
            <w:r>
              <w:rPr>
                <w:rStyle w:val="Hyperlink"/>
                <w:noProof/>
                <w:lang w:val="de-AT"/>
              </w:rPr>
              <w:t>Anhang A: Strategische Handlungsempfehlungen</w:t>
            </w:r>
            <w:r>
              <w:rPr>
                <w:noProof/>
                <w:webHidden/>
              </w:rPr>
              <w:tab/>
              <w:fldChar w:fldCharType="begin"/>
              <w:instrText xml:space="preserve"> PAGEREF _Toc226452018 \h </w:instrText>
              <w:fldChar w:fldCharType="separate"/>
              <w:t>57</w:t>
              <w:fldChar w:fldCharType="end"/>
            </w:r>
          </w:hyperlink>
        </w:p>
        <w:p w14:paraId="59464569" w14:textId="2DE21D90" w:rsidR="003B732C" w:rsidRDefault="003B732C">
          <w:pPr>
            <w:pStyle w:val="Verzeichnis2"/>
            <w:tabs>
              <w:tab w:val="right" w:leader="dot" w:pos="9062"/>
            </w:tabs>
            <w:rPr>
              <w:noProof/>
              <w:kern w:val="2"/>
              <w:sz w:val="24"/>
              <w:szCs w:val="24"/>
              <w:lang w:val="de-AT" w:eastAsia="de-AT"/>
              <w14:ligatures w14:val="standardContextual"/>
            </w:rPr>
          </w:pPr>
          <w:hyperlink w:anchor="_Toc226452019" w:history="1">
            <w:r>
              <w:rPr>
                <w:rStyle w:val="Hyperlink"/>
                <w:noProof/>
                <w:lang w:val="de-AT"/>
              </w:rPr>
              <w:t>A.1 Österreichische Anknüpfungspunkte</w:t>
            </w:r>
            <w:r>
              <w:rPr>
                <w:noProof/>
                <w:webHidden/>
              </w:rPr>
              <w:tab/>
              <w:fldChar w:fldCharType="begin"/>
              <w:instrText xml:space="preserve"> PAGEREF _Toc226452019 \h </w:instrText>
              <w:fldChar w:fldCharType="separate"/>
              <w:t>57</w:t>
              <w:fldChar w:fldCharType="end"/>
            </w:r>
          </w:hyperlink>
        </w:p>
        <w:p w14:paraId="77E1C075" w14:textId="28CC8805" w:rsidR="003B732C" w:rsidRDefault="003B732C">
          <w:pPr>
            <w:pStyle w:val="Verzeichnis2"/>
            <w:tabs>
              <w:tab w:val="right" w:leader="dot" w:pos="9062"/>
            </w:tabs>
            <w:rPr>
              <w:noProof/>
              <w:kern w:val="2"/>
              <w:sz w:val="24"/>
              <w:szCs w:val="24"/>
              <w:lang w:val="de-AT" w:eastAsia="de-AT"/>
              <w14:ligatures w14:val="standardContextual"/>
            </w:rPr>
          </w:pPr>
          <w:hyperlink w:anchor="_Toc226452020" w:history="1">
            <w:r>
              <w:rPr>
                <w:rStyle w:val="Hyperlink"/>
                <w:noProof/>
                <w:lang w:val="de-AT"/>
              </w:rPr>
              <w:t>A.2 Internationale Zielorganisationen und Standardisierungsgremien</w:t>
            </w:r>
            <w:r>
              <w:rPr>
                <w:noProof/>
                <w:webHidden/>
              </w:rPr>
              <w:tab/>
              <w:fldChar w:fldCharType="begin"/>
              <w:instrText xml:space="preserve"> PAGEREF _Toc226452020 \h </w:instrText>
              <w:fldChar w:fldCharType="separate"/>
              <w:t>58</w:t>
              <w:fldChar w:fldCharType="end"/>
            </w:r>
          </w:hyperlink>
        </w:p>
        <w:p w14:paraId="2AA13740" w14:textId="703C5035" w:rsidR="003B732C" w:rsidRDefault="003B732C">
          <w:pPr>
            <w:pStyle w:val="Verzeichnis2"/>
            <w:tabs>
              <w:tab w:val="right" w:leader="dot" w:pos="9062"/>
            </w:tabs>
            <w:rPr>
              <w:noProof/>
              <w:kern w:val="2"/>
              <w:sz w:val="24"/>
              <w:szCs w:val="24"/>
              <w:lang w:val="de-AT" w:eastAsia="de-AT"/>
              <w14:ligatures w14:val="standardContextual"/>
            </w:rPr>
          </w:pPr>
          <w:hyperlink w:anchor="_Toc226452021" w:history="1">
            <w:r>
              <w:rPr>
                <w:rStyle w:val="Hyperlink"/>
                <w:noProof/>
                <w:lang w:val="de-AT"/>
              </w:rPr>
              <w:t>A.3 Normierungsfahrplan</w:t>
            </w:r>
            <w:r>
              <w:rPr>
                <w:noProof/>
                <w:webHidden/>
              </w:rPr>
              <w:tab/>
              <w:fldChar w:fldCharType="begin"/>
              <w:instrText xml:space="preserve"> PAGEREF _Toc226452021 \h </w:instrText>
              <w:fldChar w:fldCharType="separate"/>
              <w:t>59</w:t>
              <w:fldChar w:fldCharType="end"/>
            </w:r>
          </w:hyperlink>
        </w:p>
        <w:p w14:paraId="05D157B6" w14:textId="61A051A2" w:rsidR="003B732C" w:rsidRDefault="003B732C">
          <w:pPr>
            <w:pStyle w:val="Verzeichnis3"/>
            <w:tabs>
              <w:tab w:val="right" w:leader="dot" w:pos="9062"/>
            </w:tabs>
            <w:rPr>
              <w:noProof/>
              <w:kern w:val="2"/>
              <w:sz w:val="24"/>
              <w:szCs w:val="24"/>
              <w:lang w:val="de-AT" w:eastAsia="de-AT"/>
              <w14:ligatures w14:val="standardContextual"/>
            </w:rPr>
          </w:pPr>
          <w:hyperlink w:anchor="_Toc226452022" w:history="1">
            <w:r>
              <w:rPr>
                <w:rStyle w:val="Hyperlink"/>
                <w:noProof/>
              </w:rPr>
              <w:t>A.3.1 Kurzfristig (0–12 Monate)</w:t>
            </w:r>
            <w:r>
              <w:rPr>
                <w:noProof/>
                <w:webHidden/>
              </w:rPr>
              <w:tab/>
              <w:fldChar w:fldCharType="begin"/>
              <w:instrText xml:space="preserve"> PAGEREF _Toc226452022 \h </w:instrText>
              <w:fldChar w:fldCharType="separate"/>
              <w:t>59</w:t>
              <w:fldChar w:fldCharType="end"/>
            </w:r>
          </w:hyperlink>
        </w:p>
        <w:p w14:paraId="4B1EA334" w14:textId="6C8C2B69" w:rsidR="003B732C" w:rsidRDefault="003B732C">
          <w:pPr>
            <w:pStyle w:val="Verzeichnis3"/>
            <w:tabs>
              <w:tab w:val="right" w:leader="dot" w:pos="9062"/>
            </w:tabs>
            <w:rPr>
              <w:noProof/>
              <w:kern w:val="2"/>
              <w:sz w:val="24"/>
              <w:szCs w:val="24"/>
              <w:lang w:val="de-AT" w:eastAsia="de-AT"/>
              <w14:ligatures w14:val="standardContextual"/>
            </w:rPr>
          </w:pPr>
          <w:hyperlink w:anchor="_Toc226452023" w:history="1">
            <w:r>
              <w:rPr>
                <w:rStyle w:val="Hyperlink"/>
                <w:noProof/>
              </w:rPr>
              <w:t>A.3.2 Mittelfristig (1–3 Jahre)</w:t>
            </w:r>
            <w:r>
              <w:rPr>
                <w:noProof/>
                <w:webHidden/>
              </w:rPr>
              <w:tab/>
              <w:fldChar w:fldCharType="begin"/>
              <w:instrText xml:space="preserve"> PAGEREF _Toc226452023 \h </w:instrText>
              <w:fldChar w:fldCharType="separate"/>
              <w:t>59</w:t>
              <w:fldChar w:fldCharType="end"/>
            </w:r>
          </w:hyperlink>
        </w:p>
        <w:p w14:paraId="7167E3AB" w14:textId="7F9EC0C6" w:rsidR="003B732C" w:rsidRDefault="003B732C">
          <w:pPr>
            <w:pStyle w:val="Verzeichnis3"/>
            <w:tabs>
              <w:tab w:val="right" w:leader="dot" w:pos="9062"/>
            </w:tabs>
            <w:rPr>
              <w:noProof/>
              <w:kern w:val="2"/>
              <w:sz w:val="24"/>
              <w:szCs w:val="24"/>
              <w:lang w:val="de-AT" w:eastAsia="de-AT"/>
              <w14:ligatures w14:val="standardContextual"/>
            </w:rPr>
          </w:pPr>
          <w:hyperlink w:anchor="_Toc226452024" w:history="1">
            <w:r>
              <w:rPr>
                <w:rStyle w:val="Hyperlink"/>
                <w:noProof/>
              </w:rPr>
              <w:t>A.3.3 Langfristig (3+ Jahre)</w:t>
            </w:r>
            <w:r>
              <w:rPr>
                <w:noProof/>
                <w:webHidden/>
              </w:rPr>
              <w:tab/>
              <w:fldChar w:fldCharType="begin"/>
              <w:instrText xml:space="preserve"> PAGEREF _Toc226452024 \h </w:instrText>
              <w:fldChar w:fldCharType="separate"/>
              <w:t>59</w:t>
              <w:fldChar w:fldCharType="end"/>
            </w:r>
          </w:hyperlink>
        </w:p>
        <w:p w14:paraId="399618E6" w14:textId="74B05AFE" w:rsidR="003B732C" w:rsidRDefault="003B732C">
          <w:pPr>
            <w:pStyle w:val="Verzeichnis2"/>
            <w:tabs>
              <w:tab w:val="right" w:leader="dot" w:pos="9062"/>
            </w:tabs>
            <w:rPr>
              <w:noProof/>
              <w:kern w:val="2"/>
              <w:sz w:val="24"/>
              <w:szCs w:val="24"/>
              <w:lang w:val="de-AT" w:eastAsia="de-AT"/>
              <w14:ligatures w14:val="standardContextual"/>
            </w:rPr>
          </w:pPr>
          <w:hyperlink w:anchor="_Toc226452025" w:history="1">
            <w:r>
              <w:rPr>
                <w:rStyle w:val="Hyperlink"/>
                <w:noProof/>
                <w:lang w:val="de-AT"/>
              </w:rPr>
              <w:t>Anhang B: Querschnittslösungen</w:t>
            </w:r>
            <w:r>
              <w:rPr>
                <w:noProof/>
                <w:webHidden/>
              </w:rPr>
              <w:tab/>
              <w:fldChar w:fldCharType="begin"/>
              <w:instrText xml:space="preserve"> PAGEREF _Toc226452025 \h </w:instrText>
              <w:fldChar w:fldCharType="separate"/>
              <w:t>60</w:t>
              <w:fldChar w:fldCharType="end"/>
            </w:r>
          </w:hyperlink>
        </w:p>
        <w:p w14:paraId="4E45FA1C" w14:textId="05EC4B8E" w:rsidR="003B732C" w:rsidRDefault="003B732C">
          <w:pPr>
            <w:pStyle w:val="Verzeichnis3"/>
            <w:tabs>
              <w:tab w:val="right" w:leader="dot" w:pos="9062"/>
            </w:tabs>
            <w:rPr>
              <w:noProof/>
              <w:kern w:val="2"/>
              <w:sz w:val="24"/>
              <w:szCs w:val="24"/>
              <w:lang w:val="de-AT" w:eastAsia="de-AT"/>
              <w14:ligatures w14:val="standardContextual"/>
            </w:rPr>
          </w:pPr>
          <w:hyperlink w:anchor="_Toc226452026" w:history="1">
            <w:r>
              <w:rPr>
                <w:rStyle w:val="Hyperlink"/>
                <w:noProof/>
                <w:lang w:val="de-AT"/>
              </w:rPr>
              <w:t>B.1 Querschnittslösung: CTDDL-Fristen und Intervalle</w:t>
            </w:r>
            <w:r>
              <w:rPr>
                <w:noProof/>
                <w:webHidden/>
              </w:rPr>
              <w:tab/>
              <w:fldChar w:fldCharType="begin"/>
              <w:instrText xml:space="preserve"> PAGEREF _Toc226452026 \h </w:instrText>
              <w:fldChar w:fldCharType="separate"/>
              <w:t>60</w:t>
              <w:fldChar w:fldCharType="end"/>
            </w:r>
          </w:hyperlink>
        </w:p>
        <w:p w14:paraId="6D98D3BE" w14:textId="0F617711" w:rsidR="003B732C" w:rsidRDefault="003B732C">
          <w:pPr>
            <w:pStyle w:val="Verzeichnis3"/>
            <w:tabs>
              <w:tab w:val="right" w:leader="dot" w:pos="9062"/>
            </w:tabs>
            <w:rPr>
              <w:noProof/>
              <w:kern w:val="2"/>
              <w:sz w:val="24"/>
              <w:szCs w:val="24"/>
              <w:lang w:val="de-AT" w:eastAsia="de-AT"/>
              <w14:ligatures w14:val="standardContextual"/>
            </w:rPr>
          </w:pPr>
          <w:hyperlink w:anchor="_Toc226452027" w:history="1">
            <w:r>
              <w:rPr>
                <w:rStyle w:val="Hyperlink"/>
                <w:noProof/>
                <w:lang w:val="de-AT"/>
              </w:rPr>
              <w:t>B.2 Querschnittslösung: Langzeitstabilität über Jahrzehnte</w:t>
            </w:r>
            <w:r>
              <w:rPr>
                <w:noProof/>
                <w:webHidden/>
              </w:rPr>
              <w:tab/>
              <w:fldChar w:fldCharType="begin"/>
              <w:instrText xml:space="preserve"> PAGEREF _Toc226452027 \h </w:instrText>
              <w:fldChar w:fldCharType="separate"/>
              <w:t>60</w:t>
              <w:fldChar w:fldCharType="end"/>
            </w:r>
          </w:hyperlink>
        </w:p>
        <w:p w14:paraId="1B001C7B" w14:textId="05F4F8A0" w:rsidR="003B732C" w:rsidRDefault="003B732C">
          <w:pPr>
            <w:pStyle w:val="Verzeichnis3"/>
            <w:tabs>
              <w:tab w:val="right" w:leader="dot" w:pos="9062"/>
            </w:tabs>
            <w:rPr>
              <w:noProof/>
              <w:kern w:val="2"/>
              <w:sz w:val="24"/>
              <w:szCs w:val="24"/>
              <w:lang w:val="de-AT" w:eastAsia="de-AT"/>
              <w14:ligatures w14:val="standardContextual"/>
            </w:rPr>
          </w:pPr>
          <w:hyperlink w:anchor="_Toc226452028" w:history="1">
            <w:r>
              <w:rPr>
                <w:rStyle w:val="Hyperlink"/>
                <w:noProof/>
                <w:lang w:val="de-AT"/>
              </w:rPr>
              <w:t>B.3 Querschnittslösung: Manipulationsresistenz und Gerichtsfestigkeit</w:t>
            </w:r>
            <w:r>
              <w:rPr>
                <w:noProof/>
                <w:webHidden/>
              </w:rPr>
              <w:tab/>
              <w:fldChar w:fldCharType="begin"/>
              <w:instrText xml:space="preserve"> PAGEREF _Toc226452028 \h </w:instrText>
              <w:fldChar w:fldCharType="separate"/>
              <w:t>60</w:t>
              <w:fldChar w:fldCharType="end"/>
            </w:r>
          </w:hyperlink>
        </w:p>
        <w:p w14:paraId="6E516948" w14:textId="7B2304A3" w:rsidR="003B732C" w:rsidRDefault="003B732C">
          <w:pPr>
            <w:pStyle w:val="Verzeichnis3"/>
            <w:tabs>
              <w:tab w:val="right" w:leader="dot" w:pos="9062"/>
            </w:tabs>
            <w:rPr>
              <w:noProof/>
              <w:kern w:val="2"/>
              <w:sz w:val="24"/>
              <w:szCs w:val="24"/>
              <w:lang w:val="de-AT" w:eastAsia="de-AT"/>
              <w14:ligatures w14:val="standardContextual"/>
            </w:rPr>
          </w:pPr>
          <w:hyperlink w:anchor="_Toc226452029" w:history="1">
            <w:r>
              <w:rPr>
                <w:rStyle w:val="Hyperlink"/>
                <w:noProof/>
                <w:lang w:val="de-AT"/>
              </w:rPr>
              <w:t>B.4 Querschnittslösung: BigInt-Präzision für Hochfrequenz- und Wissenschaftsanwendungen</w:t>
            </w:r>
            <w:r>
              <w:rPr>
                <w:noProof/>
                <w:webHidden/>
              </w:rPr>
              <w:tab/>
              <w:fldChar w:fldCharType="begin"/>
              <w:instrText xml:space="preserve"> PAGEREF _Toc226452029 \h </w:instrText>
              <w:fldChar w:fldCharType="separate"/>
              <w:t>61</w:t>
              <w:fldChar w:fldCharType="end"/>
            </w:r>
          </w:hyperlink>
        </w:p>
        <w:p w14:paraId="4440DDC0" w14:textId="0AA8F3CC" w:rsidR="003B732C" w:rsidRDefault="003B732C">
          <w:pPr>
            <w:pStyle w:val="Verzeichnis3"/>
            <w:tabs>
              <w:tab w:val="right" w:leader="dot" w:pos="9062"/>
            </w:tabs>
            <w:rPr>
              <w:noProof/>
              <w:kern w:val="2"/>
              <w:sz w:val="24"/>
              <w:szCs w:val="24"/>
              <w:lang w:val="de-AT" w:eastAsia="de-AT"/>
              <w14:ligatures w14:val="standardContextual"/>
            </w:rPr>
          </w:pPr>
          <w:hyperlink w:anchor="_Toc226452030" w:history="1">
            <w:r>
              <w:rPr>
                <w:rStyle w:val="Hyperlink"/>
                <w:noProof/>
                <w:lang w:val="de-AT"/>
              </w:rPr>
              <w:t>B.5 Querschnittslösung: Log-Korrelation und digitale Forensik</w:t>
            </w:r>
            <w:r>
              <w:rPr>
                <w:noProof/>
                <w:webHidden/>
              </w:rPr>
              <w:tab/>
              <w:fldChar w:fldCharType="begin"/>
              <w:instrText xml:space="preserve"> PAGEREF _Toc226452030 \h </w:instrText>
              <w:fldChar w:fldCharType="separate"/>
              <w:t>61</w:t>
              <w:fldChar w:fldCharType="end"/>
            </w:r>
          </w:hyperlink>
        </w:p>
        <w:p w14:paraId="0787EC7D" w14:textId="4C6C5092" w:rsidR="003B732C" w:rsidRDefault="003B732C">
          <w:pPr>
            <w:pStyle w:val="Verzeichnis2"/>
            <w:tabs>
              <w:tab w:val="right" w:leader="dot" w:pos="9062"/>
            </w:tabs>
            <w:rPr>
              <w:noProof/>
              <w:kern w:val="2"/>
              <w:sz w:val="24"/>
              <w:szCs w:val="24"/>
              <w:lang w:val="de-AT" w:eastAsia="de-AT"/>
              <w14:ligatures w14:val="standardContextual"/>
            </w:rPr>
          </w:pPr>
          <w:hyperlink w:anchor="_Toc226452031" w:history="1">
            <w:r>
              <w:rPr>
                <w:rStyle w:val="Hyperlink"/>
                <w:noProof/>
                <w:lang w:val="de-AT" w:eastAsia="de-AT"/>
              </w:rPr>
              <w:t>Anhang C: Abgrenzung zu bestehenden Standards</w:t>
            </w:r>
            <w:r>
              <w:rPr>
                <w:noProof/>
                <w:webHidden/>
              </w:rPr>
              <w:tab/>
              <w:fldChar w:fldCharType="begin"/>
              <w:instrText xml:space="preserve"> PAGEREF _Toc226452031 \h </w:instrText>
              <w:fldChar w:fldCharType="separate"/>
              <w:t>61</w:t>
              <w:fldChar w:fldCharType="end"/>
            </w:r>
          </w:hyperlink>
        </w:p>
        <w:p w14:paraId="048833CE" w14:textId="4657CD5A" w:rsidR="003B732C" w:rsidRDefault="003B732C">
          <w:pPr>
            <w:pStyle w:val="Verzeichnis2"/>
            <w:tabs>
              <w:tab w:val="right" w:leader="dot" w:pos="9062"/>
            </w:tabs>
            <w:rPr>
              <w:noProof/>
              <w:kern w:val="2"/>
              <w:sz w:val="24"/>
              <w:szCs w:val="24"/>
              <w:lang w:val="de-AT" w:eastAsia="de-AT"/>
              <w14:ligatures w14:val="standardContextual"/>
            </w:rPr>
          </w:pPr>
          <w:hyperlink w:anchor="_Toc226452032" w:history="1">
            <w:r>
              <w:rPr>
                <w:rStyle w:val="Hyperlink"/>
                <w:noProof/>
                <w:lang w:val="de-AT" w:eastAsia="de-AT"/>
              </w:rPr>
              <w:t>Anhang D: Grenzen des Ansatzes</w:t>
            </w:r>
            <w:r>
              <w:rPr>
                <w:noProof/>
                <w:webHidden/>
              </w:rPr>
              <w:tab/>
              <w:fldChar w:fldCharType="begin"/>
              <w:instrText xml:space="preserve"> PAGEREF _Toc226452032 \h </w:instrText>
              <w:fldChar w:fldCharType="separate"/>
              <w:t>62</w:t>
              <w:fldChar w:fldCharType="end"/>
            </w:r>
          </w:hyperlink>
        </w:p>
        <w:p w14:paraId="783828BE" w14:textId="5A7526D3" w:rsidR="003B732C" w:rsidRDefault="003B732C">
          <w:pPr>
            <w:pStyle w:val="Verzeichnis2"/>
            <w:tabs>
              <w:tab w:val="right" w:leader="dot" w:pos="9062"/>
            </w:tabs>
            <w:rPr>
              <w:noProof/>
              <w:kern w:val="2"/>
              <w:sz w:val="24"/>
              <w:szCs w:val="24"/>
              <w:lang w:val="de-AT" w:eastAsia="de-AT"/>
              <w14:ligatures w14:val="standardContextual"/>
            </w:rPr>
          </w:pPr>
          <w:hyperlink w:anchor="_Toc226452033" w:history="1">
            <w:r>
              <w:rPr>
                <w:rStyle w:val="Hyperlink"/>
                <w:noProof/>
                <w:lang w:val="de-AT" w:eastAsia="de-AT"/>
              </w:rPr>
              <w:t>Anhang E: Kanonische Problem-Szenarien (CG-STD-0001)</w:t>
            </w:r>
            <w:r>
              <w:rPr>
                <w:noProof/>
                <w:webHidden/>
              </w:rPr>
              <w:tab/>
              <w:fldChar w:fldCharType="begin"/>
              <w:instrText xml:space="preserve"> PAGEREF _Toc226452033 \h </w:instrText>
              <w:fldChar w:fldCharType="separate"/>
              <w:t>62</w:t>
              <w:fldChar w:fldCharType="end"/>
            </w:r>
          </w:hyperlink>
        </w:p>
        <w:p w14:paraId="260D6996" w14:textId="1D800918" w:rsidR="000944C9" w:rsidRDefault="000944C9">
          <w:r>
            <w:rPr>
              <w:b/>
              <w:bCs/>
              <w:lang w:val="de-DE"/>
            </w:rPr>
            <w:fldChar w:fldCharType="end"/>
          </w:r>
        </w:p>
      </w:sdtContent>
    </w:sdt>
    <w:p w14:paraId="7A72CAE3" w14:textId="77777777" w:rsidR="00416821" w:rsidRDefault="00416821">
      <w:pPr>
        <w:pStyle w:val="berschrift1"/>
        <w:rPr>
          <w:lang w:val="de-AT"/>
        </w:rPr>
        <w:sectPr w:rsidR="00416821" w:rsidSect="00034616">
          <w:footerReference w:type="default" r:id="rId8"/>
          <w:pgSz w:w="11906" w:h="16838"/>
          <w:pgMar w:top="1417" w:right="1417" w:bottom="1417" w:left="1417" w:header="720" w:footer="720" w:gutter="0"/>
          <w:cols w:space="720"/>
          <w:docGrid w:linePitch="360"/>
        </w:sectPr>
      </w:pPr>
      <w:bookmarkStart w:id="1" w:name="X47eb8c39d87005603165bf23596ad36f16f4729"/>
      <w:bookmarkEnd w:id="0"/>
    </w:p>
    <w:p w14:paraId="63EE5D71" w14:textId="6A8C0949" w:rsidR="00D1028B" w:rsidRPr="002D037B" w:rsidRDefault="00892948">
      <w:pPr>
        <w:pStyle w:val="berschrift1"/>
        <w:rPr>
          <w:lang w:val="de-AT"/>
        </w:rPr>
      </w:pPr>
      <w:bookmarkStart w:id="2" w:name="_Toc226451878"/>
      <w:r>
        <w:rPr>
          <w:lang w:val="de-AT"/>
        </w:rPr>
        <w:lastRenderedPageBreak/>
        <w:t>Teil I: Datenkomprimierung, Datenbanken und Systemarchitektur</w:t>
      </w:r>
      <w:bookmarkEnd w:id="2"/>
    </w:p>
    <w:p w14:paraId="63EE5D72" w14:textId="77777777" w:rsidR="00D1028B" w:rsidRPr="002D037B" w:rsidRDefault="00892948">
      <w:pPr>
        <w:pStyle w:val="berschrift2"/>
        <w:rPr>
          <w:lang w:val="de-AT"/>
        </w:rPr>
      </w:pPr>
      <w:bookmarkStart w:id="3" w:name="technisch-akademische-analyse"/>
      <w:bookmarkStart w:id="4" w:name="_Toc226451879"/>
      <w:r>
        <w:rPr>
          <w:lang w:val="de-AT"/>
        </w:rPr>
        <w:t>1 Technisch-akademische Analyse</w:t>
      </w:r>
      <w:bookmarkEnd w:id="4"/>
    </w:p>
    <w:p w14:paraId="63EE5D73" w14:textId="77777777" w:rsidR="00D1028B" w:rsidRPr="002D037B" w:rsidRDefault="00892948">
      <w:pPr>
        <w:pStyle w:val="berschrift3"/>
        <w:rPr>
          <w:lang w:val="de-AT"/>
        </w:rPr>
      </w:pPr>
      <w:bookmarkStart w:id="5" w:name="datenkomprimierung"/>
      <w:bookmarkStart w:id="6" w:name="_Toc226451880"/>
      <w:r>
        <w:rPr>
          <w:lang w:val="de-AT"/>
        </w:rPr>
        <w:t>1.1 Datenkomprimierung</w:t>
      </w:r>
      <w:bookmarkEnd w:id="6"/>
    </w:p>
    <w:p w14:paraId="63EE5D74" w14:textId="77777777" w:rsidR="00D1028B" w:rsidRPr="002D037B" w:rsidRDefault="00892948">
      <w:pPr>
        <w:rPr>
          <w:lang w:val="de-AT"/>
        </w:rPr>
      </w:pPr>
      <w:r>
        <w:rPr>
          <w:lang w:val="de-AT"/>
        </w:rPr>
        <w:t>Moderne Kompressionsalgorithmen (LZ4, Zstandard, Brotli, Snappy) erzielen ihre höchsten Raten bei hochgradig redundanten oder musterhaften Byte-Sequenzen. Zeitstempel-Felder in großen Datensätzen stellen heute eine untergenutzte Kompressionsreserve dar, da sie in dutzenden inkompatiblen Formaten auftreten (ISO 8601, Unix Epoch, RFC 2822, NTP-Timestamps, TAI-Sekunden usw.).</w:t>
      </w:r>
    </w:p>
    <w:p w14:paraId="63EE5D75" w14:textId="77777777" w:rsidR="00D1028B" w:rsidRDefault="00892948">
      <w:pPr>
        <w:pStyle w:val="Textkrper"/>
        <w:pBdr>
          <w:left w:val="single" w:sz="20" w:space="8" w:color="17A589"/>
        </w:pBdr>
        <w:shd w:val="clear" w:color="auto" w:fill="EAF7F4"/>
        <w:spacing w:before="40" w:after="40"/>
        <w:ind w:left="240"/>
      </w:pPr>
      <w:r>
        <w:rPr>
          <w:i/>
          <w:iCs/>
          <w:color w:val="0D4035"/>
          <w:sz w:val="20"/>
          <w:szCs w:val="20"/>
          <w:lang w:val="de-AT"/>
        </w:rPr>
        <w:t xml:space="preserve">ChronoGrid definiert ein einheitliches Binär-Encoding für Zeitpunkte. </w:t>
      </w:r>
      <w:r>
        <w:rPr>
          <w:i/>
          <w:iCs/>
          <w:color w:val="0D4035"/>
          <w:sz w:val="20"/>
          <w:szCs w:val="20"/>
        </w:rPr>
        <w:t>Daraus ergeben sich direkte algorithmische Vorteile:</w:t>
      </w:r>
    </w:p>
    <w:p w14:paraId="63EE5D76" w14:textId="77777777" w:rsidR="00D1028B" w:rsidRPr="002D037B" w:rsidRDefault="00892948">
      <w:pPr>
        <w:numPr>
          <w:ilvl w:val="0"/>
          <w:numId w:val="11"/>
        </w:numPr>
        <w:pBdr>
          <w:left w:val="single" w:sz="20" w:space="8" w:color="17A589"/>
        </w:pBdr>
        <w:shd w:val="clear" w:color="auto" w:fill="EAF7F4"/>
        <w:spacing w:before="40" w:after="40"/>
        <w:ind w:left="240"/>
        <w:rPr>
          <w:lang w:val="de-AT"/>
        </w:rPr>
      </w:pPr>
      <w:r>
        <w:rPr>
          <w:i/>
          <w:iCs/>
          <w:color w:val="0D4035"/>
          <w:sz w:val="20"/>
          <w:szCs w:val="20"/>
          <w:lang w:val="de-AT"/>
        </w:rPr>
        <w:t>Erhöhte Entropie-Reduktion: Einheitliche Zeitcodierungen erzeugen vorhersehbarere Bytemuster → potenziell bessere Huffman- und Arithmetic-Coding-Effizienz.</w:t>
      </w:r>
    </w:p>
    <w:p w14:paraId="63EE5D77" w14:textId="77777777" w:rsidR="00D1028B" w:rsidRPr="002D037B" w:rsidRDefault="00892948">
      <w:pPr>
        <w:numPr>
          <w:ilvl w:val="0"/>
          <w:numId w:val="11"/>
        </w:numPr>
        <w:pBdr>
          <w:left w:val="single" w:sz="20" w:space="8" w:color="17A589"/>
        </w:pBdr>
        <w:shd w:val="clear" w:color="auto" w:fill="EAF7F4"/>
        <w:spacing w:before="40" w:after="40"/>
        <w:ind w:left="240"/>
        <w:rPr>
          <w:lang w:val="de-AT"/>
        </w:rPr>
      </w:pPr>
      <w:r>
        <w:rPr>
          <w:i/>
          <w:iCs/>
          <w:color w:val="0D4035"/>
          <w:sz w:val="20"/>
          <w:szCs w:val="20"/>
          <w:lang w:val="de-AT"/>
        </w:rPr>
        <w:t>Delta-Kodierung: Zeitreihen mit normiertem Ursprung (ChronoGrid Epoch) sind optimal für Delta-Komprimierung (wie in Apache Parquet / Apache Arrow bereits implementiert, aber ohne universellen Interoperabilitätsstandard).</w:t>
      </w:r>
    </w:p>
    <w:p w14:paraId="63EE5D78" w14:textId="77777777" w:rsidR="00D1028B" w:rsidRPr="002D037B" w:rsidRDefault="00892948">
      <w:pPr>
        <w:numPr>
          <w:ilvl w:val="0"/>
          <w:numId w:val="11"/>
        </w:numPr>
        <w:pBdr>
          <w:left w:val="single" w:sz="20" w:space="8" w:color="17A589"/>
        </w:pBdr>
        <w:shd w:val="clear" w:color="auto" w:fill="EAF7F4"/>
        <w:spacing w:before="40" w:after="40"/>
        <w:ind w:left="240"/>
        <w:rPr>
          <w:lang w:val="de-AT"/>
        </w:rPr>
      </w:pPr>
      <w:r>
        <w:rPr>
          <w:i/>
          <w:iCs/>
          <w:color w:val="0D4035"/>
          <w:sz w:val="20"/>
          <w:szCs w:val="20"/>
          <w:lang w:val="de-AT"/>
        </w:rPr>
        <w:t>Weniger Parsing-Overhead: Heutige ETL-Pipelines konvertieren Zeitformate mehrfach. Ein universeller Standard eliminiert diesen Konvertierungs-Overhead und reduziert die komprimierte Metadatengröße.</w:t>
      </w:r>
    </w:p>
    <w:p w14:paraId="63EE5D79" w14:textId="77777777" w:rsidR="00D1028B" w:rsidRPr="002D037B" w:rsidRDefault="00892948">
      <w:pPr>
        <w:numPr>
          <w:ilvl w:val="0"/>
          <w:numId w:val="11"/>
        </w:numPr>
        <w:pBdr>
          <w:left w:val="single" w:sz="20" w:space="8" w:color="17A589"/>
        </w:pBdr>
        <w:shd w:val="clear" w:color="auto" w:fill="EAF7F4"/>
        <w:spacing w:before="40" w:after="40"/>
        <w:ind w:left="240"/>
        <w:rPr>
          <w:lang w:val="de-AT"/>
        </w:rPr>
      </w:pPr>
      <w:r>
        <w:rPr>
          <w:i/>
          <w:iCs/>
          <w:color w:val="0D4035"/>
          <w:sz w:val="20"/>
          <w:szCs w:val="20"/>
          <w:lang w:val="de-AT"/>
        </w:rPr>
        <w:t>KI-Trainingsdaten: Zeitbasierte Deduplizierung und Sortierung großer Corpora (Common Crawl etc.) profitiert direkt von normalisierten Zeitstempeln. Quantisierungsverfahren wie TurboQuant (Google) betreffen Gewichtsmatrizen, jedoch verbessert ChronoGrid die vorgelagerte Datenpipeline.</w:t>
      </w:r>
    </w:p>
    <w:p w14:paraId="63EE5D7A" w14:textId="77777777" w:rsidR="00D1028B" w:rsidRPr="002D037B" w:rsidRDefault="00892948">
      <w:pPr>
        <w:pStyle w:val="berschrift3"/>
        <w:rPr>
          <w:lang w:val="de-AT"/>
        </w:rPr>
      </w:pPr>
      <w:bookmarkStart w:id="7" w:name="X1597b4dedf11564cfb0636c797bfb6bf4cb3c9b"/>
      <w:bookmarkStart w:id="8" w:name="_Toc226451881"/>
      <w:bookmarkEnd w:id="5"/>
      <w:r>
        <w:rPr>
          <w:lang w:val="de-AT"/>
        </w:rPr>
        <w:t>1.2 Datenbankindexierung und Abfrageoptimierung</w:t>
      </w:r>
      <w:bookmarkEnd w:id="8"/>
    </w:p>
    <w:p w14:paraId="63EE5D7B" w14:textId="77777777" w:rsidR="00D1028B" w:rsidRDefault="00892948">
      <w:r>
        <w:rPr>
          <w:lang w:val="de-AT"/>
        </w:rPr>
        <w:t xml:space="preserve">Zeitfelder sind die häufigsten Partitionierungs- und Sortierungsschlüssel in relationalen und spaltenbasierten Datenbanken (PostgreSQL, ClickHouse, BigQuery, DuckDB). </w:t>
      </w:r>
      <w:r>
        <w:t>Aktuelle Probleme:</w:t>
      </w:r>
    </w:p>
    <w:p w14:paraId="63EE5D7C" w14:textId="77777777" w:rsidR="00D1028B" w:rsidRPr="002D037B" w:rsidRDefault="00892948">
      <w:pPr>
        <w:numPr>
          <w:ilvl w:val="0"/>
          <w:numId w:val="12"/>
        </w:numPr>
        <w:rPr>
          <w:lang w:val="de-AT"/>
        </w:rPr>
      </w:pPr>
      <w:r>
        <w:rPr>
          <w:lang w:val="de-AT"/>
        </w:rPr>
        <w:t>Timezone-Ambiguitäten erzwingen implizite Konvertierungen bei Indexzugriffen.</w:t>
      </w:r>
    </w:p>
    <w:p w14:paraId="63EE5D7D" w14:textId="77777777" w:rsidR="00D1028B" w:rsidRPr="002D037B" w:rsidRDefault="00892948">
      <w:pPr>
        <w:numPr>
          <w:ilvl w:val="0"/>
          <w:numId w:val="12"/>
        </w:numPr>
        <w:rPr>
          <w:lang w:val="de-AT"/>
        </w:rPr>
      </w:pPr>
      <w:r>
        <w:rPr>
          <w:lang w:val="de-AT"/>
        </w:rPr>
        <w:t>Unterschiedliche Zeitzonendefinitionen (DST-Übergänge) invalidieren B-Tree-Abfragen inkonsistente Ergebnisse liefern (die Indizes bleiben strukturell korrekt; das Problem liegt in der Interpretation zonenloser Zeitstempel).</w:t>
      </w:r>
    </w:p>
    <w:p w14:paraId="63EE5D7E" w14:textId="77777777" w:rsidR="00D1028B" w:rsidRPr="002D037B" w:rsidRDefault="00892948">
      <w:pPr>
        <w:numPr>
          <w:ilvl w:val="0"/>
          <w:numId w:val="12"/>
        </w:numPr>
        <w:rPr>
          <w:lang w:val="de-AT"/>
        </w:rPr>
      </w:pPr>
      <w:r>
        <w:rPr>
          <w:lang w:val="de-AT"/>
        </w:rPr>
        <w:t>Schaltsekunden werden inkonsistent behandelt (POSIX ignoriert sie, TAI nicht).</w:t>
      </w:r>
    </w:p>
    <w:p w14:paraId="63EE5D7F" w14:textId="77777777" w:rsidR="00D1028B" w:rsidRPr="002D037B"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 als normierter Zeitraum-Typ eliminiert diese Mehrdeutigkeiten auf Schemaebene. Datenbankengines könnten einen nativen ChronoGrid-Datentyp implementieren, analog zu PostgreSQL’s TIMESTAMPTZ, jedoch mit deterministischer Semantik.</w:t>
      </w:r>
    </w:p>
    <w:p w14:paraId="63EE5D80" w14:textId="77777777" w:rsidR="00D1028B" w:rsidRPr="002D037B" w:rsidRDefault="00892948">
      <w:pPr>
        <w:pStyle w:val="berschrift3"/>
        <w:rPr>
          <w:lang w:val="de-AT"/>
        </w:rPr>
      </w:pPr>
      <w:bookmarkStart w:id="9" w:name="verteilte-systeme-und-kausalität"/>
      <w:bookmarkStart w:id="10" w:name="_Toc226451882"/>
      <w:bookmarkEnd w:id="7"/>
      <w:r>
        <w:rPr>
          <w:lang w:val="de-AT"/>
        </w:rPr>
        <w:t>1.3 Verteilte Systeme und Kausalität</w:t>
      </w:r>
      <w:bookmarkEnd w:id="10"/>
    </w:p>
    <w:p w14:paraId="63EE5D81" w14:textId="77777777" w:rsidR="00D1028B" w:rsidRPr="002D037B" w:rsidRDefault="00892948">
      <w:pPr>
        <w:rPr>
          <w:lang w:val="de-AT"/>
        </w:rPr>
      </w:pPr>
      <w:r>
        <w:rPr>
          <w:lang w:val="de-AT"/>
        </w:rPr>
        <w:t>In verteilten Systemen (Microservices, Blockchain-Netzwerke, Edge Computing) sind Lamport-Uhren und Vektor-Uhren gängige Mechanismen zur Kausalitätsbestimmung. Sie lösen das Problem jedoch nur intern und bieten keine interoperable Zeitreferenz gegenüber externen Systemen.</w:t>
      </w:r>
    </w:p>
    <w:p w14:paraId="63EE5D82" w14:textId="77777777" w:rsidR="00D1028B" w:rsidRPr="002D037B" w:rsidRDefault="00892948">
      <w:pPr>
        <w:numPr>
          <w:ilvl w:val="0"/>
          <w:numId w:val="13"/>
        </w:numPr>
        <w:pBdr>
          <w:left w:val="single" w:sz="20" w:space="8" w:color="17A589"/>
        </w:pBdr>
        <w:shd w:val="clear" w:color="auto" w:fill="EAF7F4"/>
        <w:spacing w:before="40" w:after="40"/>
        <w:ind w:left="240"/>
        <w:rPr>
          <w:lang w:val="de-AT"/>
        </w:rPr>
      </w:pPr>
      <w:r>
        <w:rPr>
          <w:i/>
          <w:iCs/>
          <w:color w:val="0D4035"/>
          <w:sz w:val="20"/>
          <w:szCs w:val="20"/>
          <w:lang w:val="de-AT"/>
        </w:rPr>
        <w:t>ChronoGrid als externe Referenzbasis: Ereignisse können gegen einen gemeinsamen, standardisierten Zeitrahmen referenziert werden, ohne auf systeminternen Taktabgleich angewiesen zu sein.</w:t>
      </w:r>
    </w:p>
    <w:p w14:paraId="63EE5D83" w14:textId="77777777" w:rsidR="00D1028B" w:rsidRPr="002D037B" w:rsidRDefault="00892948">
      <w:pPr>
        <w:numPr>
          <w:ilvl w:val="0"/>
          <w:numId w:val="13"/>
        </w:numPr>
        <w:pBdr>
          <w:left w:val="single" w:sz="20" w:space="8" w:color="17A589"/>
        </w:pBdr>
        <w:shd w:val="clear" w:color="auto" w:fill="EAF7F4"/>
        <w:spacing w:before="40" w:after="40"/>
        <w:ind w:left="240"/>
        <w:rPr>
          <w:lang w:val="de-AT"/>
        </w:rPr>
      </w:pPr>
      <w:r>
        <w:rPr>
          <w:i/>
          <w:iCs/>
          <w:color w:val="0D4035"/>
          <w:sz w:val="20"/>
          <w:szCs w:val="20"/>
          <w:lang w:val="de-AT"/>
        </w:rPr>
        <w:lastRenderedPageBreak/>
        <w:t>Konsistenz in Geo-verteilten Systemen: Google Spanner nutzt TrueTime für globale Transaktionskonsistenz. ChronoGrid könnte als offener Standard eine ähnliche Referenz für nicht-proprietäre Systeme bieten.</w:t>
      </w:r>
    </w:p>
    <w:p w14:paraId="63EE5D84" w14:textId="77777777" w:rsidR="00D1028B" w:rsidRPr="002D037B" w:rsidRDefault="00892948">
      <w:pPr>
        <w:numPr>
          <w:ilvl w:val="0"/>
          <w:numId w:val="13"/>
        </w:numPr>
        <w:pBdr>
          <w:left w:val="single" w:sz="20" w:space="8" w:color="17A589"/>
        </w:pBdr>
        <w:shd w:val="clear" w:color="auto" w:fill="EAF7F4"/>
        <w:spacing w:before="40" w:after="40"/>
        <w:ind w:left="240"/>
        <w:rPr>
          <w:lang w:val="de-AT"/>
        </w:rPr>
      </w:pPr>
      <w:r>
        <w:rPr>
          <w:i/>
          <w:iCs/>
          <w:color w:val="0D4035"/>
          <w:sz w:val="20"/>
          <w:szCs w:val="20"/>
          <w:lang w:val="de-AT"/>
        </w:rPr>
        <w:t>Edge IoT: Ressourcenbeschränkte Geräte benötigen kompakte, effiziente Zeitdarstellungen. Ein normierter ChronoGrid-Token könnte kleiner als ein ISO-8601-String sein und dennoch volle Interoperabilität garantieren.</w:t>
      </w:r>
    </w:p>
    <w:p w14:paraId="63EE5D85" w14:textId="77777777" w:rsidR="00D1028B" w:rsidRPr="002D037B" w:rsidRDefault="00892948">
      <w:pPr>
        <w:pStyle w:val="berschrift3"/>
        <w:rPr>
          <w:lang w:val="de-AT"/>
        </w:rPr>
      </w:pPr>
      <w:bookmarkStart w:id="11" w:name="cybersecurity-und-log-forensik"/>
      <w:bookmarkStart w:id="12" w:name="_Toc226451883"/>
      <w:bookmarkEnd w:id="9"/>
      <w:r>
        <w:rPr>
          <w:lang w:val="de-AT"/>
        </w:rPr>
        <w:t>1.4 Cybersecurity und Log-Forensik</w:t>
      </w:r>
      <w:bookmarkEnd w:id="12"/>
    </w:p>
    <w:p w14:paraId="63EE5D86" w14:textId="77777777" w:rsidR="00D1028B" w:rsidRPr="002D037B" w:rsidRDefault="00892948">
      <w:pPr>
        <w:rPr>
          <w:lang w:val="de-AT"/>
        </w:rPr>
      </w:pPr>
      <w:r>
        <w:rPr>
          <w:lang w:val="de-AT"/>
        </w:rPr>
        <w:t>SIEM-Systeme (Security Information and Event Management) korrelieren Logs aus hunderten Quellen. Die häufigste Fehlerquelle bei Incident-Response ist Zeitzoneninkonsistenz zwischen Log-Quellen.</w:t>
      </w:r>
    </w:p>
    <w:p w14:paraId="63EE5D87" w14:textId="77777777" w:rsidR="00D1028B" w:rsidRPr="002D037B" w:rsidRDefault="00892948">
      <w:pPr>
        <w:numPr>
          <w:ilvl w:val="0"/>
          <w:numId w:val="14"/>
        </w:numPr>
        <w:rPr>
          <w:lang w:val="de-AT"/>
        </w:rPr>
      </w:pPr>
      <w:r>
        <w:rPr>
          <w:lang w:val="de-AT"/>
        </w:rPr>
        <w:t>Normierte Zeitstempel als Sicherheitsanforderung: Angriffserkennung durch Zeitreihenanalyse (z. B. Brute-Force-Detection) versagt bei inkonsistenten Zeitbasen.</w:t>
      </w:r>
    </w:p>
    <w:p w14:paraId="63EE5D88" w14:textId="77777777" w:rsidR="00D1028B" w:rsidRDefault="00892948">
      <w:pPr>
        <w:numPr>
          <w:ilvl w:val="0"/>
          <w:numId w:val="14"/>
        </w:numPr>
      </w:pPr>
      <w:r>
        <w:rPr>
          <w:lang w:val="de-AT"/>
        </w:rPr>
        <w:t xml:space="preserve">Forensische Beweissicherheit: Digitale Beweise müssen zeitlich rekonstruierbar sein. </w:t>
      </w:r>
      <w:r>
        <w:t>ChronoGrid-Zeitstempel wären gerichtsfest und interoperabel.</w:t>
      </w:r>
    </w:p>
    <w:p w14:paraId="63EE5D89" w14:textId="77777777" w:rsidR="00D1028B" w:rsidRPr="002D037B" w:rsidRDefault="00892948">
      <w:pPr>
        <w:numPr>
          <w:ilvl w:val="0"/>
          <w:numId w:val="14"/>
        </w:numPr>
        <w:rPr>
          <w:lang w:val="de-AT"/>
        </w:rPr>
      </w:pPr>
      <w:r>
        <w:rPr>
          <w:lang w:val="de-AT"/>
        </w:rPr>
        <w:t>Audit-Trails in verteilten Systemen: Compliance-Anforderungen (NIS2, DSGVO) verlangen lückenlose, zeitlich geordnete Protokolle.</w:t>
      </w:r>
    </w:p>
    <w:p w14:paraId="63EE5D8A" w14:textId="77777777" w:rsidR="00D1028B" w:rsidRPr="002D037B" w:rsidRDefault="00892948">
      <w:pPr>
        <w:numPr>
          <w:ilvl w:val="0"/>
          <w:numId w:val="14"/>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Log-Forensik → </w:t>
      </w:r>
      <w:r>
        <w:rPr>
          <w:b/>
          <w:bCs/>
          <w:i/>
          <w:iCs/>
          <w:color w:val="0D4035"/>
          <w:sz w:val="20"/>
          <w:szCs w:val="20"/>
          <w:lang w:val="de-AT"/>
        </w:rPr>
        <w:t>Anhang B.5</w:t>
      </w:r>
    </w:p>
    <w:p w14:paraId="63EE5D8B" w14:textId="77777777" w:rsidR="00D1028B" w:rsidRDefault="00892948">
      <w:pPr>
        <w:numPr>
          <w:ilvl w:val="0"/>
          <w:numId w:val="14"/>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5D8C" w14:textId="77777777" w:rsidR="00D1028B" w:rsidRDefault="00892948">
      <w:pPr>
        <w:pStyle w:val="berschrift3"/>
      </w:pPr>
      <w:bookmarkStart w:id="13" w:name="wissenschaftliche-reproduzierbarkeit"/>
      <w:bookmarkStart w:id="14" w:name="_Toc226451884"/>
      <w:bookmarkEnd w:id="11"/>
      <w:r>
        <w:t>1.5 Wissenschaftliche Reproduzierbarkeit</w:t>
      </w:r>
      <w:bookmarkEnd w:id="14"/>
    </w:p>
    <w:p w14:paraId="63EE5D8D" w14:textId="77777777" w:rsidR="00D1028B" w:rsidRPr="002D037B" w:rsidRDefault="00892948">
      <w:pPr>
        <w:rPr>
          <w:lang w:val="de-AT"/>
        </w:rPr>
      </w:pPr>
      <w:r>
        <w:rPr>
          <w:lang w:val="de-AT"/>
        </w:rPr>
        <w:t>Reproduzierbarkeit wissenschaftlicher Experimente hängt von vollständiger Kontextbeschreibung ab. Zeitstempel in Publikationen und Datensätzen sind häufig ambig (Zeitzone unbekannt, Kalender unklar, Schaltsekunden-Behandlung undefiniert).</w:t>
      </w:r>
    </w:p>
    <w:p w14:paraId="63EE5D8E" w14:textId="77777777" w:rsidR="00D1028B" w:rsidRPr="002D037B" w:rsidRDefault="00892948">
      <w:pPr>
        <w:numPr>
          <w:ilvl w:val="0"/>
          <w:numId w:val="15"/>
        </w:numPr>
        <w:pBdr>
          <w:left w:val="single" w:sz="20" w:space="8" w:color="17A589"/>
        </w:pBdr>
        <w:shd w:val="clear" w:color="auto" w:fill="EAF7F4"/>
        <w:spacing w:before="40" w:after="40"/>
        <w:ind w:left="240"/>
        <w:rPr>
          <w:lang w:val="de-AT"/>
        </w:rPr>
      </w:pPr>
      <w:r>
        <w:rPr>
          <w:i/>
          <w:iCs/>
          <w:color w:val="0D4035"/>
          <w:sz w:val="20"/>
          <w:szCs w:val="20"/>
          <w:lang w:val="de-AT"/>
        </w:rPr>
        <w:t>ChronoGrid als Zitier-Standard: DOIs für Zeitpunkte — jeder Messzeitpunkt wäre eindeutig referenzierbar.</w:t>
      </w:r>
    </w:p>
    <w:p w14:paraId="63EE5D8F" w14:textId="77777777" w:rsidR="00D1028B" w:rsidRPr="002D037B" w:rsidRDefault="00892948">
      <w:pPr>
        <w:numPr>
          <w:ilvl w:val="0"/>
          <w:numId w:val="15"/>
        </w:numPr>
        <w:pBdr>
          <w:left w:val="single" w:sz="20" w:space="8" w:color="17A589"/>
        </w:pBdr>
        <w:shd w:val="clear" w:color="auto" w:fill="EAF7F4"/>
        <w:spacing w:before="40" w:after="40"/>
        <w:ind w:left="240"/>
        <w:rPr>
          <w:lang w:val="de-AT"/>
        </w:rPr>
      </w:pPr>
      <w:r>
        <w:rPr>
          <w:i/>
          <w:iCs/>
          <w:color w:val="0D4035"/>
          <w:sz w:val="20"/>
          <w:szCs w:val="20"/>
          <w:lang w:val="de-AT"/>
        </w:rPr>
        <w:t>Anwendung in der Weltraumforschung (Austrian Space Forum, OeWF): Missionszeiten, Telemetriedaten und Simulation-Runs erfordern exakte, interoperable Zeitcodierungen.</w:t>
      </w:r>
    </w:p>
    <w:p w14:paraId="63EE5D90" w14:textId="77777777" w:rsidR="00D1028B" w:rsidRPr="002D037B" w:rsidRDefault="00892948">
      <w:pPr>
        <w:pStyle w:val="berschrift3"/>
        <w:rPr>
          <w:lang w:val="de-AT"/>
        </w:rPr>
      </w:pPr>
      <w:bookmarkStart w:id="15" w:name="smart-contracts-und-blockchain"/>
      <w:bookmarkStart w:id="16" w:name="_Toc226451885"/>
      <w:bookmarkEnd w:id="13"/>
      <w:r>
        <w:rPr>
          <w:lang w:val="de-AT"/>
        </w:rPr>
        <w:t>1.6 Smart Contracts und Blockchain</w:t>
      </w:r>
      <w:bookmarkEnd w:id="16"/>
    </w:p>
    <w:p w14:paraId="63EE5D91" w14:textId="77777777" w:rsidR="00D1028B" w:rsidRPr="002D037B" w:rsidRDefault="00892948">
      <w:pPr>
        <w:rPr>
          <w:lang w:val="de-AT"/>
        </w:rPr>
      </w:pPr>
      <w:r>
        <w:rPr>
          <w:lang w:val="de-AT"/>
        </w:rPr>
        <w:t>Zeitstempel in Blockchain-Blöcken (Block Timestamps) sind manipulierbar innerhalb gewisser Toleranzen und basieren auf node-internen Systemuhren ohne universellen Referenzrahmen.</w:t>
      </w:r>
    </w:p>
    <w:p w14:paraId="63EE5D92" w14:textId="77777777" w:rsidR="00D1028B" w:rsidRPr="002D037B" w:rsidRDefault="00892948">
      <w:pPr>
        <w:numPr>
          <w:ilvl w:val="0"/>
          <w:numId w:val="16"/>
        </w:numPr>
        <w:pBdr>
          <w:left w:val="single" w:sz="20" w:space="8" w:color="17A589"/>
        </w:pBdr>
        <w:shd w:val="clear" w:color="auto" w:fill="EAF7F4"/>
        <w:spacing w:before="40" w:after="40"/>
        <w:ind w:left="240"/>
        <w:rPr>
          <w:lang w:val="de-AT"/>
        </w:rPr>
      </w:pPr>
      <w:r>
        <w:rPr>
          <w:i/>
          <w:iCs/>
          <w:color w:val="0D4035"/>
          <w:sz w:val="20"/>
          <w:szCs w:val="20"/>
          <w:lang w:val="de-AT"/>
        </w:rPr>
        <w:t>ChronoGrid als externer Zeitreferenz-Standard: Smart Contracts könnten auf einen verifizierten ChronoGrid-Zeitstempel referenzieren statt auf manipulierbare Miner-Timestamps.</w:t>
      </w:r>
    </w:p>
    <w:p w14:paraId="63EE5D93" w14:textId="77777777" w:rsidR="00D1028B" w:rsidRPr="002D037B" w:rsidRDefault="00892948">
      <w:pPr>
        <w:numPr>
          <w:ilvl w:val="0"/>
          <w:numId w:val="16"/>
        </w:numPr>
        <w:pBdr>
          <w:left w:val="single" w:sz="20" w:space="8" w:color="17A589"/>
        </w:pBdr>
        <w:shd w:val="clear" w:color="auto" w:fill="EAF7F4"/>
        <w:spacing w:before="40" w:after="40"/>
        <w:ind w:left="240"/>
        <w:rPr>
          <w:lang w:val="de-AT"/>
        </w:rPr>
      </w:pPr>
      <w:r>
        <w:rPr>
          <w:i/>
          <w:iCs/>
          <w:color w:val="0D4035"/>
          <w:sz w:val="20"/>
          <w:szCs w:val="20"/>
          <w:lang w:val="de-AT"/>
        </w:rPr>
        <w:t>Zeitbasierte Verträge (Time-Locks, Vesting Schedules) wären mit deterministischer Zeitreferenz robuster. Hinweis: ChronoGrid adressiert das Zeitformat-Problem; das Konsensproblem und das Trust-Modell der Blockchain bleiben eigenständige Fragestellungen (kryptografisches Anchoring: → Anhang B.3).</w:t>
      </w:r>
    </w:p>
    <w:p w14:paraId="63EE5D94" w14:textId="77777777" w:rsidR="00D1028B" w:rsidRPr="002D037B" w:rsidRDefault="00892948">
      <w:pPr>
        <w:pStyle w:val="berschrift1"/>
        <w:rPr>
          <w:lang w:val="de-AT"/>
        </w:rPr>
      </w:pPr>
      <w:bookmarkStart w:id="17" w:name="Xcdbaa15bb902c87f78a9db921d69cf2ca141b35"/>
      <w:bookmarkStart w:id="18" w:name="_Toc226451886"/>
      <w:bookmarkEnd w:id="1"/>
      <w:bookmarkEnd w:id="3"/>
      <w:bookmarkEnd w:id="15"/>
      <w:r>
        <w:rPr>
          <w:lang w:val="de-AT"/>
        </w:rPr>
        <w:lastRenderedPageBreak/>
        <w:t>Teil II: Softwareentwicklung, Programmiersprachen und Kalender-Interoperabilität</w:t>
      </w:r>
      <w:bookmarkEnd w:id="18"/>
    </w:p>
    <w:p w14:paraId="63EE5D95" w14:textId="77777777" w:rsidR="00D1028B" w:rsidRPr="002D037B" w:rsidRDefault="00892948">
      <w:pPr>
        <w:pStyle w:val="berschrift2"/>
        <w:rPr>
          <w:lang w:val="de-AT"/>
        </w:rPr>
      </w:pPr>
      <w:bookmarkStart w:id="19" w:name="das-zeitproblem-in-programmiersprachen"/>
      <w:bookmarkStart w:id="20" w:name="_Toc226451887"/>
      <w:r>
        <w:rPr>
          <w:lang w:val="de-AT"/>
        </w:rPr>
        <w:t>2 Das Zeitproblem in Programmiersprachen</w:t>
      </w:r>
      <w:bookmarkEnd w:id="20"/>
    </w:p>
    <w:p w14:paraId="63EE5D96" w14:textId="77777777" w:rsidR="00D1028B" w:rsidRPr="002D037B" w:rsidRDefault="00892948">
      <w:pPr>
        <w:rPr>
          <w:lang w:val="de-AT"/>
        </w:rPr>
      </w:pPr>
      <w:r>
        <w:rPr>
          <w:lang w:val="de-AT"/>
        </w:rPr>
        <w:t>Zeit ist in der Softwareentwicklung allgegenwärtig — und gleichzeitig eine der fehleranfälligsten Abstraktionen überhaupt. Jede Sprache hat ihre eigene, historisch gewachsene Implementierung, die inkonsistente Semantiken, stille Fehler und strukturelle Inkompatibilitäten erzeugt.</w:t>
      </w:r>
    </w:p>
    <w:p w14:paraId="63EE5D97" w14:textId="77777777" w:rsidR="00D1028B" w:rsidRPr="002D037B" w:rsidRDefault="00892948">
      <w:pPr>
        <w:pStyle w:val="berschrift3"/>
        <w:rPr>
          <w:lang w:val="de-AT"/>
        </w:rPr>
      </w:pPr>
      <w:bookmarkStart w:id="21" w:name="javascript-typescript"/>
      <w:bookmarkStart w:id="22" w:name="_Toc226451888"/>
      <w:r>
        <w:rPr>
          <w:lang w:val="de-AT"/>
        </w:rPr>
        <w:t>2.1 JavaScript / TypeScript</w:t>
      </w:r>
      <w:bookmarkEnd w:id="22"/>
    </w:p>
    <w:p w14:paraId="63EE5D98" w14:textId="77777777" w:rsidR="00D1028B" w:rsidRPr="002D037B" w:rsidRDefault="00892948">
      <w:pPr>
        <w:rPr>
          <w:lang w:val="de-AT"/>
        </w:rPr>
      </w:pPr>
      <w:r>
        <w:rPr>
          <w:i/>
          <w:iCs/>
          <w:lang w:val="de-AT"/>
        </w:rPr>
        <w:t>Bekannt als eines der schlechtesten Datums-APIs in der gesamten Programmiergeschichte. Der TC39-Ausschuss arbeitet seit Jahren am „Temporal”-Proposal als Ersatz.</w:t>
      </w:r>
    </w:p>
    <w:p w14:paraId="63EE5D99" w14:textId="77777777" w:rsidR="00D1028B" w:rsidRPr="002D037B" w:rsidRDefault="00892948">
      <w:pPr>
        <w:numPr>
          <w:ilvl w:val="0"/>
          <w:numId w:val="17"/>
        </w:numPr>
        <w:rPr>
          <w:lang w:val="de-AT"/>
        </w:rPr>
      </w:pPr>
      <w:r>
        <w:rPr>
          <w:lang w:val="de-AT"/>
        </w:rPr>
        <w:t>Monate zählen ab 0 (Januar = 0, Dezember = 11) — eine dauerhafte Fehlerquelle</w:t>
      </w:r>
    </w:p>
    <w:p w14:paraId="63EE5D9A" w14:textId="77777777" w:rsidR="00D1028B" w:rsidRPr="002D037B" w:rsidRDefault="00892948">
      <w:pPr>
        <w:numPr>
          <w:ilvl w:val="0"/>
          <w:numId w:val="17"/>
        </w:numPr>
        <w:rPr>
          <w:lang w:val="de-AT"/>
        </w:rPr>
      </w:pPr>
      <w:r>
        <w:rPr>
          <w:lang w:val="de-AT"/>
        </w:rPr>
        <w:t>new Date('2024-01-15') interpretiert als UTC, new Date(2024, 0, 15) als Lokalzeit — gleiche Eingabe, anderes Ergebnis</w:t>
      </w:r>
    </w:p>
    <w:p w14:paraId="63EE5D9B" w14:textId="77777777" w:rsidR="00D1028B" w:rsidRDefault="00892948">
      <w:pPr>
        <w:numPr>
          <w:ilvl w:val="0"/>
          <w:numId w:val="17"/>
        </w:numPr>
      </w:pPr>
      <w:r>
        <w:t>DST-Übergänge werden unvorhersehbar behandelt</w:t>
      </w:r>
    </w:p>
    <w:p w14:paraId="63EE5D9C" w14:textId="77777777" w:rsidR="00D1028B" w:rsidRPr="002D037B" w:rsidRDefault="00892948">
      <w:pPr>
        <w:numPr>
          <w:ilvl w:val="0"/>
          <w:numId w:val="17"/>
        </w:numPr>
        <w:rPr>
          <w:lang w:val="de-AT"/>
        </w:rPr>
      </w:pPr>
      <w:r>
        <w:rPr>
          <w:lang w:val="de-AT"/>
        </w:rPr>
        <w:t>Kein standardisierter Zeitzonentyp: Timezones werden als Strings übergeben, ohne Validierung</w:t>
      </w:r>
    </w:p>
    <w:p w14:paraId="63EE5D9D" w14:textId="77777777" w:rsidR="00D1028B" w:rsidRPr="002D037B" w:rsidRDefault="00892948">
      <w:pPr>
        <w:numPr>
          <w:ilvl w:val="0"/>
          <w:numId w:val="17"/>
        </w:numPr>
        <w:rPr>
          <w:lang w:val="de-AT"/>
        </w:rPr>
      </w:pPr>
      <w:r>
        <w:rPr>
          <w:lang w:val="de-AT"/>
        </w:rPr>
        <w:t>JSON.stringify() serialisiert Dates als ISO-8601-Strings — beim Parsen gehen Zeitzonendaten verloren</w:t>
      </w:r>
    </w:p>
    <w:p w14:paraId="63EE5D9E" w14:textId="77777777" w:rsidR="00D1028B" w:rsidRPr="002D037B"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Ein offizieller ChronoGrid-Typ als Grundlage für das TC39 Temporal-Proposal oder als Erweiterung davon. ChronoGrid Systems könnte Liaison-Status beim ECMA-Standardisierungskomitee anstreben.</w:t>
      </w:r>
    </w:p>
    <w:p w14:paraId="63EE5D9F" w14:textId="77777777" w:rsidR="00D1028B" w:rsidRPr="002D037B" w:rsidRDefault="00892948">
      <w:pPr>
        <w:pStyle w:val="berschrift3"/>
        <w:rPr>
          <w:lang w:val="de-AT"/>
        </w:rPr>
      </w:pPr>
      <w:bookmarkStart w:id="23" w:name="python"/>
      <w:bookmarkStart w:id="24" w:name="_Toc226451889"/>
      <w:bookmarkEnd w:id="21"/>
      <w:r>
        <w:rPr>
          <w:lang w:val="de-AT"/>
        </w:rPr>
        <w:t>2.2 Python</w:t>
      </w:r>
      <w:bookmarkEnd w:id="24"/>
    </w:p>
    <w:p w14:paraId="63EE5DA0" w14:textId="77777777" w:rsidR="00D1028B" w:rsidRPr="002D037B" w:rsidRDefault="00892948">
      <w:pPr>
        <w:rPr>
          <w:lang w:val="de-AT"/>
        </w:rPr>
      </w:pPr>
      <w:r>
        <w:rPr>
          <w:i/>
          <w:iCs/>
          <w:lang w:val="de-AT"/>
        </w:rPr>
        <w:t>Python unterscheidet „naive” datetime-Objekte (ohne Zeitzoneninfo) und „aware” Objekte (mit Zeitzone). Fehler entstehen, weil die Unterscheidung implizit ist und zur Laufzeit nicht erzwungen wird.</w:t>
      </w:r>
    </w:p>
    <w:p w14:paraId="63EE5DA1" w14:textId="77777777" w:rsidR="00D1028B" w:rsidRPr="002D037B" w:rsidRDefault="00892948">
      <w:pPr>
        <w:numPr>
          <w:ilvl w:val="0"/>
          <w:numId w:val="18"/>
        </w:numPr>
        <w:rPr>
          <w:lang w:val="de-AT"/>
        </w:rPr>
      </w:pPr>
      <w:r>
        <w:rPr>
          <w:lang w:val="de-AT"/>
        </w:rPr>
        <w:t>datetime.now() gibt naives Objekt zurück — Zeitzone unbekannt</w:t>
      </w:r>
    </w:p>
    <w:p w14:paraId="63EE5DA2" w14:textId="77777777" w:rsidR="00D1028B" w:rsidRPr="002D037B" w:rsidRDefault="00892948">
      <w:pPr>
        <w:numPr>
          <w:ilvl w:val="0"/>
          <w:numId w:val="18"/>
        </w:numPr>
        <w:rPr>
          <w:lang w:val="de-AT"/>
        </w:rPr>
      </w:pPr>
      <w:r>
        <w:rPr>
          <w:lang w:val="de-AT"/>
        </w:rPr>
        <w:t>datetime.utcnow() ist deprecated, weil es fälschlicherweise UTC suggeriert ohne es zu markieren</w:t>
      </w:r>
    </w:p>
    <w:p w14:paraId="63EE5DA3" w14:textId="77777777" w:rsidR="00D1028B" w:rsidRPr="002D037B" w:rsidRDefault="00892948">
      <w:pPr>
        <w:numPr>
          <w:ilvl w:val="0"/>
          <w:numId w:val="18"/>
        </w:numPr>
        <w:rPr>
          <w:lang w:val="de-AT"/>
        </w:rPr>
      </w:pPr>
      <w:r>
        <w:rPr>
          <w:lang w:val="de-AT"/>
        </w:rPr>
        <w:t>Drittbibliotheken (pytz, dateutil, arrow, pendulum) lösen das Problem jeweils anders — keine Interoperabilität</w:t>
      </w:r>
    </w:p>
    <w:p w14:paraId="63EE5DA4" w14:textId="77777777" w:rsidR="00D1028B" w:rsidRPr="002D037B" w:rsidRDefault="00892948">
      <w:pPr>
        <w:numPr>
          <w:ilvl w:val="0"/>
          <w:numId w:val="18"/>
        </w:numPr>
        <w:rPr>
          <w:lang w:val="de-AT"/>
        </w:rPr>
      </w:pPr>
      <w:r>
        <w:rPr>
          <w:lang w:val="de-AT"/>
        </w:rPr>
        <w:t>Pandas Timestamp hat wieder eigene Inkompatibilitäten</w:t>
      </w:r>
    </w:p>
    <w:p w14:paraId="63EE5DA5" w14:textId="77777777" w:rsidR="00D1028B" w:rsidRPr="002D037B"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Definition eines Python-nativen ChronoGrid-Typs als Referenzimplementierung, vergleichbar mit PEP 495 (local time disambiguation).</w:t>
      </w:r>
    </w:p>
    <w:p w14:paraId="63EE5DA6" w14:textId="77777777" w:rsidR="00D1028B" w:rsidRDefault="00892948">
      <w:pPr>
        <w:pStyle w:val="berschrift3"/>
      </w:pPr>
      <w:bookmarkStart w:id="25" w:name="java-kotlin"/>
      <w:bookmarkStart w:id="26" w:name="_Toc226451890"/>
      <w:bookmarkEnd w:id="23"/>
      <w:r>
        <w:t>2.3 Java / Kotlin</w:t>
      </w:r>
      <w:bookmarkEnd w:id="26"/>
    </w:p>
    <w:p w14:paraId="63EE5DA7" w14:textId="77777777" w:rsidR="00D1028B" w:rsidRDefault="00892948">
      <w:pPr>
        <w:numPr>
          <w:ilvl w:val="0"/>
          <w:numId w:val="19"/>
        </w:numPr>
      </w:pPr>
      <w:r>
        <w:t>java.util.Date und Calendar sind seit Java 1.0 fehlerhaft — mutable, nicht thread-safe</w:t>
      </w:r>
    </w:p>
    <w:p w14:paraId="63EE5DA8" w14:textId="77777777" w:rsidR="00D1028B" w:rsidRPr="002D037B" w:rsidRDefault="00892948">
      <w:pPr>
        <w:numPr>
          <w:ilvl w:val="0"/>
          <w:numId w:val="19"/>
        </w:numPr>
        <w:rPr>
          <w:lang w:val="de-AT"/>
        </w:rPr>
      </w:pPr>
      <w:r>
        <w:rPr>
          <w:lang w:val="de-AT"/>
        </w:rPr>
        <w:lastRenderedPageBreak/>
        <w:t>java.time (Java 8, 2014) als Ersatz: verbessert, aber nicht alle Legacy-Bibliotheken migriert</w:t>
      </w:r>
    </w:p>
    <w:p w14:paraId="63EE5DA9" w14:textId="77777777" w:rsidR="00D1028B" w:rsidRPr="002D037B" w:rsidRDefault="00892948">
      <w:pPr>
        <w:numPr>
          <w:ilvl w:val="0"/>
          <w:numId w:val="19"/>
        </w:numPr>
        <w:rPr>
          <w:lang w:val="de-AT"/>
        </w:rPr>
      </w:pPr>
      <w:r>
        <w:rPr>
          <w:lang w:val="de-AT"/>
        </w:rPr>
        <w:t>Android hatte lange keine vollständige java.time-Unterstützung (erst ab API 26)</w:t>
      </w:r>
    </w:p>
    <w:p w14:paraId="63EE5DAA" w14:textId="77777777" w:rsidR="00D1028B" w:rsidRPr="002D037B" w:rsidRDefault="00892948">
      <w:pPr>
        <w:numPr>
          <w:ilvl w:val="0"/>
          <w:numId w:val="19"/>
        </w:numPr>
        <w:rPr>
          <w:lang w:val="de-AT"/>
        </w:rPr>
      </w:pPr>
      <w:r>
        <w:rPr>
          <w:lang w:val="de-AT"/>
        </w:rPr>
        <w:t>Kotlin erbt die Java-Problematik mit kx-datetime als Workaround</w:t>
      </w:r>
    </w:p>
    <w:p w14:paraId="63EE5DAB" w14:textId="77777777" w:rsidR="00D1028B" w:rsidRPr="002D037B"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Ein offizieller ChronoGrid-Typ für das Java-Ökosystem — als JSR (Java Specification Request) analog zu java.time (JSR 310) — würde eine systemunabhängige, BigInt-basierte Zeitdarstellung für JVM und Android etablieren.</w:t>
      </w:r>
    </w:p>
    <w:p w14:paraId="63EE5DAC" w14:textId="77777777" w:rsidR="00D1028B" w:rsidRPr="002D037B" w:rsidRDefault="00892948">
      <w:pPr>
        <w:numPr>
          <w:ilvl w:val="0"/>
          <w:numId w:val="20"/>
        </w:numPr>
        <w:pBdr>
          <w:left w:val="single" w:sz="20" w:space="8" w:color="17A589"/>
        </w:pBdr>
        <w:shd w:val="clear" w:color="auto" w:fill="EAF7F4"/>
        <w:spacing w:before="40" w:after="40"/>
        <w:ind w:left="240"/>
        <w:rPr>
          <w:lang w:val="de-AT"/>
        </w:rPr>
      </w:pPr>
      <w:r>
        <w:rPr>
          <w:i/>
          <w:iCs/>
          <w:color w:val="0D4035"/>
          <w:sz w:val="20"/>
          <w:szCs w:val="20"/>
          <w:lang w:val="de-AT"/>
        </w:rPr>
        <w:t>CGTA als Erweiterung von java.time.Instant: vollständig rückwärtskompatibel, aber mit deterministischer DST-Semantik und Sub-Nanosekunden-Präzision ohne Floating-Point-Rundungsfehler</w:t>
      </w:r>
    </w:p>
    <w:p w14:paraId="63EE5DAD" w14:textId="77777777" w:rsidR="00D1028B" w:rsidRPr="002D037B" w:rsidRDefault="00892948">
      <w:pPr>
        <w:numPr>
          <w:ilvl w:val="0"/>
          <w:numId w:val="20"/>
        </w:numPr>
        <w:pBdr>
          <w:left w:val="single" w:sz="20" w:space="8" w:color="17A589"/>
        </w:pBdr>
        <w:shd w:val="clear" w:color="auto" w:fill="EAF7F4"/>
        <w:spacing w:before="40" w:after="40"/>
        <w:ind w:left="240"/>
        <w:rPr>
          <w:lang w:val="de-AT"/>
        </w:rPr>
      </w:pPr>
      <w:r>
        <w:rPr>
          <w:i/>
          <w:iCs/>
          <w:color w:val="0D4035"/>
          <w:sz w:val="20"/>
          <w:szCs w:val="20"/>
          <w:lang w:val="de-AT"/>
        </w:rPr>
        <w:t>Android-Kompatibilität: Ein CGTA-Typ als Kotlin-Multiplatform-Bibliothek funktioniert ab API 21 — keine Versionsfragmentierung mehr bei zeitkritischem Code</w:t>
      </w:r>
    </w:p>
    <w:p w14:paraId="63EE5DAE" w14:textId="77777777" w:rsidR="00D1028B" w:rsidRPr="002D037B" w:rsidRDefault="00892948">
      <w:pPr>
        <w:numPr>
          <w:ilvl w:val="0"/>
          <w:numId w:val="20"/>
        </w:numPr>
        <w:pBdr>
          <w:left w:val="single" w:sz="20" w:space="8" w:color="17A589"/>
        </w:pBdr>
        <w:shd w:val="clear" w:color="auto" w:fill="EAF7F4"/>
        <w:spacing w:before="40" w:after="40"/>
        <w:ind w:left="240"/>
        <w:rPr>
          <w:lang w:val="de-AT"/>
        </w:rPr>
      </w:pPr>
      <w:r>
        <w:rPr>
          <w:i/>
          <w:iCs/>
          <w:color w:val="0D4035"/>
          <w:sz w:val="20"/>
          <w:szCs w:val="20"/>
          <w:lang w:val="de-AT"/>
        </w:rPr>
        <w:t>kx-datetime könnte ChronoGrid als kanonischen Backend-Typ verwenden: iOS, Android, JVM und JavaScript erhalten identische Zeitdarstellung ohne plattformspezifische Workarounds</w:t>
      </w:r>
    </w:p>
    <w:p w14:paraId="63EE5DAF" w14:textId="77777777" w:rsidR="00D1028B" w:rsidRPr="002D037B" w:rsidRDefault="00892948">
      <w:pPr>
        <w:numPr>
          <w:ilvl w:val="0"/>
          <w:numId w:val="2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5DB0" w14:textId="77777777" w:rsidR="00D1028B" w:rsidRPr="002D037B" w:rsidRDefault="00892948">
      <w:pPr>
        <w:pStyle w:val="berschrift3"/>
        <w:rPr>
          <w:lang w:val="de-AT"/>
        </w:rPr>
      </w:pPr>
      <w:bookmarkStart w:id="27" w:name="c-c"/>
      <w:bookmarkStart w:id="28" w:name="_Toc226451891"/>
      <w:bookmarkEnd w:id="25"/>
      <w:r>
        <w:rPr>
          <w:lang w:val="de-AT"/>
        </w:rPr>
        <w:t>2.4 C / C++</w:t>
      </w:r>
      <w:bookmarkEnd w:id="28"/>
    </w:p>
    <w:p w14:paraId="63EE5DB1" w14:textId="77777777" w:rsidR="00D1028B" w:rsidRPr="002D037B" w:rsidRDefault="00892948">
      <w:pPr>
        <w:rPr>
          <w:lang w:val="de-AT"/>
        </w:rPr>
      </w:pPr>
      <w:r>
        <w:rPr>
          <w:i/>
          <w:iCs/>
          <w:lang w:val="de-AT"/>
        </w:rPr>
        <w:t>Das Jahr-2038-Problem: time_t ist auf vielen 32-Bit-Systemen ein vorzeichenbehafteter 32-Bit-Integer. Am 19. Januar 2038 um 03:14:07 UTC läuft er über. Millionen von Embedded-Systemen, Industriesteuerungen und IoT-Geräten sind betroffen.</w:t>
      </w:r>
    </w:p>
    <w:p w14:paraId="63EE5DB2" w14:textId="77777777" w:rsidR="00D1028B" w:rsidRDefault="00892948">
      <w:pPr>
        <w:numPr>
          <w:ilvl w:val="0"/>
          <w:numId w:val="21"/>
        </w:numPr>
      </w:pPr>
      <w:r>
        <w:t>struct tm ist nicht thread-safe (globaler Zustand)</w:t>
      </w:r>
    </w:p>
    <w:p w14:paraId="63EE5DB3" w14:textId="77777777" w:rsidR="00D1028B" w:rsidRPr="002D037B" w:rsidRDefault="00892948">
      <w:pPr>
        <w:numPr>
          <w:ilvl w:val="0"/>
          <w:numId w:val="21"/>
        </w:numPr>
        <w:rPr>
          <w:lang w:val="de-AT"/>
        </w:rPr>
      </w:pPr>
      <w:r>
        <w:rPr>
          <w:lang w:val="de-AT"/>
        </w:rPr>
        <w:t>mktime() hat undefiniertes Verhalten bei ungültigen Eingaben</w:t>
      </w:r>
    </w:p>
    <w:p w14:paraId="63EE5DB4" w14:textId="77777777" w:rsidR="00D1028B" w:rsidRPr="002D037B" w:rsidRDefault="00892948">
      <w:pPr>
        <w:numPr>
          <w:ilvl w:val="0"/>
          <w:numId w:val="21"/>
        </w:numPr>
        <w:rPr>
          <w:lang w:val="de-AT"/>
        </w:rPr>
      </w:pPr>
      <w:r>
        <w:rPr>
          <w:lang w:val="de-AT"/>
        </w:rPr>
        <w:t>Keine standardisierte Hochpräzisions-Zeitdarstellung in der Standardbibliothek</w:t>
      </w:r>
    </w:p>
    <w:p w14:paraId="63EE5DB5" w14:textId="77777777" w:rsidR="00D1028B" w:rsidRPr="002D037B" w:rsidRDefault="00892948">
      <w:pPr>
        <w:numPr>
          <w:ilvl w:val="0"/>
          <w:numId w:val="21"/>
        </w:numPr>
        <w:rPr>
          <w:lang w:val="de-AT"/>
        </w:rPr>
      </w:pPr>
      <w:r>
        <w:rPr>
          <w:lang w:val="de-AT"/>
        </w:rPr>
        <w:t>C++20 std::chrono verbessert, bleibt aber systemabhängig in der Zeitzonendatenbank</w:t>
      </w:r>
    </w:p>
    <w:p w14:paraId="63EE5DB6" w14:textId="77777777" w:rsidR="00D1028B" w:rsidRPr="002D037B"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Ein zukunftssicheres, 64-Bit-basiertes ChronoGrid-Encoding löst das Jahr-2038-Problem strukturell und ist rückwärtskompatibel darstellbar.</w:t>
      </w:r>
    </w:p>
    <w:p w14:paraId="63EE5DB7" w14:textId="77777777" w:rsidR="00D1028B" w:rsidRPr="002D037B" w:rsidRDefault="00892948">
      <w:pPr>
        <w:numPr>
          <w:ilvl w:val="0"/>
          <w:numId w:val="22"/>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5DB8" w14:textId="77777777" w:rsidR="00D1028B" w:rsidRDefault="00892948">
      <w:pPr>
        <w:pStyle w:val="berschrift3"/>
      </w:pPr>
      <w:bookmarkStart w:id="29" w:name="sql-datenbanken"/>
      <w:bookmarkStart w:id="30" w:name="_Toc226451892"/>
      <w:bookmarkEnd w:id="27"/>
      <w:r>
        <w:t>2.5 SQL-Datenbanken</w:t>
      </w:r>
      <w:bookmarkEnd w:id="30"/>
    </w:p>
    <w:p w14:paraId="63EE5DB9" w14:textId="77777777" w:rsidR="00D1028B" w:rsidRDefault="00892948">
      <w:pPr>
        <w:numPr>
          <w:ilvl w:val="0"/>
          <w:numId w:val="23"/>
        </w:numPr>
      </w:pPr>
      <w:r>
        <w:t>PostgreSQL: TIMESTAMP (naiv) vs. TIMESTAMPTZ (aware) — implizite Konvertierungen bei Abfragen</w:t>
      </w:r>
    </w:p>
    <w:p w14:paraId="63EE5DBA" w14:textId="77777777" w:rsidR="00D1028B" w:rsidRDefault="00892948">
      <w:pPr>
        <w:numPr>
          <w:ilvl w:val="0"/>
          <w:numId w:val="23"/>
        </w:numPr>
      </w:pPr>
      <w:r>
        <w:t>MySQL/MariaDB: DATETIME ignoriert Zeitzonen, TIMESTAMP ist auf 2038 limitiert</w:t>
      </w:r>
    </w:p>
    <w:p w14:paraId="63EE5DBB" w14:textId="77777777" w:rsidR="00D1028B" w:rsidRPr="002D037B" w:rsidRDefault="00892948">
      <w:pPr>
        <w:numPr>
          <w:ilvl w:val="0"/>
          <w:numId w:val="23"/>
        </w:numPr>
        <w:rPr>
          <w:lang w:val="de-AT"/>
        </w:rPr>
      </w:pPr>
      <w:r>
        <w:rPr>
          <w:lang w:val="de-AT"/>
        </w:rPr>
        <w:t>SQLite: Kein nativer Datumstyp — Zeitangaben als Text, Real oder Integer je nach Anwendung</w:t>
      </w:r>
    </w:p>
    <w:p w14:paraId="63EE5DBC" w14:textId="77777777" w:rsidR="00D1028B" w:rsidRPr="002D037B" w:rsidRDefault="00892948">
      <w:pPr>
        <w:numPr>
          <w:ilvl w:val="0"/>
          <w:numId w:val="23"/>
        </w:numPr>
        <w:rPr>
          <w:lang w:val="de-AT"/>
        </w:rPr>
      </w:pPr>
      <w:r>
        <w:rPr>
          <w:lang w:val="de-AT"/>
        </w:rPr>
        <w:t>Oracle: DATE enthält Uhrzeit bis Sekunden, TIMESTAMP enthält Nachkommastellen — Verwechslung häufig</w:t>
      </w:r>
    </w:p>
    <w:p w14:paraId="63EE5DBD" w14:textId="77777777" w:rsidR="00D1028B" w:rsidRPr="002D037B" w:rsidRDefault="00892948">
      <w:pPr>
        <w:numPr>
          <w:ilvl w:val="0"/>
          <w:numId w:val="23"/>
        </w:numPr>
        <w:rPr>
          <w:lang w:val="de-AT"/>
        </w:rPr>
      </w:pPr>
      <w:r>
        <w:rPr>
          <w:lang w:val="de-AT"/>
        </w:rPr>
        <w:t>Zeitzonenabhängige GROUP BY-Abfragen erzeugen je nach Server-Konfiguration unterschiedliche Ergebnisse</w:t>
      </w:r>
    </w:p>
    <w:p w14:paraId="63EE5DBE" w14:textId="77777777" w:rsidR="00D1028B" w:rsidRPr="002D037B"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Nativer ChronoGrid-Datentyp in SQL-Standards (ANSI SQL, ISO/IEC 9075) mit determinierter Semantik. Vergleichbar mit der Einführung von JSON-Typen in modernen Datenbanken.</w:t>
      </w:r>
    </w:p>
    <w:p w14:paraId="63EE5DBF" w14:textId="77777777" w:rsidR="00D1028B" w:rsidRPr="002D037B" w:rsidRDefault="00892948">
      <w:pPr>
        <w:pStyle w:val="berschrift2"/>
        <w:rPr>
          <w:lang w:val="de-AT"/>
        </w:rPr>
      </w:pPr>
      <w:bookmarkStart w:id="31" w:name="X6ff8412e97f3957a8adfb6dea71c3d43a688a67"/>
      <w:bookmarkStart w:id="32" w:name="_Toc226451893"/>
      <w:bookmarkEnd w:id="19"/>
      <w:bookmarkEnd w:id="29"/>
      <w:r>
        <w:rPr>
          <w:lang w:val="de-AT"/>
        </w:rPr>
        <w:lastRenderedPageBreak/>
        <w:t>3 APIs, Datenformate und Entwicklungsinfrastruktur</w:t>
      </w:r>
      <w:bookmarkEnd w:id="32"/>
    </w:p>
    <w:p w14:paraId="63EE5DC0" w14:textId="77777777" w:rsidR="00D1028B" w:rsidRPr="002D037B" w:rsidRDefault="00892948">
      <w:pPr>
        <w:pStyle w:val="berschrift3"/>
        <w:rPr>
          <w:lang w:val="de-AT"/>
        </w:rPr>
      </w:pPr>
      <w:bookmarkStart w:id="33" w:name="rest-und-graphql-apis"/>
      <w:bookmarkStart w:id="34" w:name="_Toc226451894"/>
      <w:r>
        <w:rPr>
          <w:lang w:val="de-AT"/>
        </w:rPr>
        <w:t>3.1 REST und GraphQL APIs</w:t>
      </w:r>
      <w:bookmarkEnd w:id="34"/>
    </w:p>
    <w:p w14:paraId="63EE5DC1" w14:textId="77777777" w:rsidR="00D1028B" w:rsidRPr="00260DEC" w:rsidRDefault="00892948">
      <w:pPr>
        <w:rPr>
          <w:lang w:val="de-AT"/>
        </w:rPr>
      </w:pPr>
      <w:r>
        <w:rPr>
          <w:lang w:val="de-AT"/>
        </w:rPr>
        <w:t>HTTP-APIs haben keinen standardisierten Zeittyp. Das übliche Vorgehen: Zeitangaben als ISO-8601-Strings im JSON-Body — aber:</w:t>
      </w:r>
    </w:p>
    <w:p w14:paraId="63EE5DC2" w14:textId="77777777" w:rsidR="00D1028B" w:rsidRPr="00260DEC" w:rsidRDefault="00892948">
      <w:pPr>
        <w:numPr>
          <w:ilvl w:val="0"/>
          <w:numId w:val="24"/>
        </w:numPr>
        <w:rPr>
          <w:lang w:val="de-AT"/>
        </w:rPr>
      </w:pPr>
      <w:r>
        <w:rPr>
          <w:lang w:val="de-AT"/>
        </w:rPr>
        <w:t>ISO 8601 erlaubt mehrere Darstellungen desselben Zeitpunkts (mit/ohne Millisekunden, mit/ohne Offset)</w:t>
      </w:r>
    </w:p>
    <w:p w14:paraId="63EE5DC3" w14:textId="77777777" w:rsidR="00D1028B" w:rsidRPr="00260DEC" w:rsidRDefault="00892948">
      <w:pPr>
        <w:numPr>
          <w:ilvl w:val="0"/>
          <w:numId w:val="24"/>
        </w:numPr>
        <w:rPr>
          <w:lang w:val="de-AT"/>
        </w:rPr>
      </w:pPr>
      <w:r>
        <w:rPr>
          <w:lang w:val="de-AT"/>
        </w:rPr>
        <w:t>GraphQL hat keinen nativen Date/Time-Skalar — Entwickler definieren ihn selbst, inkonsistent</w:t>
      </w:r>
    </w:p>
    <w:p w14:paraId="63EE5DC4" w14:textId="77777777" w:rsidR="00D1028B" w:rsidRPr="00260DEC" w:rsidRDefault="00892948">
      <w:pPr>
        <w:numPr>
          <w:ilvl w:val="0"/>
          <w:numId w:val="24"/>
        </w:numPr>
        <w:rPr>
          <w:lang w:val="de-AT"/>
        </w:rPr>
      </w:pPr>
      <w:r>
        <w:rPr>
          <w:lang w:val="de-AT"/>
        </w:rPr>
        <w:t>OpenAPI / Swagger: format: date-time basiert auf RFC 3339, aber Timezone-Handling bleibt undefiniert</w:t>
      </w:r>
    </w:p>
    <w:p w14:paraId="63EE5DC5" w14:textId="77777777" w:rsidR="00D1028B" w:rsidRPr="00260DEC" w:rsidRDefault="00892948">
      <w:pPr>
        <w:numPr>
          <w:ilvl w:val="0"/>
          <w:numId w:val="24"/>
        </w:numPr>
        <w:rPr>
          <w:lang w:val="de-AT"/>
        </w:rPr>
      </w:pPr>
      <w:r>
        <w:rPr>
          <w:lang w:val="de-AT"/>
        </w:rPr>
        <w:t>Webhook-Payloads von Stripe, GitHub, Slack, Twilio: alle nutzen leicht unterschiedliche Zeitformate</w:t>
      </w:r>
    </w:p>
    <w:p w14:paraId="63EE5DC6"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Ein standardisierter CGTA-Skalar für GraphQL und ein offizieller CGTA-Format-String für OpenAPI 4.0 würden Zeitangaben in APIs von Implementierungsdetails zu einem normierten Typ erheben.</w:t>
      </w:r>
    </w:p>
    <w:p w14:paraId="63EE5DC7" w14:textId="77777777" w:rsidR="00D1028B" w:rsidRPr="00260DEC" w:rsidRDefault="00892948">
      <w:pPr>
        <w:numPr>
          <w:ilvl w:val="0"/>
          <w:numId w:val="25"/>
        </w:numPr>
        <w:pBdr>
          <w:left w:val="single" w:sz="20" w:space="8" w:color="17A589"/>
        </w:pBdr>
        <w:shd w:val="clear" w:color="auto" w:fill="EAF7F4"/>
        <w:spacing w:before="40" w:after="40"/>
        <w:ind w:left="240"/>
        <w:rPr>
          <w:lang w:val="de-AT"/>
        </w:rPr>
      </w:pPr>
      <w:r>
        <w:rPr>
          <w:i/>
          <w:iCs/>
          <w:color w:val="0D4035"/>
          <w:sz w:val="20"/>
          <w:szCs w:val="20"/>
          <w:lang w:val="de-AT"/>
        </w:rPr>
        <w:t>GraphQL CGTA-Skalar: Ein einziger, community-getragener Typ ersetzt die fragmentierten DateTime-Eigendefinitionen — Clients erhalten immer den absoluten Zeitpunkt, nie eine zonenrelative Zeichenkette</w:t>
      </w:r>
    </w:p>
    <w:p w14:paraId="63EE5DC8" w14:textId="77777777" w:rsidR="00D1028B" w:rsidRPr="00260DEC" w:rsidRDefault="00892948">
      <w:pPr>
        <w:numPr>
          <w:ilvl w:val="0"/>
          <w:numId w:val="25"/>
        </w:numPr>
        <w:pBdr>
          <w:left w:val="single" w:sz="20" w:space="8" w:color="17A589"/>
        </w:pBdr>
        <w:shd w:val="clear" w:color="auto" w:fill="EAF7F4"/>
        <w:spacing w:before="40" w:after="40"/>
        <w:ind w:left="240"/>
        <w:rPr>
          <w:lang w:val="de-AT"/>
        </w:rPr>
      </w:pPr>
      <w:r>
        <w:rPr>
          <w:i/>
          <w:iCs/>
          <w:color w:val="0D4035"/>
          <w:sz w:val="20"/>
          <w:szCs w:val="20"/>
          <w:lang w:val="de-AT"/>
        </w:rPr>
        <w:t>OpenAPI-Format cgta: Swagger-generierte Clients in allen Sprachen deserialisieren Zeitangaben korrekt — kein manuelles Parsen, keine Timezone-Annahmen im generierten Code</w:t>
      </w:r>
    </w:p>
    <w:p w14:paraId="63EE5DC9" w14:textId="77777777" w:rsidR="00D1028B" w:rsidRPr="00260DEC" w:rsidRDefault="00892948">
      <w:pPr>
        <w:numPr>
          <w:ilvl w:val="0"/>
          <w:numId w:val="25"/>
        </w:numPr>
        <w:pBdr>
          <w:left w:val="single" w:sz="20" w:space="8" w:color="17A589"/>
        </w:pBdr>
        <w:shd w:val="clear" w:color="auto" w:fill="EAF7F4"/>
        <w:spacing w:before="40" w:after="40"/>
        <w:ind w:left="240"/>
        <w:rPr>
          <w:lang w:val="de-AT"/>
        </w:rPr>
      </w:pPr>
      <w:r>
        <w:rPr>
          <w:i/>
          <w:iCs/>
          <w:color w:val="0D4035"/>
          <w:sz w:val="20"/>
          <w:szCs w:val="20"/>
          <w:lang w:val="de-AT"/>
        </w:rPr>
        <w:t>Webhook-Normierung: Stripe, GitHub und Slack könnten CGTA als kanonisches Format anbieten — Integratoren verarbeiten alle Webhooks mit identischem Parser</w:t>
      </w:r>
    </w:p>
    <w:p w14:paraId="63EE5DCA" w14:textId="77777777" w:rsidR="00D1028B" w:rsidRPr="00260DEC" w:rsidRDefault="00892948">
      <w:pPr>
        <w:rPr>
          <w:lang w:val="de-AT"/>
        </w:rPr>
      </w:pPr>
      <w:r>
        <w:rPr>
          <w:lang w:val="de-AT"/>
        </w:rPr>
        <w:t>Ein ChronoGrid-Typ in OpenAPI 4.0 (derzeit in Entwicklung) könnte die fehlende Standardisierung einbringen und wäre ein konkreter Anknüpfungspunkt für Standardisierungsgremien.</w:t>
      </w:r>
    </w:p>
    <w:p w14:paraId="63EE5DCB" w14:textId="77777777" w:rsidR="00D1028B" w:rsidRDefault="00892948">
      <w:pPr>
        <w:pStyle w:val="berschrift3"/>
      </w:pPr>
      <w:bookmarkStart w:id="35" w:name="serialisierungsformate"/>
      <w:bookmarkStart w:id="36" w:name="_Toc226451895"/>
      <w:bookmarkEnd w:id="33"/>
      <w:r>
        <w:t>3.2 Serialisierungsformate</w:t>
      </w:r>
      <w:bookmarkEnd w:id="36"/>
    </w:p>
    <w:p w14:paraId="63EE5DCC" w14:textId="77777777" w:rsidR="00D1028B" w:rsidRPr="00260DEC" w:rsidRDefault="00892948">
      <w:pPr>
        <w:numPr>
          <w:ilvl w:val="0"/>
          <w:numId w:val="26"/>
        </w:numPr>
        <w:rPr>
          <w:lang w:val="de-AT"/>
        </w:rPr>
      </w:pPr>
      <w:r>
        <w:rPr>
          <w:lang w:val="de-AT"/>
        </w:rPr>
        <w:t>JSON: Kein nativer Datumstyp. Zeitangaben sind Strings — Format ist Konvention, kein Standard</w:t>
      </w:r>
    </w:p>
    <w:p w14:paraId="63EE5DCD" w14:textId="77777777" w:rsidR="00D1028B" w:rsidRPr="00260DEC" w:rsidRDefault="00892948">
      <w:pPr>
        <w:numPr>
          <w:ilvl w:val="0"/>
          <w:numId w:val="26"/>
        </w:numPr>
        <w:rPr>
          <w:lang w:val="de-AT"/>
        </w:rPr>
      </w:pPr>
      <w:r>
        <w:rPr>
          <w:lang w:val="de-AT"/>
        </w:rPr>
        <w:t>Protocol Buffers (Protobuf): google.protobuf.Timestamp existiert, aber als Sekunden + Nanosekunden seit Unix Epoch — kein Timezone-Konzept</w:t>
      </w:r>
    </w:p>
    <w:p w14:paraId="63EE5DCE" w14:textId="77777777" w:rsidR="00D1028B" w:rsidRPr="00260DEC" w:rsidRDefault="00892948">
      <w:pPr>
        <w:numPr>
          <w:ilvl w:val="0"/>
          <w:numId w:val="26"/>
        </w:numPr>
        <w:rPr>
          <w:lang w:val="de-AT"/>
        </w:rPr>
      </w:pPr>
      <w:r>
        <w:rPr>
          <w:lang w:val="de-AT"/>
        </w:rPr>
        <w:t>Apache Avro: logicalType timestamp-millis / timestamp-micros — immer UTC, keine Lokalzeit-Unterstützung</w:t>
      </w:r>
    </w:p>
    <w:p w14:paraId="63EE5DCF" w14:textId="77777777" w:rsidR="00D1028B" w:rsidRPr="00260DEC" w:rsidRDefault="00892948">
      <w:pPr>
        <w:numPr>
          <w:ilvl w:val="0"/>
          <w:numId w:val="26"/>
        </w:numPr>
        <w:rPr>
          <w:lang w:val="de-AT"/>
        </w:rPr>
      </w:pPr>
      <w:r>
        <w:rPr>
          <w:lang w:val="de-AT"/>
        </w:rPr>
        <w:t>Apache Parquet: INT96-Timestamps wurden deprecated wegen Mehrdeutigkeit; Nachfolger INT64 ebenfalls nicht eindeutig</w:t>
      </w:r>
    </w:p>
    <w:p w14:paraId="63EE5DD0" w14:textId="77777777" w:rsidR="00D1028B" w:rsidRPr="00260DEC" w:rsidRDefault="00892948">
      <w:pPr>
        <w:numPr>
          <w:ilvl w:val="0"/>
          <w:numId w:val="26"/>
        </w:numPr>
        <w:rPr>
          <w:lang w:val="de-AT"/>
        </w:rPr>
      </w:pPr>
      <w:r>
        <w:rPr>
          <w:lang w:val="de-AT"/>
        </w:rPr>
        <w:t>MessagePack: Eigener Timestamp-Extension-Type, inkompatibel mit allen anderen</w:t>
      </w:r>
    </w:p>
    <w:p w14:paraId="63EE5DD1"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 als normierter logischer Typ könnte in alle genannten Formate als Extension eingebettet werden — ein offizieller Vorschlag an die jeweiligen Standardisierungsorgane wäre realistisch.</w:t>
      </w:r>
    </w:p>
    <w:p w14:paraId="63EE5DD2" w14:textId="77777777" w:rsidR="00D1028B" w:rsidRDefault="00892948">
      <w:pPr>
        <w:pStyle w:val="berschrift3"/>
      </w:pPr>
      <w:bookmarkStart w:id="37" w:name="versionskontrolle-und-devops"/>
      <w:bookmarkStart w:id="38" w:name="_Toc226451896"/>
      <w:bookmarkEnd w:id="35"/>
      <w:r>
        <w:lastRenderedPageBreak/>
        <w:t>3.3 Versionskontrolle und DevOps</w:t>
      </w:r>
      <w:bookmarkEnd w:id="38"/>
    </w:p>
    <w:p w14:paraId="63EE5DD3" w14:textId="77777777" w:rsidR="00D1028B" w:rsidRPr="00260DEC" w:rsidRDefault="00892948">
      <w:pPr>
        <w:numPr>
          <w:ilvl w:val="0"/>
          <w:numId w:val="27"/>
        </w:numPr>
        <w:rPr>
          <w:lang w:val="de-AT"/>
        </w:rPr>
      </w:pPr>
      <w:r>
        <w:rPr>
          <w:lang w:val="de-AT"/>
        </w:rPr>
        <w:t>Git-Commits speichern Zeitstempel mit Timezone-Offset des Entwicklers — Commits aus verschiedenen Zeitzonen sind zeitlich inkonsistent</w:t>
      </w:r>
    </w:p>
    <w:p w14:paraId="63EE5DD4" w14:textId="77777777" w:rsidR="00D1028B" w:rsidRPr="00260DEC" w:rsidRDefault="00892948">
      <w:pPr>
        <w:numPr>
          <w:ilvl w:val="0"/>
          <w:numId w:val="27"/>
        </w:numPr>
        <w:rPr>
          <w:lang w:val="de-AT"/>
        </w:rPr>
      </w:pPr>
      <w:r>
        <w:rPr>
          <w:lang w:val="de-AT"/>
        </w:rPr>
        <w:t>CI/CD-Logs: Build-Zeitstempel aus verschiedenen Systemen (GitHub Actions, Jenkins, GitLab CI) sind nicht direkt vergleichbar</w:t>
      </w:r>
    </w:p>
    <w:p w14:paraId="63EE5DD5" w14:textId="77777777" w:rsidR="00D1028B" w:rsidRPr="00260DEC" w:rsidRDefault="00892948">
      <w:pPr>
        <w:numPr>
          <w:ilvl w:val="0"/>
          <w:numId w:val="27"/>
        </w:numPr>
        <w:rPr>
          <w:lang w:val="de-AT"/>
        </w:rPr>
      </w:pPr>
      <w:r>
        <w:rPr>
          <w:lang w:val="de-AT"/>
        </w:rPr>
        <w:t>Container-Images (Docker): Creation-Timestamps oft 1970-01-01 (Epoch 0) aus Reproduzierbarkeitsgeründen — kein echter Zeitstempel</w:t>
      </w:r>
    </w:p>
    <w:p w14:paraId="63EE5DD6" w14:textId="77777777" w:rsidR="00D1028B" w:rsidRPr="00260DEC" w:rsidRDefault="00892948">
      <w:pPr>
        <w:numPr>
          <w:ilvl w:val="0"/>
          <w:numId w:val="27"/>
        </w:numPr>
        <w:rPr>
          <w:lang w:val="de-AT"/>
        </w:rPr>
      </w:pPr>
      <w:r>
        <w:rPr>
          <w:lang w:val="de-AT"/>
        </w:rPr>
        <w:t>Deployment-Auditlogs: Zeitzonenprobleme bei Systemen über mehrere Regionen</w:t>
      </w:r>
    </w:p>
    <w:p w14:paraId="63EE5DD7"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kanonischer Zeitstempel in Git-Commits, CI/CD-Logs und Container-Manifests würde Build-Reproduzierbarkeit und Audit-Integrität über alle Regionen sicherstellen.</w:t>
      </w:r>
    </w:p>
    <w:p w14:paraId="63EE5DD8" w14:textId="77777777" w:rsidR="00D1028B" w:rsidRPr="00260DEC" w:rsidRDefault="00892948">
      <w:pPr>
        <w:numPr>
          <w:ilvl w:val="0"/>
          <w:numId w:val="28"/>
        </w:numPr>
        <w:pBdr>
          <w:left w:val="single" w:sz="20" w:space="8" w:color="17A589"/>
        </w:pBdr>
        <w:shd w:val="clear" w:color="auto" w:fill="EAF7F4"/>
        <w:spacing w:before="40" w:after="40"/>
        <w:ind w:left="240"/>
        <w:rPr>
          <w:lang w:val="de-AT"/>
        </w:rPr>
      </w:pPr>
      <w:r>
        <w:rPr>
          <w:i/>
          <w:iCs/>
          <w:color w:val="0D4035"/>
          <w:sz w:val="20"/>
          <w:szCs w:val="20"/>
          <w:lang w:val="de-AT"/>
        </w:rPr>
        <w:t>Git-Commits mit CGTA-Zeitstempel sind systemzonenunabhängig sortierbar — Merge-Konflikte durch Zeitzoneninkonsistenz zwischen Entwicklerstandorten entfallen</w:t>
      </w:r>
    </w:p>
    <w:p w14:paraId="63EE5DD9" w14:textId="77777777" w:rsidR="00D1028B" w:rsidRPr="00260DEC" w:rsidRDefault="00892948">
      <w:pPr>
        <w:numPr>
          <w:ilvl w:val="0"/>
          <w:numId w:val="28"/>
        </w:numPr>
        <w:pBdr>
          <w:left w:val="single" w:sz="20" w:space="8" w:color="17A589"/>
        </w:pBdr>
        <w:shd w:val="clear" w:color="auto" w:fill="EAF7F4"/>
        <w:spacing w:before="40" w:after="40"/>
        <w:ind w:left="240"/>
        <w:rPr>
          <w:lang w:val="de-AT"/>
        </w:rPr>
      </w:pPr>
      <w:r>
        <w:rPr>
          <w:i/>
          <w:iCs/>
          <w:color w:val="0D4035"/>
          <w:sz w:val="20"/>
          <w:szCs w:val="20"/>
          <w:lang w:val="de-AT"/>
        </w:rPr>
        <w:t>CI/CD-Build-Zeiten in CGTA: GitHub Actions, Jenkins und GitLab CI produzieren direkt korrelierbare Zeitstempel — Multi-Region-Pipeline-Debugging wird deterministisch</w:t>
      </w:r>
    </w:p>
    <w:p w14:paraId="63EE5DDA" w14:textId="77777777" w:rsidR="00D1028B" w:rsidRPr="00260DEC" w:rsidRDefault="00892948">
      <w:pPr>
        <w:numPr>
          <w:ilvl w:val="0"/>
          <w:numId w:val="28"/>
        </w:numPr>
        <w:pBdr>
          <w:left w:val="single" w:sz="20" w:space="8" w:color="17A589"/>
        </w:pBdr>
        <w:shd w:val="clear" w:color="auto" w:fill="EAF7F4"/>
        <w:spacing w:before="40" w:after="40"/>
        <w:ind w:left="240"/>
        <w:rPr>
          <w:lang w:val="de-AT"/>
        </w:rPr>
      </w:pPr>
      <w:r>
        <w:rPr>
          <w:i/>
          <w:iCs/>
          <w:color w:val="0D4035"/>
          <w:sz w:val="20"/>
          <w:szCs w:val="20"/>
          <w:lang w:val="de-AT"/>
        </w:rPr>
        <w:t>Container-Images: CGTA als Build-Timestamp-Standard ersetzt Epoch-0-Dummies und macht Image-Provenance auditierbar — relevant für SBOM und Supply-Chain-Compliance (SLSA, SSDF)</w:t>
      </w:r>
    </w:p>
    <w:p w14:paraId="63EE5DDB" w14:textId="77777777" w:rsidR="00D1028B" w:rsidRPr="00260DEC" w:rsidRDefault="00892948">
      <w:pPr>
        <w:numPr>
          <w:ilvl w:val="0"/>
          <w:numId w:val="28"/>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Log-Forensik → </w:t>
      </w:r>
      <w:r>
        <w:rPr>
          <w:b/>
          <w:bCs/>
          <w:i/>
          <w:iCs/>
          <w:color w:val="0D4035"/>
          <w:sz w:val="20"/>
          <w:szCs w:val="20"/>
          <w:lang w:val="de-AT"/>
        </w:rPr>
        <w:t>Anhang B.5</w:t>
      </w:r>
    </w:p>
    <w:p w14:paraId="63EE5DDC" w14:textId="77777777" w:rsidR="00D1028B" w:rsidRPr="00260DEC" w:rsidRDefault="00892948">
      <w:pPr>
        <w:pStyle w:val="berschrift3"/>
        <w:rPr>
          <w:lang w:val="de-AT"/>
        </w:rPr>
      </w:pPr>
      <w:bookmarkStart w:id="39" w:name="automatisiertes-testing-time-mocking"/>
      <w:bookmarkStart w:id="40" w:name="_Toc226451897"/>
      <w:bookmarkEnd w:id="37"/>
      <w:r>
        <w:rPr>
          <w:lang w:val="de-AT"/>
        </w:rPr>
        <w:t>3.4 Automatisiertes Testing: Time Mocking</w:t>
      </w:r>
      <w:bookmarkEnd w:id="40"/>
    </w:p>
    <w:p w14:paraId="63EE5DDD" w14:textId="77777777" w:rsidR="00D1028B" w:rsidRPr="00260DEC" w:rsidRDefault="00892948">
      <w:pPr>
        <w:rPr>
          <w:lang w:val="de-AT"/>
        </w:rPr>
      </w:pPr>
      <w:r>
        <w:rPr>
          <w:lang w:val="de-AT"/>
        </w:rPr>
        <w:t>Zeit-abhängiger Code ist notorisch schwer testbar. Das Muster „Freezing Time” (simulierter Zeitpunkt im Test) erfordert sprachspezifische Bibliotheken:</w:t>
      </w:r>
    </w:p>
    <w:p w14:paraId="63EE5DDE" w14:textId="77777777" w:rsidR="00D1028B" w:rsidRDefault="00892948">
      <w:pPr>
        <w:numPr>
          <w:ilvl w:val="0"/>
          <w:numId w:val="29"/>
        </w:numPr>
      </w:pPr>
      <w:r>
        <w:t>Python: freezegun, time-machine</w:t>
      </w:r>
    </w:p>
    <w:p w14:paraId="63EE5DDF" w14:textId="77777777" w:rsidR="00D1028B" w:rsidRDefault="00892948">
      <w:pPr>
        <w:numPr>
          <w:ilvl w:val="0"/>
          <w:numId w:val="29"/>
        </w:numPr>
      </w:pPr>
      <w:r>
        <w:t>JavaScript: jest.useFakeTimers(), sinon.useFakeTimers()</w:t>
      </w:r>
    </w:p>
    <w:p w14:paraId="63EE5DE0" w14:textId="77777777" w:rsidR="00D1028B" w:rsidRDefault="00892948">
      <w:pPr>
        <w:numPr>
          <w:ilvl w:val="0"/>
          <w:numId w:val="29"/>
        </w:numPr>
      </w:pPr>
      <w:r>
        <w:t>Java: Mockito-basierte Clock-Injektion</w:t>
      </w:r>
    </w:p>
    <w:p w14:paraId="63EE5DE1" w14:textId="77777777" w:rsidR="00D1028B" w:rsidRPr="00260DEC" w:rsidRDefault="00892948">
      <w:pPr>
        <w:numPr>
          <w:ilvl w:val="0"/>
          <w:numId w:val="29"/>
        </w:numPr>
        <w:rPr>
          <w:lang w:val="de-AT"/>
        </w:rPr>
      </w:pPr>
      <w:r>
        <w:rPr>
          <w:lang w:val="de-AT"/>
        </w:rPr>
        <w:t>Go: keine Standardlösung, Interface-Injektion als Pattern</w:t>
      </w:r>
    </w:p>
    <w:p w14:paraId="63EE5DE2" w14:textId="77777777" w:rsidR="00D1028B" w:rsidRPr="00260DEC" w:rsidRDefault="00892948">
      <w:pPr>
        <w:rPr>
          <w:lang w:val="de-AT"/>
        </w:rPr>
      </w:pPr>
      <w:r>
        <w:rPr>
          <w:lang w:val="de-AT"/>
        </w:rPr>
        <w:t>Ein standardisiertes ChronoGrid-Zeitmodell würde ein sprachunabhängiges Mocking-Konzept ermöglichen — Testframeworks könnten eine einheitliche API anbieten.</w:t>
      </w:r>
    </w:p>
    <w:p w14:paraId="63EE5DE3" w14:textId="77777777" w:rsidR="00D1028B" w:rsidRPr="00260DEC" w:rsidRDefault="00892948">
      <w:pPr>
        <w:pStyle w:val="Textkrper"/>
        <w:pBdr>
          <w:left w:val="single" w:sz="20" w:space="8" w:color="17A589"/>
        </w:pBdr>
        <w:shd w:val="clear" w:color="auto" w:fill="EAF7F4"/>
        <w:spacing w:before="40" w:after="40"/>
        <w:ind w:left="240"/>
        <w:rPr>
          <w:lang w:val="de-AT"/>
        </w:rPr>
      </w:pPr>
      <w:r>
        <w:rPr>
          <w:i/>
          <w:iCs/>
          <w:color w:val="0D4035"/>
          <w:sz w:val="20"/>
          <w:szCs w:val="20"/>
          <w:lang w:val="de-AT"/>
        </w:rPr>
        <w:t>ChronoGrid-Opportunity: Ein CGTA-nativer Clock-Abstraktionstyp würde zeitabhängige Tests sprachübergreifend und DST-sicher machen — ohne sprachspezifische Mocking-Bibliotheken.</w:t>
      </w:r>
    </w:p>
    <w:p w14:paraId="63EE5DE4" w14:textId="77777777" w:rsidR="00D1028B" w:rsidRPr="00260DEC" w:rsidRDefault="00892948">
      <w:pPr>
        <w:numPr>
          <w:ilvl w:val="0"/>
          <w:numId w:val="30"/>
        </w:numPr>
        <w:pBdr>
          <w:left w:val="single" w:sz="20" w:space="8" w:color="17A589"/>
        </w:pBdr>
        <w:shd w:val="clear" w:color="auto" w:fill="EAF7F4"/>
        <w:spacing w:before="40" w:after="40"/>
        <w:ind w:left="240"/>
        <w:rPr>
          <w:lang w:val="de-AT"/>
        </w:rPr>
      </w:pPr>
      <w:r>
        <w:rPr>
          <w:i/>
          <w:iCs/>
          <w:color w:val="0D4035"/>
          <w:sz w:val="20"/>
          <w:szCs w:val="20"/>
          <w:lang w:val="de-AT"/>
        </w:rPr>
        <w:t>ChronoGrid.freeze(cgta_value) als einheitliche API: identisches Mocking-Interface in Python, JavaScript, Java und Go — Testsuiten sind plattformübergreifend reproduzierbar</w:t>
      </w:r>
    </w:p>
    <w:p w14:paraId="63EE5DE5" w14:textId="77777777" w:rsidR="00D1028B" w:rsidRPr="00260DEC" w:rsidRDefault="00892948">
      <w:pPr>
        <w:numPr>
          <w:ilvl w:val="0"/>
          <w:numId w:val="30"/>
        </w:numPr>
        <w:pBdr>
          <w:left w:val="single" w:sz="20" w:space="8" w:color="17A589"/>
        </w:pBdr>
        <w:shd w:val="clear" w:color="auto" w:fill="EAF7F4"/>
        <w:spacing w:before="40" w:after="40"/>
        <w:ind w:left="240"/>
        <w:rPr>
          <w:lang w:val="de-AT"/>
        </w:rPr>
      </w:pPr>
      <w:r>
        <w:rPr>
          <w:i/>
          <w:iCs/>
          <w:color w:val="0D4035"/>
          <w:sz w:val="20"/>
          <w:szCs w:val="20"/>
          <w:lang w:val="de-AT"/>
        </w:rPr>
        <w:t>DST-Grenzfall-Tests: CGTA ermöglicht das präzise Testen von Uhrenumstellungsmomenten (z. B. 02:59:59 → 02:00:00) ohne Systemzeitkonfiguration — Tests laufen identisch auf jedem CI-Server</w:t>
      </w:r>
    </w:p>
    <w:p w14:paraId="63EE5DE6" w14:textId="77777777" w:rsidR="00D1028B" w:rsidRPr="00260DEC" w:rsidRDefault="00892948">
      <w:pPr>
        <w:numPr>
          <w:ilvl w:val="0"/>
          <w:numId w:val="30"/>
        </w:numPr>
        <w:pBdr>
          <w:left w:val="single" w:sz="20" w:space="8" w:color="17A589"/>
        </w:pBdr>
        <w:shd w:val="clear" w:color="auto" w:fill="EAF7F4"/>
        <w:spacing w:before="40" w:after="40"/>
        <w:ind w:left="240"/>
        <w:rPr>
          <w:lang w:val="de-AT"/>
        </w:rPr>
      </w:pPr>
      <w:r>
        <w:rPr>
          <w:i/>
          <w:iCs/>
          <w:color w:val="0D4035"/>
          <w:sz w:val="20"/>
          <w:szCs w:val="20"/>
          <w:lang w:val="de-AT"/>
        </w:rPr>
        <w:t>Property-Based Testing: Zeitarithmetik mit CGTA-Werten ist formal verifizierbar — Invarianten wie Totalordnung und Assoziativität können maschinell geprüft werden</w:t>
      </w:r>
    </w:p>
    <w:p w14:paraId="63EE5DE7" w14:textId="77777777" w:rsidR="00D1028B" w:rsidRPr="00260DEC" w:rsidRDefault="00892948">
      <w:pPr>
        <w:pStyle w:val="berschrift2"/>
        <w:rPr>
          <w:lang w:val="de-AT"/>
        </w:rPr>
      </w:pPr>
      <w:bookmarkStart w:id="41" w:name="X4347346c10de1020ce5fb157a6ea04fde704203"/>
      <w:bookmarkStart w:id="42" w:name="_Toc226451898"/>
      <w:bookmarkEnd w:id="31"/>
      <w:bookmarkEnd w:id="39"/>
      <w:r>
        <w:rPr>
          <w:lang w:val="de-AT"/>
        </w:rPr>
        <w:lastRenderedPageBreak/>
        <w:t>4 Kalender-Interoperabilität: Das chronische Industrieproblem</w:t>
      </w:r>
      <w:bookmarkEnd w:id="42"/>
    </w:p>
    <w:p w14:paraId="63EE5DE8" w14:textId="77777777" w:rsidR="00D1028B" w:rsidRPr="00260DEC" w:rsidRDefault="00892948">
      <w:pPr>
        <w:pStyle w:val="berschrift3"/>
        <w:rPr>
          <w:lang w:val="de-AT"/>
        </w:rPr>
      </w:pPr>
      <w:bookmarkStart w:id="43" w:name="X363213b856b27ba1739004821f6d8c50bcceaa8"/>
      <w:bookmarkStart w:id="44" w:name="_Toc226451899"/>
      <w:r>
        <w:rPr>
          <w:lang w:val="de-AT"/>
        </w:rPr>
        <w:t>4.1 Der bestehende Standard und seine Grenzen</w:t>
      </w:r>
      <w:bookmarkEnd w:id="44"/>
    </w:p>
    <w:p w14:paraId="63EE5DE9" w14:textId="77777777" w:rsidR="00D1028B" w:rsidRPr="00260DEC" w:rsidRDefault="00892948">
      <w:pPr>
        <w:rPr>
          <w:lang w:val="de-AT"/>
        </w:rPr>
      </w:pPr>
      <w:r>
        <w:rPr>
          <w:lang w:val="de-AT"/>
        </w:rPr>
        <w:t>iCalendar (RFC 5545, 2009) ist der universell anerkannte Standard für Kalendereinträge. Dennoch ist die tägliche Realität: Meetings verschieben sich beim Import, Serientermine brechen, internationale Einladungen enthalten Zeitzonenfehler. Warum?</w:t>
      </w:r>
    </w:p>
    <w:p w14:paraId="63EE5DEA" w14:textId="77777777" w:rsidR="00D1028B" w:rsidRPr="00260DEC" w:rsidRDefault="00892948">
      <w:pPr>
        <w:rPr>
          <w:lang w:val="de-AT"/>
        </w:rPr>
      </w:pPr>
      <w:r>
        <w:rPr>
          <w:i/>
          <w:iCs/>
          <w:lang w:val="de-AT"/>
        </w:rPr>
        <w:t>RFC 5545 spezifiziert das Format, aber nicht die Semantik. Jeder Anbieter interpretiert den Standard nach eigenem Ermessen — besonders beim kritischsten Element: Zeitzonen.</w:t>
      </w:r>
    </w:p>
    <w:p w14:paraId="63EE5DEB" w14:textId="77777777" w:rsidR="00D1028B" w:rsidRPr="00260DEC" w:rsidRDefault="00892948">
      <w:pPr>
        <w:numPr>
          <w:ilvl w:val="0"/>
          <w:numId w:val="31"/>
        </w:numPr>
        <w:rPr>
          <w:lang w:val="de-AT"/>
        </w:rPr>
      </w:pPr>
      <w:r>
        <w:rPr>
          <w:lang w:val="de-AT"/>
        </w:rPr>
        <w:t>Zeitzonen in iCalendar: Drei konkurrierende Darstellungsmöglichkeiten im selben Standard</w:t>
      </w:r>
    </w:p>
    <w:p w14:paraId="63EE5DEC" w14:textId="77777777" w:rsidR="00D1028B" w:rsidRPr="00260DEC" w:rsidRDefault="00892948">
      <w:pPr>
        <w:numPr>
          <w:ilvl w:val="0"/>
          <w:numId w:val="31"/>
        </w:numPr>
        <w:rPr>
          <w:lang w:val="de-AT"/>
        </w:rPr>
      </w:pPr>
      <w:r>
        <w:rPr>
          <w:lang w:val="de-AT"/>
        </w:rPr>
        <w:t>Anbieterkonformität: Keine Pflicht zur vollständigen Implementierung</w:t>
      </w:r>
    </w:p>
    <w:p w14:paraId="63EE5DED" w14:textId="77777777" w:rsidR="00D1028B" w:rsidRPr="00260DEC" w:rsidRDefault="00892948">
      <w:pPr>
        <w:numPr>
          <w:ilvl w:val="0"/>
          <w:numId w:val="31"/>
        </w:numPr>
        <w:rPr>
          <w:lang w:val="de-AT"/>
        </w:rPr>
      </w:pPr>
      <w:r>
        <w:rPr>
          <w:lang w:val="de-AT"/>
        </w:rPr>
        <w:t>Fehlende Validierung: Ungültige .ics-Dateien werden oft still akzeptiert</w:t>
      </w:r>
    </w:p>
    <w:p w14:paraId="63EE5DEE" w14:textId="77777777" w:rsidR="00D1028B" w:rsidRPr="00260DEC" w:rsidRDefault="00892948">
      <w:pPr>
        <w:numPr>
          <w:ilvl w:val="0"/>
          <w:numId w:val="31"/>
        </w:numPr>
        <w:rPr>
          <w:lang w:val="de-AT"/>
        </w:rPr>
      </w:pPr>
      <w:r>
        <w:rPr>
          <w:lang w:val="de-AT"/>
        </w:rPr>
        <w:t>RFC 5545 ist seit 2009 nicht wesentlich aktualisiert worden — obwohl sich Zeitzonen, DST-Regeln und Kalenderanforderungen massiv verändert haben</w:t>
      </w:r>
    </w:p>
    <w:p w14:paraId="63EE5DEF"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ChronoGrid als semantische Erweiterungsebene zu RFC 5545 — nicht als Ersatz, sondern als normierter Zeitpunkt-Typ, den alle Kalender-Implementierungen als gemeinsame Referenz nutzen.</w:t>
      </w:r>
    </w:p>
    <w:p w14:paraId="63EE5DF0" w14:textId="77777777" w:rsidR="00D1028B" w:rsidRPr="00260DEC" w:rsidRDefault="00892948">
      <w:pPr>
        <w:numPr>
          <w:ilvl w:val="0"/>
          <w:numId w:val="32"/>
        </w:numPr>
        <w:pBdr>
          <w:left w:val="single" w:sz="20" w:space="8" w:color="17A589"/>
        </w:pBdr>
        <w:shd w:val="clear" w:color="auto" w:fill="EAF7F4"/>
        <w:spacing w:before="40" w:after="40"/>
        <w:ind w:left="240"/>
        <w:rPr>
          <w:lang w:val="de-AT"/>
        </w:rPr>
      </w:pPr>
      <w:r>
        <w:rPr>
          <w:i/>
          <w:iCs/>
          <w:color w:val="0D4035"/>
          <w:sz w:val="20"/>
          <w:szCs w:val="20"/>
          <w:lang w:val="de-AT"/>
        </w:rPr>
        <w:t>Ein neues iCalendar-Property X-CGTA (oder zukünftig normativ in RFC 5545bis) trägt den absoluten CGTA-Wert parallel zur zonenrelativen DTSTART — Empfänger können die Darstellung deterministisch ableiten, unabhängig von Zeitzonendatenbankversion</w:t>
      </w:r>
    </w:p>
    <w:p w14:paraId="63EE5DF1" w14:textId="77777777" w:rsidR="00D1028B" w:rsidRPr="00260DEC" w:rsidRDefault="00892948">
      <w:pPr>
        <w:numPr>
          <w:ilvl w:val="0"/>
          <w:numId w:val="32"/>
        </w:numPr>
        <w:pBdr>
          <w:left w:val="single" w:sz="20" w:space="8" w:color="17A589"/>
        </w:pBdr>
        <w:shd w:val="clear" w:color="auto" w:fill="EAF7F4"/>
        <w:spacing w:before="40" w:after="40"/>
        <w:ind w:left="240"/>
        <w:rPr>
          <w:lang w:val="de-AT"/>
        </w:rPr>
      </w:pPr>
      <w:r>
        <w:rPr>
          <w:i/>
          <w:iCs/>
          <w:color w:val="0D4035"/>
          <w:sz w:val="20"/>
          <w:szCs w:val="20"/>
          <w:lang w:val="de-AT"/>
        </w:rPr>
        <w:t>Serienregeln (RRULE): CGTA als kanonische Grundlage macht EXDATE-Ausnahmen und DST-Übergänge formal eindeutig — Anbieter-spezifische Interpretationsunterschiede werden strukturell ausgeschlossen</w:t>
      </w:r>
    </w:p>
    <w:p w14:paraId="63EE5DF2" w14:textId="77777777" w:rsidR="00D1028B" w:rsidRPr="00260DEC" w:rsidRDefault="00892948">
      <w:pPr>
        <w:numPr>
          <w:ilvl w:val="0"/>
          <w:numId w:val="32"/>
        </w:numPr>
        <w:pBdr>
          <w:left w:val="single" w:sz="20" w:space="8" w:color="17A589"/>
        </w:pBdr>
        <w:shd w:val="clear" w:color="auto" w:fill="EAF7F4"/>
        <w:spacing w:before="40" w:after="40"/>
        <w:ind w:left="240"/>
        <w:rPr>
          <w:lang w:val="de-AT"/>
        </w:rPr>
      </w:pPr>
      <w:r>
        <w:rPr>
          <w:i/>
          <w:iCs/>
          <w:color w:val="0D4035"/>
          <w:sz w:val="20"/>
          <w:szCs w:val="20"/>
          <w:lang w:val="de-AT"/>
        </w:rPr>
        <w:t>Rückwärtskompatibilität: Bestehende .ics-Dateien bleiben gültig; CGTA-fähige Clients ignorieren X-CGTA-Properties nicht — progressiver Rollout ohne Migrationsaufwand</w:t>
      </w:r>
    </w:p>
    <w:p w14:paraId="63EE5DF3" w14:textId="77777777" w:rsidR="00D1028B" w:rsidRPr="00260DEC" w:rsidRDefault="00892948">
      <w:pPr>
        <w:pStyle w:val="berschrift3"/>
        <w:rPr>
          <w:lang w:val="de-AT"/>
        </w:rPr>
      </w:pPr>
      <w:bookmarkStart w:id="45" w:name="X91900807082f6c39c9c6c1d003ad51ee101fe4a"/>
      <w:bookmarkStart w:id="46" w:name="_Toc226451900"/>
      <w:bookmarkEnd w:id="43"/>
      <w:r>
        <w:rPr>
          <w:lang w:val="de-AT"/>
        </w:rPr>
        <w:t>4.2 Konkrete Inkompatibilitäten zwischen den großen Anbietern</w:t>
      </w:r>
      <w:bookmarkEnd w:id="46"/>
    </w:p>
    <w:p w14:paraId="63EE5DF4" w14:textId="77777777" w:rsidR="00D1028B" w:rsidRDefault="00892948">
      <w:pPr>
        <w:pStyle w:val="berschrift4"/>
      </w:pPr>
      <w:bookmarkStart w:id="47" w:name="microsoft-outlook-exchange"/>
      <w:r>
        <w:t>4.2.1 Microsoft Outlook / Exchange</w:t>
      </w:r>
    </w:p>
    <w:p w14:paraId="63EE5DF5" w14:textId="77777777" w:rsidR="00D1028B" w:rsidRDefault="00892948">
      <w:pPr>
        <w:numPr>
          <w:ilvl w:val="0"/>
          <w:numId w:val="33"/>
        </w:numPr>
      </w:pPr>
      <w:r>
        <w:t>Nutzt primär Exchange Web Services (EWS) und MAPI-Protokoll, nicht CalDAV</w:t>
      </w:r>
    </w:p>
    <w:p w14:paraId="63EE5DF6" w14:textId="77777777" w:rsidR="00D1028B" w:rsidRDefault="00892948">
      <w:pPr>
        <w:numPr>
          <w:ilvl w:val="0"/>
          <w:numId w:val="33"/>
        </w:numPr>
      </w:pPr>
      <w:r>
        <w:t>Zeitzonen als Windows-Timezone-IDs (z. B. „W. Europe Standard Time”) statt IANA-Namen („Europe/Vienna”)</w:t>
      </w:r>
    </w:p>
    <w:p w14:paraId="63EE5DF7" w14:textId="77777777" w:rsidR="00D1028B" w:rsidRPr="00260DEC" w:rsidRDefault="00892948">
      <w:pPr>
        <w:numPr>
          <w:ilvl w:val="0"/>
          <w:numId w:val="33"/>
        </w:numPr>
        <w:rPr>
          <w:lang w:val="de-AT"/>
        </w:rPr>
      </w:pPr>
      <w:r>
        <w:rPr>
          <w:lang w:val="de-AT"/>
        </w:rPr>
        <w:t>Mapping zwischen Windows- und IANA-IDs ist unvollständig und fehlerhaft</w:t>
      </w:r>
    </w:p>
    <w:p w14:paraId="63EE5DF8" w14:textId="77777777" w:rsidR="00D1028B" w:rsidRPr="00260DEC" w:rsidRDefault="00892948">
      <w:pPr>
        <w:numPr>
          <w:ilvl w:val="0"/>
          <w:numId w:val="33"/>
        </w:numPr>
        <w:rPr>
          <w:lang w:val="de-AT"/>
        </w:rPr>
      </w:pPr>
      <w:r>
        <w:rPr>
          <w:lang w:val="de-AT"/>
        </w:rPr>
        <w:t>Serientermine mit EXDATE (Ausnahmedaten) werden oft falsch importiert</w:t>
      </w:r>
    </w:p>
    <w:p w14:paraId="63EE5DF9" w14:textId="77777777" w:rsidR="00D1028B" w:rsidRPr="00260DEC" w:rsidRDefault="00892948">
      <w:pPr>
        <w:numPr>
          <w:ilvl w:val="0"/>
          <w:numId w:val="33"/>
        </w:numPr>
        <w:rPr>
          <w:lang w:val="de-AT"/>
        </w:rPr>
      </w:pPr>
      <w:r>
        <w:rPr>
          <w:lang w:val="de-AT"/>
        </w:rPr>
        <w:t>Outlook für Mac und Outlook für Windows verhalten sich unterschiedlich</w:t>
      </w:r>
    </w:p>
    <w:p w14:paraId="63EE5DFA"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zusätzliches EWS-Property würde Windows-Timezone-IDs als einzige Zeitreferenz ablösen.</w:t>
      </w:r>
    </w:p>
    <w:p w14:paraId="63EE5DFB" w14:textId="77777777" w:rsidR="00D1028B" w:rsidRPr="00260DEC" w:rsidRDefault="00892948">
      <w:pPr>
        <w:numPr>
          <w:ilvl w:val="0"/>
          <w:numId w:val="34"/>
        </w:numPr>
        <w:pBdr>
          <w:left w:val="single" w:sz="20" w:space="8" w:color="17A589"/>
        </w:pBdr>
        <w:shd w:val="clear" w:color="auto" w:fill="EAF7F4"/>
        <w:spacing w:before="40" w:after="40"/>
        <w:ind w:left="240"/>
        <w:rPr>
          <w:lang w:val="de-AT"/>
        </w:rPr>
      </w:pPr>
      <w:r>
        <w:rPr>
          <w:i/>
          <w:iCs/>
          <w:color w:val="0D4035"/>
          <w:sz w:val="20"/>
          <w:szCs w:val="20"/>
          <w:lang w:val="de-AT"/>
        </w:rPr>
        <w:t>cgta:DateTimeStamp in Exchange-Terminen: Outlook konvertiert IANA-Namen deterministisch aus dem CGTA-Wert — kein fehleranfälliges Windows-zu-IANA-Mapping mehr notwendig</w:t>
      </w:r>
    </w:p>
    <w:p w14:paraId="63EE5DFC" w14:textId="77777777" w:rsidR="00D1028B" w:rsidRPr="00260DEC" w:rsidRDefault="00892948">
      <w:pPr>
        <w:numPr>
          <w:ilvl w:val="0"/>
          <w:numId w:val="34"/>
        </w:numPr>
        <w:pBdr>
          <w:left w:val="single" w:sz="20" w:space="8" w:color="17A589"/>
        </w:pBdr>
        <w:shd w:val="clear" w:color="auto" w:fill="EAF7F4"/>
        <w:spacing w:before="40" w:after="40"/>
        <w:ind w:left="240"/>
        <w:rPr>
          <w:lang w:val="de-AT"/>
        </w:rPr>
      </w:pPr>
      <w:r>
        <w:rPr>
          <w:i/>
          <w:iCs/>
          <w:color w:val="0D4035"/>
          <w:sz w:val="20"/>
          <w:szCs w:val="20"/>
          <w:lang w:val="de-AT"/>
        </w:rPr>
        <w:t>Serientermine mit EXDATE: CGTA-Ausnahmedaten sind zeitzonenunabhängig eindeutig — Import-Fehler bei anbieterübergreifendem Austausch entfallen</w:t>
      </w:r>
    </w:p>
    <w:p w14:paraId="63EE5DFD" w14:textId="77777777" w:rsidR="00D1028B" w:rsidRDefault="00892948">
      <w:pPr>
        <w:pStyle w:val="berschrift4"/>
      </w:pPr>
      <w:bookmarkStart w:id="48" w:name="google-calendar"/>
      <w:bookmarkEnd w:id="47"/>
      <w:r>
        <w:lastRenderedPageBreak/>
        <w:t>4.2.2 Google Calendar</w:t>
      </w:r>
    </w:p>
    <w:p w14:paraId="63EE5DFE" w14:textId="77777777" w:rsidR="00D1028B" w:rsidRPr="00260DEC" w:rsidRDefault="00892948">
      <w:pPr>
        <w:numPr>
          <w:ilvl w:val="0"/>
          <w:numId w:val="35"/>
        </w:numPr>
        <w:rPr>
          <w:lang w:val="de-AT"/>
        </w:rPr>
      </w:pPr>
      <w:r>
        <w:rPr>
          <w:lang w:val="de-AT"/>
        </w:rPr>
        <w:t>Nutzt CalDAV und eigene Google Calendar API (JSON-basiert)</w:t>
      </w:r>
    </w:p>
    <w:p w14:paraId="63EE5DFF" w14:textId="77777777" w:rsidR="00D1028B" w:rsidRPr="00260DEC" w:rsidRDefault="00892948">
      <w:pPr>
        <w:numPr>
          <w:ilvl w:val="0"/>
          <w:numId w:val="35"/>
        </w:numPr>
        <w:rPr>
          <w:lang w:val="de-AT"/>
        </w:rPr>
      </w:pPr>
      <w:r>
        <w:rPr>
          <w:lang w:val="de-AT"/>
        </w:rPr>
        <w:t>Zeitangaben in der API: RFC 3339 + IANA-Timezone-Name, aber inkonsistent mit iCalendar-Export</w:t>
      </w:r>
    </w:p>
    <w:p w14:paraId="63EE5E00" w14:textId="77777777" w:rsidR="00D1028B" w:rsidRPr="00260DEC" w:rsidRDefault="00892948">
      <w:pPr>
        <w:numPr>
          <w:ilvl w:val="0"/>
          <w:numId w:val="35"/>
        </w:numPr>
        <w:rPr>
          <w:lang w:val="de-AT"/>
        </w:rPr>
      </w:pPr>
      <w:r>
        <w:rPr>
          <w:lang w:val="de-AT"/>
        </w:rPr>
        <w:t>RRULE-Interpretation (Wiederholungsregeln) weicht von RFC 5545 ab</w:t>
      </w:r>
    </w:p>
    <w:p w14:paraId="63EE5E01" w14:textId="77777777" w:rsidR="00D1028B" w:rsidRPr="00260DEC" w:rsidRDefault="00892948">
      <w:pPr>
        <w:numPr>
          <w:ilvl w:val="0"/>
          <w:numId w:val="35"/>
        </w:numPr>
        <w:rPr>
          <w:lang w:val="de-AT"/>
        </w:rPr>
      </w:pPr>
      <w:r>
        <w:rPr>
          <w:lang w:val="de-AT"/>
        </w:rPr>
        <w:t>Beim .ics-Export werden manche Zeitzonendefinitionen weggelassen („X-WR-TIMEZONE” statt VTIMEZONE-Block)</w:t>
      </w:r>
    </w:p>
    <w:p w14:paraId="63EE5E02" w14:textId="77777777" w:rsidR="00D1028B" w:rsidRPr="00260DEC" w:rsidRDefault="00892948">
      <w:pPr>
        <w:numPr>
          <w:ilvl w:val="0"/>
          <w:numId w:val="35"/>
        </w:numPr>
        <w:rPr>
          <w:lang w:val="de-AT"/>
        </w:rPr>
      </w:pPr>
      <w:r>
        <w:rPr>
          <w:lang w:val="de-AT"/>
        </w:rPr>
        <w:t>Free/Busy-Informationen für externe Kalender sind eingeschränkt abrufbar</w:t>
      </w:r>
    </w:p>
    <w:p w14:paraId="63EE5E03"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zusätzliches Feld in der Google Calendar API würde RFC 3339 als alleinige Zeitreferenz durch einen systemunabhängigen absoluten Zeitpunkt ergänzen.</w:t>
      </w:r>
    </w:p>
    <w:p w14:paraId="63EE5E04" w14:textId="77777777" w:rsidR="00D1028B" w:rsidRPr="00260DEC" w:rsidRDefault="00892948">
      <w:pPr>
        <w:numPr>
          <w:ilvl w:val="0"/>
          <w:numId w:val="36"/>
        </w:numPr>
        <w:pBdr>
          <w:left w:val="single" w:sz="20" w:space="8" w:color="17A589"/>
        </w:pBdr>
        <w:shd w:val="clear" w:color="auto" w:fill="EAF7F4"/>
        <w:spacing w:before="40" w:after="40"/>
        <w:ind w:left="240"/>
        <w:rPr>
          <w:lang w:val="de-AT"/>
        </w:rPr>
      </w:pPr>
      <w:r>
        <w:rPr>
          <w:i/>
          <w:iCs/>
          <w:color w:val="0D4035"/>
          <w:sz w:val="20"/>
          <w:szCs w:val="20"/>
          <w:lang w:val="de-AT"/>
        </w:rPr>
        <w:t>Google Calendar API v4+: cgta als optionales Zusatzfeld in Event-Objekten — Drittanbieter-Clients können Zeitstempel ohne Timezone-Inferenz direkt verarbeiten</w:t>
      </w:r>
    </w:p>
    <w:p w14:paraId="63EE5E05" w14:textId="77777777" w:rsidR="00D1028B" w:rsidRPr="00260DEC" w:rsidRDefault="00892948">
      <w:pPr>
        <w:numPr>
          <w:ilvl w:val="0"/>
          <w:numId w:val="36"/>
        </w:numPr>
        <w:pBdr>
          <w:left w:val="single" w:sz="20" w:space="8" w:color="17A589"/>
        </w:pBdr>
        <w:shd w:val="clear" w:color="auto" w:fill="EAF7F4"/>
        <w:spacing w:before="40" w:after="40"/>
        <w:ind w:left="240"/>
        <w:rPr>
          <w:lang w:val="de-AT"/>
        </w:rPr>
      </w:pPr>
      <w:r>
        <w:rPr>
          <w:i/>
          <w:iCs/>
          <w:color w:val="0D4035"/>
          <w:sz w:val="20"/>
          <w:szCs w:val="20"/>
          <w:lang w:val="de-AT"/>
        </w:rPr>
        <w:t>RRULE-Disambiguierung: CGTA-basierte Serienregeln eliminieren Google-spezifische Abweichungen von RFC 5545 — interoperabler Export zu Outlook und Apple Calendar</w:t>
      </w:r>
    </w:p>
    <w:p w14:paraId="63EE5E06" w14:textId="77777777" w:rsidR="00D1028B" w:rsidRDefault="00892948">
      <w:pPr>
        <w:pStyle w:val="berschrift4"/>
      </w:pPr>
      <w:bookmarkStart w:id="49" w:name="apple-calendar-icloud"/>
      <w:bookmarkEnd w:id="48"/>
      <w:r>
        <w:t>4.2.3 Apple Calendar / iCloud</w:t>
      </w:r>
    </w:p>
    <w:p w14:paraId="63EE5E07" w14:textId="77777777" w:rsidR="00D1028B" w:rsidRPr="00260DEC" w:rsidRDefault="00892948">
      <w:pPr>
        <w:numPr>
          <w:ilvl w:val="0"/>
          <w:numId w:val="37"/>
        </w:numPr>
        <w:rPr>
          <w:lang w:val="de-AT"/>
        </w:rPr>
      </w:pPr>
      <w:r>
        <w:rPr>
          <w:lang w:val="de-AT"/>
        </w:rPr>
        <w:t>CalDAV-Implementierung mit Apple-spezifischen Erweiterungen</w:t>
      </w:r>
    </w:p>
    <w:p w14:paraId="63EE5E08" w14:textId="77777777" w:rsidR="00D1028B" w:rsidRPr="00260DEC" w:rsidRDefault="00892948">
      <w:pPr>
        <w:numPr>
          <w:ilvl w:val="0"/>
          <w:numId w:val="37"/>
        </w:numPr>
        <w:rPr>
          <w:lang w:val="de-AT"/>
        </w:rPr>
      </w:pPr>
      <w:r>
        <w:rPr>
          <w:lang w:val="de-AT"/>
        </w:rPr>
        <w:t>VTIMEZONE-Blöcke werden teilweise nicht übertragen</w:t>
      </w:r>
    </w:p>
    <w:p w14:paraId="63EE5E09" w14:textId="77777777" w:rsidR="00D1028B" w:rsidRPr="00260DEC" w:rsidRDefault="00892948">
      <w:pPr>
        <w:numPr>
          <w:ilvl w:val="0"/>
          <w:numId w:val="37"/>
        </w:numPr>
        <w:rPr>
          <w:lang w:val="de-AT"/>
        </w:rPr>
      </w:pPr>
      <w:r>
        <w:rPr>
          <w:lang w:val="de-AT"/>
        </w:rPr>
        <w:t>Einladungen zwischen iCloud und Exchange haben bekannte DST-Fehler</w:t>
      </w:r>
    </w:p>
    <w:p w14:paraId="63EE5E0A" w14:textId="77777777" w:rsidR="00D1028B" w:rsidRPr="00260DEC" w:rsidRDefault="00892948">
      <w:pPr>
        <w:numPr>
          <w:ilvl w:val="0"/>
          <w:numId w:val="37"/>
        </w:numPr>
        <w:rPr>
          <w:lang w:val="de-AT"/>
        </w:rPr>
      </w:pPr>
      <w:r>
        <w:rPr>
          <w:lang w:val="de-AT"/>
        </w:rPr>
        <w:t>Erinnerungen (VALARM) werden nicht vollständig zwischen Plattformen synchronisiert</w:t>
      </w:r>
    </w:p>
    <w:p w14:paraId="63EE5E0B"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optionaler VTIMEZONE-Ersatz in iCloud CalDAV würde die fehlenden VTIMEZONE-Blöcke strukturell überflüssig machen.</w:t>
      </w:r>
    </w:p>
    <w:p w14:paraId="63EE5E0C" w14:textId="77777777" w:rsidR="00D1028B" w:rsidRPr="00260DEC" w:rsidRDefault="00892948">
      <w:pPr>
        <w:numPr>
          <w:ilvl w:val="0"/>
          <w:numId w:val="38"/>
        </w:numPr>
        <w:pBdr>
          <w:left w:val="single" w:sz="20" w:space="8" w:color="17A589"/>
        </w:pBdr>
        <w:shd w:val="clear" w:color="auto" w:fill="EAF7F4"/>
        <w:spacing w:before="40" w:after="40"/>
        <w:ind w:left="240"/>
        <w:rPr>
          <w:lang w:val="de-AT"/>
        </w:rPr>
      </w:pPr>
      <w:r>
        <w:rPr>
          <w:i/>
          <w:iCs/>
          <w:color w:val="0D4035"/>
          <w:sz w:val="20"/>
          <w:szCs w:val="20"/>
          <w:lang w:val="de-AT"/>
        </w:rPr>
        <w:t>Wenn CGTA den absoluten Zeitpunkt trägt, ist VTIMEZONE nur noch für die Display-Darstellung relevant — fehlende Blöcke führen nicht mehr zu falschen Termin-Zeiten</w:t>
      </w:r>
    </w:p>
    <w:p w14:paraId="63EE5E0D" w14:textId="77777777" w:rsidR="00D1028B" w:rsidRPr="00260DEC" w:rsidRDefault="00892948">
      <w:pPr>
        <w:numPr>
          <w:ilvl w:val="0"/>
          <w:numId w:val="38"/>
        </w:numPr>
        <w:pBdr>
          <w:left w:val="single" w:sz="20" w:space="8" w:color="17A589"/>
        </w:pBdr>
        <w:shd w:val="clear" w:color="auto" w:fill="EAF7F4"/>
        <w:spacing w:before="40" w:after="40"/>
        <w:ind w:left="240"/>
        <w:rPr>
          <w:lang w:val="de-AT"/>
        </w:rPr>
      </w:pPr>
      <w:r>
        <w:rPr>
          <w:i/>
          <w:iCs/>
          <w:color w:val="0D4035"/>
          <w:sz w:val="20"/>
          <w:szCs w:val="20"/>
          <w:lang w:val="de-AT"/>
        </w:rPr>
        <w:t>iCloud-zu-Exchange-DST-Fehler: CGTA-Werte sind DST-agnostisch — der häufigste iCloud/Exchange-Inkompatibilitätsfall entfällt</w:t>
      </w:r>
    </w:p>
    <w:p w14:paraId="63EE5E0E" w14:textId="77777777" w:rsidR="00D1028B" w:rsidRPr="00260DEC" w:rsidRDefault="00892948">
      <w:pPr>
        <w:numPr>
          <w:ilvl w:val="0"/>
          <w:numId w:val="38"/>
        </w:numPr>
        <w:pBdr>
          <w:left w:val="single" w:sz="20" w:space="8" w:color="17A589"/>
        </w:pBdr>
        <w:shd w:val="clear" w:color="auto" w:fill="EAF7F4"/>
        <w:spacing w:before="40" w:after="40"/>
        <w:ind w:left="240"/>
        <w:rPr>
          <w:lang w:val="de-AT"/>
        </w:rPr>
      </w:pPr>
      <w:r>
        <w:rPr>
          <w:i/>
          <w:iCs/>
          <w:color w:val="0D4035"/>
          <w:sz w:val="20"/>
          <w:szCs w:val="20"/>
          <w:lang w:val="de-AT"/>
        </w:rPr>
        <w:t>VALARM-Synchronisation: Erinnerungszeitpunkte als CGTA-Offsets relativ zum Termin-CGTA sind plattformübergreifend eindeutig</w:t>
      </w:r>
    </w:p>
    <w:p w14:paraId="63EE5E0F" w14:textId="77777777" w:rsidR="00D1028B" w:rsidRPr="00260DEC" w:rsidRDefault="00892948">
      <w:pPr>
        <w:pStyle w:val="berschrift3"/>
        <w:rPr>
          <w:lang w:val="de-AT"/>
        </w:rPr>
      </w:pPr>
      <w:bookmarkStart w:id="50" w:name="chronogrid-als-kanonische-brücke"/>
      <w:bookmarkStart w:id="51" w:name="_Toc226451901"/>
      <w:bookmarkEnd w:id="45"/>
      <w:bookmarkEnd w:id="49"/>
      <w:r>
        <w:rPr>
          <w:lang w:val="de-AT"/>
        </w:rPr>
        <w:t>4.3 ChronoGrid als kanonische Brücke</w:t>
      </w:r>
      <w:bookmarkEnd w:id="51"/>
    </w:p>
    <w:p w14:paraId="63EE5E10"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 positioniert sich nicht als Ersatz für iCalendar, sondern als semantische Grundlage, auf die alle Anbieter bei der Konvertierung referenzieren. Das Prinzip:</w:t>
      </w:r>
    </w:p>
    <w:p w14:paraId="63EE5E11" w14:textId="77777777" w:rsidR="00D1028B" w:rsidRPr="00260DEC" w:rsidRDefault="00892948">
      <w:pPr>
        <w:rPr>
          <w:lang w:val="de-AT"/>
        </w:rPr>
      </w:pPr>
      <w:r>
        <w:rPr>
          <w:i/>
          <w:iCs/>
          <w:lang w:val="de-AT"/>
        </w:rPr>
        <w:t>Outlook-Format → ChronoGrid-Zeitdarstellung → Google Calendar-Format Statt direkter Anbieter-zu-Anbieter-Konvertierung (n² Mappings) entsteht ein Sternmodell mit ChronoGrid im Zentrum (n Mappings).</w:t>
      </w:r>
    </w:p>
    <w:p w14:paraId="63EE5E12" w14:textId="77777777" w:rsidR="00D1028B" w:rsidRPr="00260DEC" w:rsidRDefault="00892948">
      <w:pPr>
        <w:numPr>
          <w:ilvl w:val="0"/>
          <w:numId w:val="39"/>
        </w:numPr>
        <w:rPr>
          <w:lang w:val="de-AT"/>
        </w:rPr>
      </w:pPr>
      <w:r>
        <w:rPr>
          <w:lang w:val="de-AT"/>
        </w:rPr>
        <w:t>Eindeutige Zeitzonensemantik: ChronoGrid definiert Zeitpunkte absolut, nicht relativ zu einer Zeitzonendefinition</w:t>
      </w:r>
    </w:p>
    <w:p w14:paraId="63EE5E13" w14:textId="77777777" w:rsidR="00D1028B" w:rsidRPr="00260DEC" w:rsidRDefault="00892948">
      <w:pPr>
        <w:numPr>
          <w:ilvl w:val="0"/>
          <w:numId w:val="39"/>
        </w:numPr>
        <w:rPr>
          <w:lang w:val="de-AT"/>
        </w:rPr>
      </w:pPr>
      <w:r>
        <w:rPr>
          <w:lang w:val="de-AT"/>
        </w:rPr>
        <w:t>DST-Handling: ChronoGrid-Zeitpunkte sind DST-agnostisch — Konvertierung in Lokalzeit erfolgt bei der Darstellung, nicht bei der Speicherung</w:t>
      </w:r>
    </w:p>
    <w:p w14:paraId="63EE5E14" w14:textId="77777777" w:rsidR="00D1028B" w:rsidRPr="00260DEC" w:rsidRDefault="00892948">
      <w:pPr>
        <w:numPr>
          <w:ilvl w:val="0"/>
          <w:numId w:val="39"/>
        </w:numPr>
        <w:rPr>
          <w:lang w:val="de-AT"/>
        </w:rPr>
      </w:pPr>
      <w:r>
        <w:rPr>
          <w:lang w:val="de-AT"/>
        </w:rPr>
        <w:lastRenderedPageBreak/>
        <w:t>Serientermin-Stabilität: RRULE-Ausnahmen werden gegen ChronoGrid-Referenzpunkte aufgelöst</w:t>
      </w:r>
    </w:p>
    <w:p w14:paraId="63EE5E15" w14:textId="77777777" w:rsidR="00D1028B" w:rsidRPr="00260DEC" w:rsidRDefault="00892948">
      <w:pPr>
        <w:numPr>
          <w:ilvl w:val="0"/>
          <w:numId w:val="39"/>
        </w:numPr>
        <w:rPr>
          <w:lang w:val="de-AT"/>
        </w:rPr>
      </w:pPr>
      <w:r>
        <w:rPr>
          <w:lang w:val="de-AT"/>
        </w:rPr>
        <w:t>Erweiterbarkeit: Neue Kalenderfeatures (Zeitzonenverschiebungen, politische Kalenderänderungen) werden einmalig in ChronoGrid abgebildet</w:t>
      </w:r>
    </w:p>
    <w:p w14:paraId="63EE5E16" w14:textId="77777777" w:rsidR="00D1028B" w:rsidRDefault="00892948">
      <w:pPr>
        <w:pStyle w:val="berschrift3"/>
      </w:pPr>
      <w:bookmarkStart w:id="52" w:name="X528e937c330865aa2db29daf6d99c0806a64f68"/>
      <w:bookmarkStart w:id="53" w:name="_Toc226451902"/>
      <w:bookmarkEnd w:id="50"/>
      <w:r>
        <w:t>4.4 Breiteres Ökosystem: Weitere Kalender-Tools</w:t>
      </w:r>
      <w:bookmarkEnd w:id="53"/>
    </w:p>
    <w:p w14:paraId="63EE5E17" w14:textId="77777777" w:rsidR="00D1028B" w:rsidRDefault="00892948">
      <w:pPr>
        <w:numPr>
          <w:ilvl w:val="0"/>
          <w:numId w:val="40"/>
        </w:numPr>
      </w:pPr>
      <w:r>
        <w:t>Calendly, Doodle, When2meet: Terminplanung-Tools mit jeweils eigener Zeitzonenlogik</w:t>
      </w:r>
    </w:p>
    <w:p w14:paraId="63EE5E18" w14:textId="77777777" w:rsidR="00D1028B" w:rsidRPr="00260DEC" w:rsidRDefault="00892948">
      <w:pPr>
        <w:numPr>
          <w:ilvl w:val="0"/>
          <w:numId w:val="40"/>
        </w:numPr>
        <w:rPr>
          <w:lang w:val="de-AT"/>
        </w:rPr>
      </w:pPr>
      <w:r>
        <w:rPr>
          <w:lang w:val="de-AT"/>
        </w:rPr>
        <w:t>Zoom, Teams, Webex: Meeting-Links mit eingebetteten Zeitangaben — DST-Fehler bei internationalen Teilnehmern bekannt</w:t>
      </w:r>
    </w:p>
    <w:p w14:paraId="63EE5E19" w14:textId="77777777" w:rsidR="00D1028B" w:rsidRPr="00260DEC" w:rsidRDefault="00892948">
      <w:pPr>
        <w:numPr>
          <w:ilvl w:val="0"/>
          <w:numId w:val="40"/>
        </w:numPr>
        <w:rPr>
          <w:lang w:val="de-AT"/>
        </w:rPr>
      </w:pPr>
      <w:r>
        <w:rPr>
          <w:lang w:val="de-AT"/>
        </w:rPr>
        <w:t>ERP-Systeme (SAP, Oracle): Produktionskalender und Schichtplanung mit komplexen Zeitzonenregeln</w:t>
      </w:r>
    </w:p>
    <w:p w14:paraId="63EE5E1A" w14:textId="77777777" w:rsidR="00D1028B" w:rsidRPr="00260DEC" w:rsidRDefault="00892948">
      <w:pPr>
        <w:numPr>
          <w:ilvl w:val="0"/>
          <w:numId w:val="40"/>
        </w:numPr>
        <w:rPr>
          <w:lang w:val="de-AT"/>
        </w:rPr>
      </w:pPr>
      <w:r>
        <w:rPr>
          <w:lang w:val="de-AT"/>
        </w:rPr>
        <w:t>Airline- und Bahnsysteme: IATA-Zeitangaben für Abflug/Ankunft sind seit Jahrzehnten ein bekanntes Interoperabilitätsproblem</w:t>
      </w:r>
    </w:p>
    <w:p w14:paraId="63EE5E1B" w14:textId="77777777" w:rsidR="00D1028B" w:rsidRPr="00260DEC" w:rsidRDefault="00892948">
      <w:pPr>
        <w:numPr>
          <w:ilvl w:val="0"/>
          <w:numId w:val="40"/>
        </w:numPr>
        <w:rPr>
          <w:lang w:val="de-AT"/>
        </w:rPr>
      </w:pPr>
      <w:r>
        <w:rPr>
          <w:lang w:val="de-AT"/>
        </w:rPr>
        <w:t>Medizinische Systeme (HL7 FHIR): Zeitstempel in Patientendaten — Missverständnisse können sicherheitskritisch sein</w:t>
      </w:r>
    </w:p>
    <w:p w14:paraId="63EE5E1C" w14:textId="77777777" w:rsidR="00D1028B" w:rsidRPr="00260DEC" w:rsidRDefault="00892948">
      <w:pPr>
        <w:pStyle w:val="berschrift1"/>
        <w:rPr>
          <w:lang w:val="de-AT"/>
        </w:rPr>
      </w:pPr>
      <w:bookmarkStart w:id="54" w:name="X806cee726d03fdc25a1dc7b8812f236547dc8d8"/>
      <w:bookmarkStart w:id="55" w:name="_Toc226451903"/>
      <w:bookmarkEnd w:id="17"/>
      <w:bookmarkEnd w:id="41"/>
      <w:bookmarkEnd w:id="52"/>
      <w:r>
        <w:rPr>
          <w:lang w:val="de-AT"/>
        </w:rPr>
        <w:t>Teil III: Mathematische Zeitarithmetik und wissenschaftliche Rechenprogramme</w:t>
      </w:r>
      <w:bookmarkEnd w:id="55"/>
    </w:p>
    <w:p w14:paraId="63EE5E1D" w14:textId="77777777" w:rsidR="00D1028B" w:rsidRPr="00260DEC" w:rsidRDefault="00892948">
      <w:pPr>
        <w:pStyle w:val="berschrift2"/>
        <w:rPr>
          <w:lang w:val="de-AT"/>
        </w:rPr>
      </w:pPr>
      <w:bookmarkStart w:id="56" w:name="X9b89e7e110cae9f98c63f98f88501f745ca8dff"/>
      <w:bookmarkStart w:id="57" w:name="_Toc226451904"/>
      <w:r>
        <w:rPr>
          <w:lang w:val="de-AT"/>
        </w:rPr>
        <w:t>5 Mathematische Grundlagen der Zeitarithmetik</w:t>
      </w:r>
      <w:bookmarkEnd w:id="57"/>
    </w:p>
    <w:p w14:paraId="63EE5E1E" w14:textId="77777777" w:rsidR="00D1028B" w:rsidRPr="00260DEC" w:rsidRDefault="00892948">
      <w:pPr>
        <w:rPr>
          <w:lang w:val="de-AT"/>
        </w:rPr>
      </w:pPr>
      <w:r>
        <w:rPr>
          <w:lang w:val="de-AT"/>
        </w:rPr>
        <w:t>Zeit ist eine der ältesten mathematischen Abstraktionen — und dennoch fehlt bis heute eine axiomatisch saubere, universell implementierte und interoperabel eingesetzte Definition von Zeitarithmetik in der angewandten Mathematik und Informatik. ChronoGrid bietet die Grundlage, diesen Missstand strukturell zu beheben.</w:t>
      </w:r>
    </w:p>
    <w:p w14:paraId="63EE5E1F" w14:textId="77777777" w:rsidR="00D1028B" w:rsidRPr="00260DEC" w:rsidRDefault="00892948">
      <w:pPr>
        <w:pStyle w:val="berschrift3"/>
        <w:rPr>
          <w:lang w:val="de-AT"/>
        </w:rPr>
      </w:pPr>
      <w:bookmarkStart w:id="58" w:name="das-problem-zeitarithmetik-ohne-axiome"/>
      <w:bookmarkStart w:id="59" w:name="_Toc226451905"/>
      <w:r>
        <w:rPr>
          <w:lang w:val="de-AT"/>
        </w:rPr>
        <w:t>5.1 Das Problem: Zeitarithmetik ohne Axiome</w:t>
      </w:r>
      <w:bookmarkEnd w:id="59"/>
    </w:p>
    <w:p w14:paraId="63EE5E20" w14:textId="77777777" w:rsidR="00D1028B" w:rsidRPr="00260DEC" w:rsidRDefault="00892948">
      <w:pPr>
        <w:rPr>
          <w:lang w:val="de-AT"/>
        </w:rPr>
      </w:pPr>
      <w:r>
        <w:rPr>
          <w:lang w:val="de-AT"/>
        </w:rPr>
        <w:t>Die scheinbar einfache Frage „Wie viele Tage liegen zwischen dem 28. März und dem 31. Oktober?” hat in verschiedenen Systemen verschiedene Antworten — abhängig davon, ob DST-Übergänge, Schaltsekunden oder unterschiedliche Kalenderregeln berücksichtigt werden.</w:t>
      </w:r>
    </w:p>
    <w:p w14:paraId="63EE5E21" w14:textId="77777777" w:rsidR="00D1028B" w:rsidRDefault="00892948">
      <w:r>
        <w:rPr>
          <w:i/>
          <w:iCs/>
          <w:lang w:val="de-AT"/>
        </w:rPr>
        <w:t xml:space="preserve">Beispiel: In Europa liegt zwischen dem letzten Sonntag im März und dem letzten Sonntag im Oktober eine Sommerzeit-Umstellung. Ein Tag in dieser Periode hat 23 statt 24 Stunden. Wird das addiert oder ignoriert? </w:t>
      </w:r>
      <w:r>
        <w:rPr>
          <w:i/>
          <w:iCs/>
        </w:rPr>
        <w:t>Keine Programmiersprache antwortet gleich.</w:t>
      </w:r>
    </w:p>
    <w:p w14:paraId="63EE5E22" w14:textId="77777777" w:rsidR="00D1028B" w:rsidRDefault="00892948">
      <w:r>
        <w:t>Weitere strukturelle Probleme:</w:t>
      </w:r>
    </w:p>
    <w:p w14:paraId="63EE5E23" w14:textId="77777777" w:rsidR="00D1028B" w:rsidRPr="00260DEC" w:rsidRDefault="00892948">
      <w:pPr>
        <w:numPr>
          <w:ilvl w:val="0"/>
          <w:numId w:val="41"/>
        </w:numPr>
        <w:rPr>
          <w:lang w:val="de-AT"/>
        </w:rPr>
      </w:pPr>
      <w:r>
        <w:rPr>
          <w:lang w:val="de-AT"/>
        </w:rPr>
        <w:t>Schaltsekunden: Die UTC-Skala fügt unregulär Sekunden ein. POSIX ignoriert sie (jeder Tag hat exakt 86.400 Sekunden). TAI zählt sie. GPS ignoriert sie ebenfalls, hat aber einen festen Offset zu UTC.</w:t>
      </w:r>
    </w:p>
    <w:p w14:paraId="63EE5E24" w14:textId="77777777" w:rsidR="00D1028B" w:rsidRDefault="00892948">
      <w:pPr>
        <w:numPr>
          <w:ilvl w:val="0"/>
          <w:numId w:val="41"/>
        </w:numPr>
      </w:pPr>
      <w:r>
        <w:rPr>
          <w:lang w:val="de-AT"/>
        </w:rPr>
        <w:t xml:space="preserve">Schaltjahre: Klar definiert, aber: Welcher Monat hat „1 Monat”? Februar hat 28, 29 Tage. addMonths(31. Jänner, 1) = 28. </w:t>
      </w:r>
      <w:r>
        <w:t>Februar? 3. März?</w:t>
      </w:r>
    </w:p>
    <w:p w14:paraId="63EE5E25" w14:textId="77777777" w:rsidR="00D1028B" w:rsidRPr="00260DEC" w:rsidRDefault="00892948">
      <w:pPr>
        <w:numPr>
          <w:ilvl w:val="0"/>
          <w:numId w:val="41"/>
        </w:numPr>
        <w:rPr>
          <w:lang w:val="de-AT"/>
        </w:rPr>
      </w:pPr>
      <w:r>
        <w:rPr>
          <w:lang w:val="de-AT"/>
        </w:rPr>
        <w:lastRenderedPageBreak/>
        <w:t>Zeitzonenoffsets ändern sich politisch: Samoa wechselte 2011 die Datumsgrenze — der 29. Dezember 2011 existierte dort nicht. Russland schaffte 2014 die Sommerzeit ab. Solche Änderungen invalidieren historische Berechnungen.</w:t>
      </w:r>
    </w:p>
    <w:p w14:paraId="63EE5E26" w14:textId="77777777" w:rsidR="00D1028B" w:rsidRPr="00260DEC" w:rsidRDefault="00892948">
      <w:pPr>
        <w:numPr>
          <w:ilvl w:val="0"/>
          <w:numId w:val="41"/>
        </w:numPr>
        <w:rPr>
          <w:lang w:val="de-AT"/>
        </w:rPr>
      </w:pPr>
      <w:r>
        <w:rPr>
          <w:lang w:val="de-AT"/>
        </w:rPr>
        <w:t>Relativistische Zeit: In der Präzisionsmessung (GPS, Atomuhren) ist Zeit nicht absolut — ChronoGrid kann als Referenz für die Koordinierte Weltzeit (UTC) dienen.</w:t>
      </w:r>
    </w:p>
    <w:p w14:paraId="63EE5E27" w14:textId="77777777" w:rsidR="00D1028B" w:rsidRPr="00260DEC" w:rsidRDefault="00892948">
      <w:pPr>
        <w:pStyle w:val="berschrift3"/>
        <w:rPr>
          <w:lang w:val="de-AT"/>
        </w:rPr>
      </w:pPr>
      <w:bookmarkStart w:id="60" w:name="chronogrid-als-mathematisches-fundament"/>
      <w:bookmarkStart w:id="61" w:name="_Toc226451906"/>
      <w:bookmarkEnd w:id="58"/>
      <w:r>
        <w:rPr>
          <w:lang w:val="de-AT"/>
        </w:rPr>
        <w:t>5.2 ChronoGrid als mathematisches Fundament</w:t>
      </w:r>
      <w:bookmarkEnd w:id="61"/>
    </w:p>
    <w:p w14:paraId="63EE5E28" w14:textId="77777777" w:rsidR="00D1028B" w:rsidRDefault="00892948">
      <w:pPr>
        <w:pBdr>
          <w:left w:val="single" w:sz="20" w:space="8" w:color="17A589"/>
        </w:pBdr>
        <w:shd w:val="clear" w:color="auto" w:fill="EAF7F4"/>
        <w:spacing w:before="40" w:after="40"/>
        <w:ind w:left="240"/>
      </w:pPr>
      <w:r>
        <w:rPr>
          <w:i/>
          <w:iCs/>
          <w:color w:val="0D4035"/>
          <w:sz w:val="20"/>
          <w:szCs w:val="20"/>
          <w:lang w:val="de-AT"/>
        </w:rPr>
        <w:t xml:space="preserve">ChronoGrid definiert Zeit als mathematisch wohlgeordnete Menge mit eindeutigen Operationen. </w:t>
      </w:r>
      <w:r>
        <w:rPr>
          <w:i/>
          <w:iCs/>
          <w:color w:val="0D4035"/>
          <w:sz w:val="20"/>
          <w:szCs w:val="20"/>
        </w:rPr>
        <w:t>Die zentralen Axiome:</w:t>
      </w:r>
    </w:p>
    <w:p w14:paraId="63EE5E29" w14:textId="77777777" w:rsidR="00D1028B" w:rsidRPr="00260DEC" w:rsidRDefault="00892948">
      <w:pPr>
        <w:numPr>
          <w:ilvl w:val="0"/>
          <w:numId w:val="42"/>
        </w:numPr>
        <w:pBdr>
          <w:left w:val="single" w:sz="20" w:space="8" w:color="17A589"/>
        </w:pBdr>
        <w:shd w:val="clear" w:color="auto" w:fill="EAF7F4"/>
        <w:spacing w:before="40" w:after="40"/>
        <w:ind w:left="240"/>
        <w:rPr>
          <w:lang w:val="de-AT"/>
        </w:rPr>
      </w:pPr>
      <w:r>
        <w:rPr>
          <w:i/>
          <w:iCs/>
          <w:color w:val="0D4035"/>
          <w:sz w:val="20"/>
          <w:szCs w:val="20"/>
          <w:lang w:val="de-AT"/>
        </w:rPr>
        <w:t>Totalordnung: Jeder ChronoGrid-Zeitpunkt ist eindeutig kleiner, gleich oder größer als jeder andere</w:t>
      </w:r>
    </w:p>
    <w:p w14:paraId="63EE5E2A" w14:textId="77777777" w:rsidR="00D1028B" w:rsidRPr="00260DEC" w:rsidRDefault="00892948">
      <w:pPr>
        <w:numPr>
          <w:ilvl w:val="0"/>
          <w:numId w:val="42"/>
        </w:numPr>
        <w:pBdr>
          <w:left w:val="single" w:sz="20" w:space="8" w:color="17A589"/>
        </w:pBdr>
        <w:shd w:val="clear" w:color="auto" w:fill="EAF7F4"/>
        <w:spacing w:before="40" w:after="40"/>
        <w:ind w:left="240"/>
        <w:rPr>
          <w:lang w:val="de-AT"/>
        </w:rPr>
      </w:pPr>
      <w:r>
        <w:rPr>
          <w:i/>
          <w:iCs/>
          <w:color w:val="0D4035"/>
          <w:sz w:val="20"/>
          <w:szCs w:val="20"/>
          <w:lang w:val="de-AT"/>
        </w:rPr>
        <w:t>Eindeutige Differenzbildung: Die Differenz zweier Zeitpunkte ist eine definierte Größe in SI-Sekunden, unabhängig von Zeitzonen</w:t>
      </w:r>
    </w:p>
    <w:p w14:paraId="63EE5E2B" w14:textId="77777777" w:rsidR="00D1028B" w:rsidRPr="00260DEC" w:rsidRDefault="00892948">
      <w:pPr>
        <w:numPr>
          <w:ilvl w:val="0"/>
          <w:numId w:val="42"/>
        </w:numPr>
        <w:pBdr>
          <w:left w:val="single" w:sz="20" w:space="8" w:color="17A589"/>
        </w:pBdr>
        <w:shd w:val="clear" w:color="auto" w:fill="EAF7F4"/>
        <w:spacing w:before="40" w:after="40"/>
        <w:ind w:left="240"/>
        <w:rPr>
          <w:lang w:val="de-AT"/>
        </w:rPr>
      </w:pPr>
      <w:r>
        <w:rPr>
          <w:i/>
          <w:iCs/>
          <w:color w:val="0D4035"/>
          <w:sz w:val="20"/>
          <w:szCs w:val="20"/>
          <w:lang w:val="de-AT"/>
        </w:rPr>
        <w:t>Invertierbarkeit: Zeitpunkt + Zeitspanne ergibt wieder einen eindeutigen Zeitpunkt</w:t>
      </w:r>
    </w:p>
    <w:p w14:paraId="63EE5E2C" w14:textId="77777777" w:rsidR="00D1028B" w:rsidRPr="00260DEC" w:rsidRDefault="00892948">
      <w:pPr>
        <w:numPr>
          <w:ilvl w:val="0"/>
          <w:numId w:val="42"/>
        </w:numPr>
        <w:pBdr>
          <w:left w:val="single" w:sz="20" w:space="8" w:color="17A589"/>
        </w:pBdr>
        <w:shd w:val="clear" w:color="auto" w:fill="EAF7F4"/>
        <w:spacing w:before="40" w:after="40"/>
        <w:ind w:left="240"/>
        <w:rPr>
          <w:lang w:val="de-AT"/>
        </w:rPr>
      </w:pPr>
      <w:r>
        <w:rPr>
          <w:i/>
          <w:iCs/>
          <w:color w:val="0D4035"/>
          <w:sz w:val="20"/>
          <w:szCs w:val="20"/>
          <w:lang w:val="de-AT"/>
        </w:rPr>
        <w:t>Lokalzeit als Projektion: Die Darstellung in einer Zeitzone ist eine surjektive Funktion auf den ChronoGrid-Zeitpunkt, nicht umgekehrt</w:t>
      </w:r>
    </w:p>
    <w:p w14:paraId="63EE5E2D" w14:textId="77777777" w:rsidR="00D1028B" w:rsidRPr="00260DEC" w:rsidRDefault="00892948">
      <w:pPr>
        <w:rPr>
          <w:lang w:val="de-AT"/>
        </w:rPr>
      </w:pPr>
      <w:r>
        <w:rPr>
          <w:lang w:val="de-AT"/>
        </w:rPr>
        <w:t>Diese Axiomatisierung ermöglicht erstmals eine formale Verifikation von zeitabhängigen Algorithmen — relevant für sicherheitskritische Systeme (Luftfahrt, Medizintechnik, Nuklearsteuerung).</w:t>
      </w:r>
    </w:p>
    <w:p w14:paraId="63EE5E2E" w14:textId="77777777" w:rsidR="00D1028B" w:rsidRPr="00260DEC" w:rsidRDefault="00892948">
      <w:pPr>
        <w:pStyle w:val="berschrift3"/>
        <w:rPr>
          <w:lang w:val="de-AT"/>
        </w:rPr>
      </w:pPr>
      <w:bookmarkStart w:id="62" w:name="finanzmathematik-day-count-conventions"/>
      <w:bookmarkStart w:id="63" w:name="_Toc226451907"/>
      <w:bookmarkEnd w:id="60"/>
      <w:r>
        <w:rPr>
          <w:lang w:val="de-AT"/>
        </w:rPr>
        <w:t>5.3 Finanzmathematik: Day Count Conventions</w:t>
      </w:r>
      <w:bookmarkEnd w:id="63"/>
    </w:p>
    <w:p w14:paraId="63EE5E2F" w14:textId="77777777" w:rsidR="00D1028B" w:rsidRPr="00260DEC" w:rsidRDefault="00892948">
      <w:pPr>
        <w:rPr>
          <w:lang w:val="de-AT"/>
        </w:rPr>
      </w:pPr>
      <w:r>
        <w:rPr>
          <w:lang w:val="de-AT"/>
        </w:rPr>
        <w:t>In der Finanzmathematik hängen Milliardenbeträge von der Frage ab, wie viele Tage zwischen zwei Zeitpunkten liegen. Weil keine universelle Antwort existiert, haben sich historisch zahlreiche Konventionen etabliert:</w:t>
      </w:r>
    </w:p>
    <w:p w14:paraId="63EE5E30" w14:textId="77777777" w:rsidR="00D1028B" w:rsidRPr="00260DEC" w:rsidRDefault="00892948">
      <w:pPr>
        <w:rPr>
          <w:lang w:val="de-AT"/>
        </w:rPr>
      </w:pPr>
      <w:r>
        <w:rPr>
          <w:i/>
          <w:iCs/>
          <w:lang w:val="de-AT"/>
        </w:rPr>
        <w:t>Actual/Actual (ICMA) • Actual/365 Fixed • Actual/360 • 30/360 Bond Basis • 30E/360 • 30E/360 ISDA • NL/365 (No Leap) • Business/252 (Brasilien) Jede Konvention ergibt andere Zinszahlungen auf denselben Kapitalbetrag.</w:t>
      </w:r>
    </w:p>
    <w:p w14:paraId="63EE5E31" w14:textId="77777777" w:rsidR="00D1028B" w:rsidRPr="00260DEC" w:rsidRDefault="00892948">
      <w:pPr>
        <w:rPr>
          <w:lang w:val="de-AT"/>
        </w:rPr>
      </w:pPr>
      <w:r>
        <w:rPr>
          <w:lang w:val="de-AT"/>
        </w:rPr>
        <w:t>Derivate-Kontrakte, Anleihen und Swaps spezifizieren explizit, welche Konvention gilt — Fehler bei der Implementierung haben in der Vergangenheit zu Millionenschäden geführt. ChronoGrid kann als normierte Basis alle Day Count Conventions präzise und nachvollziehbar implementieren — als open, auditierbare Referenz.</w:t>
      </w:r>
    </w:p>
    <w:p w14:paraId="63EE5E32" w14:textId="77777777" w:rsidR="00D1028B" w:rsidRPr="00260DEC" w:rsidRDefault="00892948">
      <w:pPr>
        <w:numPr>
          <w:ilvl w:val="0"/>
          <w:numId w:val="43"/>
        </w:numPr>
        <w:rPr>
          <w:lang w:val="de-AT"/>
        </w:rPr>
      </w:pPr>
      <w:r>
        <w:rPr>
          <w:lang w:val="de-AT"/>
        </w:rPr>
        <w:t>Opportunity: Partnerschaft mit ISDA (International Swaps and Derivatives Association) für ChronoGrid als Referenzimplementierung</w:t>
      </w:r>
    </w:p>
    <w:p w14:paraId="63EE5E33" w14:textId="77777777" w:rsidR="00D1028B" w:rsidRPr="00260DEC" w:rsidRDefault="00892948">
      <w:pPr>
        <w:numPr>
          <w:ilvl w:val="0"/>
          <w:numId w:val="43"/>
        </w:numPr>
        <w:rPr>
          <w:lang w:val="de-AT"/>
        </w:rPr>
      </w:pPr>
      <w:r>
        <w:rPr>
          <w:lang w:val="de-AT"/>
        </w:rPr>
        <w:t>Opportunity: Integration in Bloomberg Terminal und Reuters Eikon als Zeitarithmetik-Grundlage</w:t>
      </w:r>
    </w:p>
    <w:p w14:paraId="63EE5E34" w14:textId="77777777" w:rsidR="00D1028B" w:rsidRPr="00260DEC" w:rsidRDefault="00892948">
      <w:pPr>
        <w:pStyle w:val="berschrift3"/>
        <w:rPr>
          <w:lang w:val="de-AT"/>
        </w:rPr>
      </w:pPr>
      <w:bookmarkStart w:id="64" w:name="zeitreihenanalyse-und-signalverarbeitung"/>
      <w:bookmarkStart w:id="65" w:name="_Toc226451908"/>
      <w:bookmarkEnd w:id="62"/>
      <w:r>
        <w:rPr>
          <w:lang w:val="de-AT"/>
        </w:rPr>
        <w:t>5.4 Zeitreihenanalyse und Signalverarbeitung</w:t>
      </w:r>
      <w:bookmarkEnd w:id="65"/>
    </w:p>
    <w:p w14:paraId="63EE5E35" w14:textId="77777777" w:rsidR="00D1028B" w:rsidRDefault="00892948">
      <w:r>
        <w:rPr>
          <w:lang w:val="de-AT"/>
        </w:rPr>
        <w:t xml:space="preserve">Die Fourier-Transformation, Wavelets, Autokorrelation und andere Zeitreihenverfahren setzen voraus, dass Messwerte äquidistant in der Zeit verteilt sind — oder dass Abstände präzise bekannt sind. </w:t>
      </w:r>
      <w:r>
        <w:t>In der Praxis:</w:t>
      </w:r>
    </w:p>
    <w:p w14:paraId="63EE5E36" w14:textId="77777777" w:rsidR="00D1028B" w:rsidRPr="00260DEC" w:rsidRDefault="00892948">
      <w:pPr>
        <w:numPr>
          <w:ilvl w:val="0"/>
          <w:numId w:val="44"/>
        </w:numPr>
        <w:rPr>
          <w:lang w:val="de-AT"/>
        </w:rPr>
      </w:pPr>
      <w:r>
        <w:rPr>
          <w:lang w:val="de-AT"/>
        </w:rPr>
        <w:t>Sensordaten aus verschiedenen Systemen haben unterschiedliche Zeitbasen → Resampeln mit unklar definierter Zeitachse führt zu Aliasing-Artefakten</w:t>
      </w:r>
    </w:p>
    <w:p w14:paraId="63EE5E37" w14:textId="77777777" w:rsidR="00D1028B" w:rsidRPr="00260DEC" w:rsidRDefault="00892948">
      <w:pPr>
        <w:numPr>
          <w:ilvl w:val="0"/>
          <w:numId w:val="44"/>
        </w:numPr>
        <w:rPr>
          <w:lang w:val="de-AT"/>
        </w:rPr>
      </w:pPr>
      <w:r>
        <w:rPr>
          <w:lang w:val="de-AT"/>
        </w:rPr>
        <w:lastRenderedPageBreak/>
        <w:t>Klimadaten, Seismik, EKG, Finanzmarktdaten: Alle sind Zeitreihen, alle haben das Zeitachsen-Problem</w:t>
      </w:r>
    </w:p>
    <w:p w14:paraId="63EE5E38" w14:textId="77777777" w:rsidR="00D1028B" w:rsidRPr="00260DEC" w:rsidRDefault="00892948">
      <w:pPr>
        <w:numPr>
          <w:ilvl w:val="0"/>
          <w:numId w:val="44"/>
        </w:numPr>
        <w:rPr>
          <w:lang w:val="de-AT"/>
        </w:rPr>
      </w:pPr>
      <w:r>
        <w:rPr>
          <w:lang w:val="de-AT"/>
        </w:rPr>
        <w:t>Irräquidistante Daten: Methoden wie LOMB-Scargle-Periodogramm setzen exakte Zeitstempel voraus</w:t>
      </w:r>
    </w:p>
    <w:p w14:paraId="63EE5E39" w14:textId="77777777" w:rsidR="00D1028B" w:rsidRPr="00260DEC" w:rsidRDefault="00892948">
      <w:pPr>
        <w:numPr>
          <w:ilvl w:val="0"/>
          <w:numId w:val="44"/>
        </w:numPr>
        <w:rPr>
          <w:lang w:val="de-AT"/>
        </w:rPr>
      </w:pPr>
      <w:r>
        <w:rPr>
          <w:lang w:val="de-AT"/>
        </w:rPr>
        <w:t>Kausalitätsanalyse (Granger-Kausalität): Zeitliche Reihenfolge ist die Grundannahme — Fehler in der Zeitachse invalidieren das Ergebnis</w:t>
      </w:r>
    </w:p>
    <w:p w14:paraId="63EE5E3A"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 als normierte Zeitachse ist die fehlende Voraussetzung für interoperable Zeitreihenanalyse über Systemgrenzen hinweg.</w:t>
      </w:r>
    </w:p>
    <w:p w14:paraId="63EE5E3B" w14:textId="77777777" w:rsidR="00D1028B" w:rsidRPr="00260DEC" w:rsidRDefault="00892948">
      <w:pPr>
        <w:pStyle w:val="berschrift3"/>
        <w:rPr>
          <w:lang w:val="de-AT"/>
        </w:rPr>
      </w:pPr>
      <w:bookmarkStart w:id="66" w:name="astronomie-und-weltraumforschung"/>
      <w:bookmarkStart w:id="67" w:name="_Toc226451909"/>
      <w:bookmarkEnd w:id="64"/>
      <w:r>
        <w:rPr>
          <w:lang w:val="de-AT"/>
        </w:rPr>
        <w:t>5.5 Astronomie und Weltraumforschung</w:t>
      </w:r>
      <w:bookmarkEnd w:id="67"/>
    </w:p>
    <w:p w14:paraId="63EE5E3C" w14:textId="77777777" w:rsidR="00D1028B" w:rsidRPr="00260DEC" w:rsidRDefault="00892948">
      <w:pPr>
        <w:rPr>
          <w:lang w:val="de-AT"/>
        </w:rPr>
      </w:pPr>
      <w:r>
        <w:rPr>
          <w:lang w:val="de-AT"/>
        </w:rPr>
        <w:t>In der Astronomie existieren bereits mehrere spezialisierte Zeitsysteme:</w:t>
      </w:r>
    </w:p>
    <w:p w14:paraId="63EE5E3D" w14:textId="77777777" w:rsidR="00D1028B" w:rsidRPr="00260DEC" w:rsidRDefault="00892948">
      <w:pPr>
        <w:numPr>
          <w:ilvl w:val="0"/>
          <w:numId w:val="45"/>
        </w:numPr>
        <w:rPr>
          <w:lang w:val="de-AT"/>
        </w:rPr>
      </w:pPr>
      <w:r>
        <w:rPr>
          <w:lang w:val="de-AT"/>
        </w:rPr>
        <w:t>Julianisches Datum (JD): Tage seit dem 1. Jänner 4713 v. Chr. — für astronomische Berechnungen verwendet</w:t>
      </w:r>
    </w:p>
    <w:p w14:paraId="63EE5E3E" w14:textId="77777777" w:rsidR="00D1028B" w:rsidRPr="00260DEC" w:rsidRDefault="00892948">
      <w:pPr>
        <w:numPr>
          <w:ilvl w:val="0"/>
          <w:numId w:val="45"/>
        </w:numPr>
        <w:rPr>
          <w:lang w:val="de-AT"/>
        </w:rPr>
      </w:pPr>
      <w:r>
        <w:rPr>
          <w:lang w:val="de-AT"/>
        </w:rPr>
        <w:t>Modified Julian Date (MJD): JD minus 2.400.000,5 — kompaktere Darstellung für moderne Anwendungen</w:t>
      </w:r>
    </w:p>
    <w:p w14:paraId="63EE5E3F" w14:textId="77777777" w:rsidR="00D1028B" w:rsidRPr="00260DEC" w:rsidRDefault="00892948">
      <w:pPr>
        <w:numPr>
          <w:ilvl w:val="0"/>
          <w:numId w:val="45"/>
        </w:numPr>
        <w:rPr>
          <w:lang w:val="de-AT"/>
        </w:rPr>
      </w:pPr>
      <w:r>
        <w:rPr>
          <w:lang w:val="de-AT"/>
        </w:rPr>
        <w:t>Barycentric Dynamical Time (TDB): Relativistisch korrigierte Zeit für Planetenbahnen</w:t>
      </w:r>
    </w:p>
    <w:p w14:paraId="63EE5E40" w14:textId="77777777" w:rsidR="00D1028B" w:rsidRPr="00260DEC" w:rsidRDefault="00892948">
      <w:pPr>
        <w:numPr>
          <w:ilvl w:val="0"/>
          <w:numId w:val="45"/>
        </w:numPr>
        <w:rPr>
          <w:lang w:val="de-AT"/>
        </w:rPr>
      </w:pPr>
      <w:r>
        <w:rPr>
          <w:lang w:val="de-AT"/>
        </w:rPr>
        <w:t>GPS-Zeit: Sekunden seit 6. Jänner 1980, kein Schaltsekunden-Handling, derzeit 18 Sekunden vor UTC</w:t>
      </w:r>
    </w:p>
    <w:p w14:paraId="63EE5E41" w14:textId="77777777" w:rsidR="00D1028B" w:rsidRPr="00260DEC" w:rsidRDefault="00892948">
      <w:pPr>
        <w:numPr>
          <w:ilvl w:val="0"/>
          <w:numId w:val="45"/>
        </w:numPr>
        <w:rPr>
          <w:lang w:val="de-AT"/>
        </w:rPr>
      </w:pPr>
      <w:r>
        <w:rPr>
          <w:lang w:val="de-AT"/>
        </w:rPr>
        <w:t>LORAN-C, TAI, UT1: Weitere parallel verwendete Zeitsysteme in Navigation und Geodäsie</w:t>
      </w:r>
    </w:p>
    <w:p w14:paraId="63EE5E42" w14:textId="77777777" w:rsidR="00D1028B" w:rsidRPr="00260DEC" w:rsidRDefault="00892948">
      <w:pPr>
        <w:rPr>
          <w:lang w:val="de-AT"/>
        </w:rPr>
      </w:pPr>
      <w:r>
        <w:rPr>
          <w:lang w:val="de-AT"/>
        </w:rPr>
        <w:t>Das Österreichische Weltraumforum (OeWF) und die ESA benötigen Konvertierungen zwischen diesen Systemen täglich. ChronoGrid kann als universelle Brücke zwischen allen astronomischen Zeitsystemen positioniert werden — ein direktes Kooperationsargument für das OeWF.</w:t>
      </w:r>
    </w:p>
    <w:p w14:paraId="63EE5E43" w14:textId="77777777" w:rsidR="00D1028B" w:rsidRPr="00260DEC" w:rsidRDefault="00892948">
      <w:pPr>
        <w:pStyle w:val="berschrift2"/>
        <w:rPr>
          <w:lang w:val="de-AT"/>
        </w:rPr>
      </w:pPr>
      <w:bookmarkStart w:id="68" w:name="X64853fa070fa62c944af2f26f8353ff1573611a"/>
      <w:bookmarkStart w:id="69" w:name="_Toc226451910"/>
      <w:bookmarkEnd w:id="56"/>
      <w:bookmarkEnd w:id="66"/>
      <w:r>
        <w:rPr>
          <w:lang w:val="de-AT"/>
        </w:rPr>
        <w:t>6 Microsoft Excel und Tabellenkalkulationen</w:t>
      </w:r>
      <w:bookmarkEnd w:id="69"/>
    </w:p>
    <w:p w14:paraId="63EE5E44" w14:textId="77777777" w:rsidR="00D1028B" w:rsidRPr="00260DEC" w:rsidRDefault="00892948">
      <w:pPr>
        <w:rPr>
          <w:lang w:val="de-AT"/>
        </w:rPr>
      </w:pPr>
      <w:r>
        <w:rPr>
          <w:lang w:val="de-AT"/>
        </w:rPr>
        <w:t>Excel ist das meistgenutzte Rechenwerkzeug der Welt — mit geschätzten 1,1 Milliarden Nutzern. Die Zeitimplementierung von Excel ist legendär fehlerhaft und gleichzeitig so tief in globale Arbeitsprozesse eingebettet, dass eine Rückwärtskompatibilität praktisch unmöglich ist. ChronoGrid bietet einen Weg vorwärts.</w:t>
      </w:r>
    </w:p>
    <w:p w14:paraId="63EE5E45" w14:textId="77777777" w:rsidR="00D1028B" w:rsidRPr="00260DEC" w:rsidRDefault="00892948">
      <w:pPr>
        <w:pStyle w:val="berschrift3"/>
        <w:rPr>
          <w:lang w:val="de-AT"/>
        </w:rPr>
      </w:pPr>
      <w:bookmarkStart w:id="70" w:name="X5060917a3a6f0a5a1b6bdd732d7bdddb18cad95"/>
      <w:bookmarkStart w:id="71" w:name="_Toc226451911"/>
      <w:r>
        <w:rPr>
          <w:lang w:val="de-AT"/>
        </w:rPr>
        <w:t>6.1 Der Excel-1900-Bug: Ein absichtlicher Fehler seit 1985</w:t>
      </w:r>
      <w:bookmarkEnd w:id="71"/>
    </w:p>
    <w:p w14:paraId="63EE5E46" w14:textId="77777777" w:rsidR="00D1028B" w:rsidRPr="00260DEC" w:rsidRDefault="00892948">
      <w:pPr>
        <w:rPr>
          <w:lang w:val="de-AT"/>
        </w:rPr>
      </w:pPr>
      <w:r>
        <w:rPr>
          <w:i/>
          <w:iCs/>
          <w:lang w:val="de-AT"/>
        </w:rPr>
        <w:t>Excel speichert Daten als serielle Ganzzahl: 1 = 1. Jänner 1900, 2 = 2. Jänner 1900 usw. Das Problem: Excel behandelt 1900 als Schaltjahr — obwohl 1900 kein Schaltjahr war. Der 29. Februar 1900 existierte nicht, Excel gibt ihm dennoch die Seriennummer 60. Alle Datumsberechnungen vor dem 1. März 1900 sind daher falsch.</w:t>
      </w:r>
    </w:p>
    <w:p w14:paraId="63EE5E47" w14:textId="77777777" w:rsidR="00D1028B" w:rsidRPr="00260DEC" w:rsidRDefault="00892948">
      <w:pPr>
        <w:rPr>
          <w:lang w:val="de-AT"/>
        </w:rPr>
      </w:pPr>
      <w:r>
        <w:rPr>
          <w:lang w:val="de-AT"/>
        </w:rPr>
        <w:t>Dieser Bug wurde aus Lotus 1-2-3 (1983) übernommen, um Dateiformatkompatibilität zu gewährleisten. Microsoft dokumentiert ihn offiziell — und hält ihn bewusst aufrecht, weil Milliarden von Excel-Dateien darauf basieren.</w:t>
      </w:r>
    </w:p>
    <w:p w14:paraId="63EE5E48" w14:textId="77777777" w:rsidR="00D1028B" w:rsidRPr="00260DEC" w:rsidRDefault="00892948">
      <w:pPr>
        <w:numPr>
          <w:ilvl w:val="0"/>
          <w:numId w:val="46"/>
        </w:numPr>
        <w:rPr>
          <w:lang w:val="de-AT"/>
        </w:rPr>
      </w:pPr>
      <w:r>
        <w:rPr>
          <w:lang w:val="de-AT"/>
        </w:rPr>
        <w:t>Konsequenz 1: Alle Excel-Datumsberechnungen vor März 1900 sind um 1 Tag falsch</w:t>
      </w:r>
    </w:p>
    <w:p w14:paraId="63EE5E49" w14:textId="77777777" w:rsidR="00D1028B" w:rsidRPr="00260DEC" w:rsidRDefault="00892948">
      <w:pPr>
        <w:numPr>
          <w:ilvl w:val="0"/>
          <w:numId w:val="46"/>
        </w:numPr>
        <w:rPr>
          <w:lang w:val="de-AT"/>
        </w:rPr>
      </w:pPr>
      <w:r>
        <w:rPr>
          <w:lang w:val="de-AT"/>
        </w:rPr>
        <w:lastRenderedPageBreak/>
        <w:t>Konsequenz 2: Das Datum „29. Februar 1900” kann in Excel dargestellt werden, existierte aber nie</w:t>
      </w:r>
    </w:p>
    <w:p w14:paraId="63EE5E4A" w14:textId="77777777" w:rsidR="00D1028B" w:rsidRPr="00260DEC" w:rsidRDefault="00892948">
      <w:pPr>
        <w:numPr>
          <w:ilvl w:val="0"/>
          <w:numId w:val="46"/>
        </w:numPr>
        <w:rPr>
          <w:lang w:val="de-AT"/>
        </w:rPr>
      </w:pPr>
      <w:r>
        <w:rPr>
          <w:lang w:val="de-AT"/>
        </w:rPr>
        <w:t>Konsequenz 3: Berechnungen mit historischen Finanzdaten, Geburtstagen oder Archivdaten sind potentiell fehlerhaft</w:t>
      </w:r>
    </w:p>
    <w:p w14:paraId="63EE5E4B"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Ein neuer nativer CGTA-Zellentyp in Excel würde das serielle Datumsformat als primäre Zeitdarstellung ablösen — der 1900-Bug wäre für neue Berechnungen strukturell irrelevant.</w:t>
      </w:r>
    </w:p>
    <w:p w14:paraId="63EE5E4C" w14:textId="77777777" w:rsidR="00D1028B" w:rsidRDefault="00892948">
      <w:pPr>
        <w:numPr>
          <w:ilvl w:val="0"/>
          <w:numId w:val="47"/>
        </w:numPr>
        <w:pBdr>
          <w:left w:val="single" w:sz="20" w:space="8" w:color="17A589"/>
        </w:pBdr>
        <w:shd w:val="clear" w:color="auto" w:fill="EAF7F4"/>
        <w:spacing w:before="40" w:after="40"/>
        <w:ind w:left="240"/>
      </w:pPr>
      <w:r>
        <w:rPr>
          <w:i/>
          <w:iCs/>
          <w:color w:val="0D4035"/>
          <w:sz w:val="20"/>
          <w:szCs w:val="20"/>
          <w:lang w:val="de-AT"/>
        </w:rPr>
        <w:t xml:space="preserve">CGTA-Zellen speichern den absoluten TAI-Zeitpunkt als BigInt — kein fiktiver 29. </w:t>
      </w:r>
      <w:r>
        <w:rPr>
          <w:i/>
          <w:iCs/>
          <w:color w:val="0D4035"/>
          <w:sz w:val="20"/>
          <w:szCs w:val="20"/>
        </w:rPr>
        <w:t>Februar 1900, keine Epoche-Verschiebung, keine Schalttag-Fehler in historischen Berechnungen</w:t>
      </w:r>
    </w:p>
    <w:p w14:paraId="63EE5E4D" w14:textId="77777777" w:rsidR="00D1028B" w:rsidRPr="00260DEC" w:rsidRDefault="00892948">
      <w:pPr>
        <w:numPr>
          <w:ilvl w:val="0"/>
          <w:numId w:val="47"/>
        </w:numPr>
        <w:pBdr>
          <w:left w:val="single" w:sz="20" w:space="8" w:color="17A589"/>
        </w:pBdr>
        <w:shd w:val="clear" w:color="auto" w:fill="EAF7F4"/>
        <w:spacing w:before="40" w:after="40"/>
        <w:ind w:left="240"/>
        <w:rPr>
          <w:lang w:val="de-AT"/>
        </w:rPr>
      </w:pPr>
      <w:r>
        <w:rPr>
          <w:i/>
          <w:iCs/>
          <w:color w:val="0D4035"/>
          <w:sz w:val="20"/>
          <w:szCs w:val="20"/>
          <w:lang w:val="de-AT"/>
        </w:rPr>
        <w:t>Abwärtskompatibilität: Excel kann CGTA intern halten und weiterhin als serielle Zahl darstellen — bestehende Formeln funktionieren, neue CGTA-Formeln liefern korrekte Ergebnisse</w:t>
      </w:r>
    </w:p>
    <w:p w14:paraId="63EE5E4E" w14:textId="77777777" w:rsidR="00D1028B" w:rsidRPr="00260DEC" w:rsidRDefault="00892948">
      <w:pPr>
        <w:numPr>
          <w:ilvl w:val="0"/>
          <w:numId w:val="47"/>
        </w:numPr>
        <w:pBdr>
          <w:left w:val="single" w:sz="20" w:space="8" w:color="17A589"/>
        </w:pBdr>
        <w:shd w:val="clear" w:color="auto" w:fill="EAF7F4"/>
        <w:spacing w:before="40" w:after="40"/>
        <w:ind w:left="240"/>
        <w:rPr>
          <w:lang w:val="de-AT"/>
        </w:rPr>
      </w:pPr>
      <w:r>
        <w:rPr>
          <w:i/>
          <w:iCs/>
          <w:color w:val="0D4035"/>
          <w:sz w:val="20"/>
          <w:szCs w:val="20"/>
          <w:lang w:val="de-AT"/>
        </w:rPr>
        <w:t>Historische Finanzdaten, Archivdaten und Geburtsdaten vor 1900: erstmals korrekt in Excel darstellbar und berechenbar</w:t>
      </w:r>
    </w:p>
    <w:p w14:paraId="63EE5E4F" w14:textId="77777777" w:rsidR="00D1028B" w:rsidRPr="00260DEC" w:rsidRDefault="00892948">
      <w:pPr>
        <w:pStyle w:val="berschrift3"/>
        <w:rPr>
          <w:lang w:val="de-AT"/>
        </w:rPr>
      </w:pPr>
      <w:bookmarkStart w:id="72" w:name="excel-zeitzonen-nicht-vorhanden"/>
      <w:bookmarkStart w:id="73" w:name="_Toc226451912"/>
      <w:bookmarkEnd w:id="70"/>
      <w:r>
        <w:rPr>
          <w:lang w:val="de-AT"/>
        </w:rPr>
        <w:t>6.2 Excel-Zeitzonen: Nicht vorhanden</w:t>
      </w:r>
      <w:bookmarkEnd w:id="73"/>
    </w:p>
    <w:p w14:paraId="63EE5E50" w14:textId="77777777" w:rsidR="00D1028B" w:rsidRDefault="00892948">
      <w:r>
        <w:rPr>
          <w:lang w:val="de-AT"/>
        </w:rPr>
        <w:t xml:space="preserve">Excel kennt keine Zeitzonen. Alle Zeitangaben sind naiv — ohne jede Kontextinformation. </w:t>
      </w:r>
      <w:r>
        <w:t>Konkrete Folgen:</w:t>
      </w:r>
    </w:p>
    <w:p w14:paraId="63EE5E51" w14:textId="77777777" w:rsidR="00D1028B" w:rsidRPr="00260DEC" w:rsidRDefault="00892948">
      <w:pPr>
        <w:numPr>
          <w:ilvl w:val="0"/>
          <w:numId w:val="48"/>
        </w:numPr>
        <w:rPr>
          <w:lang w:val="de-AT"/>
        </w:rPr>
      </w:pPr>
      <w:r>
        <w:rPr>
          <w:lang w:val="de-AT"/>
        </w:rPr>
        <w:t>Eine Excel-Datei mit Zeitangaben ist international nicht eindeutig interpretierbar</w:t>
      </w:r>
    </w:p>
    <w:p w14:paraId="63EE5E52" w14:textId="77777777" w:rsidR="00D1028B" w:rsidRPr="00260DEC" w:rsidRDefault="00892948">
      <w:pPr>
        <w:numPr>
          <w:ilvl w:val="0"/>
          <w:numId w:val="48"/>
        </w:numPr>
        <w:rPr>
          <w:lang w:val="de-AT"/>
        </w:rPr>
      </w:pPr>
      <w:r>
        <w:rPr>
          <w:lang w:val="de-AT"/>
        </w:rPr>
        <w:t>Beim Datenaustausch zwischen US-amerikanischen und europäischen Niederlassungen entstehen regelmäßig Zeitzonenfehler</w:t>
      </w:r>
    </w:p>
    <w:p w14:paraId="63EE5E53" w14:textId="77777777" w:rsidR="00D1028B" w:rsidRPr="00260DEC" w:rsidRDefault="00892948">
      <w:pPr>
        <w:numPr>
          <w:ilvl w:val="0"/>
          <w:numId w:val="48"/>
        </w:numPr>
        <w:rPr>
          <w:lang w:val="de-AT"/>
        </w:rPr>
      </w:pPr>
      <w:r>
        <w:rPr>
          <w:lang w:val="de-AT"/>
        </w:rPr>
        <w:t>Power Query (Excels Datenimport-Tool) behandelt Zeitzonen inkonsistent zwischen verschiedenen Datenquellen</w:t>
      </w:r>
    </w:p>
    <w:p w14:paraId="63EE5E54" w14:textId="77777777" w:rsidR="00D1028B" w:rsidRPr="00260DEC" w:rsidRDefault="00892948">
      <w:pPr>
        <w:numPr>
          <w:ilvl w:val="0"/>
          <w:numId w:val="48"/>
        </w:numPr>
        <w:rPr>
          <w:lang w:val="de-AT"/>
        </w:rPr>
      </w:pPr>
      <w:r>
        <w:rPr>
          <w:lang w:val="de-AT"/>
        </w:rPr>
        <w:t>Pivot-Tabellen mit Zeitachsen ignorieren DST — Stundenauswertungen sind in bestimmten Wochen des Jahres um eine Stunde verschoben</w:t>
      </w:r>
    </w:p>
    <w:p w14:paraId="63EE5E55"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optionale Zellannotation würde Excel-Zeitangaben erstmals mit vollständiger Zeitzonensemantik versehen — ohne das bestehende Format zu brechen.</w:t>
      </w:r>
    </w:p>
    <w:p w14:paraId="63EE5E56" w14:textId="77777777" w:rsidR="00D1028B" w:rsidRPr="00260DEC" w:rsidRDefault="00892948">
      <w:pPr>
        <w:numPr>
          <w:ilvl w:val="0"/>
          <w:numId w:val="49"/>
        </w:numPr>
        <w:pBdr>
          <w:left w:val="single" w:sz="20" w:space="8" w:color="17A589"/>
        </w:pBdr>
        <w:shd w:val="clear" w:color="auto" w:fill="EAF7F4"/>
        <w:spacing w:before="40" w:after="40"/>
        <w:ind w:left="240"/>
        <w:rPr>
          <w:lang w:val="de-AT"/>
        </w:rPr>
      </w:pPr>
      <w:r>
        <w:rPr>
          <w:i/>
          <w:iCs/>
          <w:color w:val="0D4035"/>
          <w:sz w:val="20"/>
          <w:szCs w:val="20"/>
          <w:lang w:val="de-AT"/>
        </w:rPr>
        <w:t>Jede Zelle mit einem CGTA-Wert kennt ihren absoluten Zeitpunkt: Power Query kann DST-korrekt aggregieren, Pivot-Tabellen zeigen Stundenauswertungen ohne 23h/25h-Anomalie</w:t>
      </w:r>
    </w:p>
    <w:p w14:paraId="63EE5E57" w14:textId="77777777" w:rsidR="00D1028B" w:rsidRPr="00260DEC" w:rsidRDefault="00892948">
      <w:pPr>
        <w:numPr>
          <w:ilvl w:val="0"/>
          <w:numId w:val="49"/>
        </w:numPr>
        <w:pBdr>
          <w:left w:val="single" w:sz="20" w:space="8" w:color="17A589"/>
        </w:pBdr>
        <w:shd w:val="clear" w:color="auto" w:fill="EAF7F4"/>
        <w:spacing w:before="40" w:after="40"/>
        <w:ind w:left="240"/>
        <w:rPr>
          <w:lang w:val="de-AT"/>
        </w:rPr>
      </w:pPr>
      <w:r>
        <w:rPr>
          <w:i/>
          <w:iCs/>
          <w:color w:val="0D4035"/>
          <w:sz w:val="20"/>
          <w:szCs w:val="20"/>
          <w:lang w:val="de-AT"/>
        </w:rPr>
        <w:t>Datenaustausch mit US-Niederlassungen: CGTA-annotierte Dateien sind international eindeutig — der Empfänger sieht die Zeitangabe in seiner Lokalzeit, ohne Interpretationsspielraum</w:t>
      </w:r>
    </w:p>
    <w:p w14:paraId="63EE5E58" w14:textId="77777777" w:rsidR="00D1028B" w:rsidRPr="00260DEC" w:rsidRDefault="00892948">
      <w:pPr>
        <w:numPr>
          <w:ilvl w:val="0"/>
          <w:numId w:val="49"/>
        </w:numPr>
        <w:pBdr>
          <w:left w:val="single" w:sz="20" w:space="8" w:color="17A589"/>
        </w:pBdr>
        <w:shd w:val="clear" w:color="auto" w:fill="EAF7F4"/>
        <w:spacing w:before="40" w:after="40"/>
        <w:ind w:left="240"/>
        <w:rPr>
          <w:lang w:val="de-AT"/>
        </w:rPr>
      </w:pPr>
      <w:r>
        <w:rPr>
          <w:i/>
          <w:iCs/>
          <w:color w:val="0D4035"/>
          <w:sz w:val="20"/>
          <w:szCs w:val="20"/>
          <w:lang w:val="de-AT"/>
        </w:rPr>
        <w:t>Power Query: CGTA als kanonischer Typ bei Datenbankabfragen — inkonsistentes Zeitzonenverhalten zwischen Datenquellen entfällt</w:t>
      </w:r>
    </w:p>
    <w:p w14:paraId="63EE5E59" w14:textId="77777777" w:rsidR="00D1028B" w:rsidRPr="00260DEC" w:rsidRDefault="00892948">
      <w:pPr>
        <w:numPr>
          <w:ilvl w:val="0"/>
          <w:numId w:val="49"/>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E5A" w14:textId="77777777" w:rsidR="00D1028B" w:rsidRPr="00260DEC" w:rsidRDefault="00892948">
      <w:pPr>
        <w:pStyle w:val="berschrift3"/>
        <w:rPr>
          <w:lang w:val="de-AT"/>
        </w:rPr>
      </w:pPr>
      <w:bookmarkStart w:id="74" w:name="datedif-die-undokumentierte-zeitbombe"/>
      <w:bookmarkStart w:id="75" w:name="_Toc226451913"/>
      <w:bookmarkEnd w:id="72"/>
      <w:r>
        <w:rPr>
          <w:lang w:val="de-AT"/>
        </w:rPr>
        <w:t>6.3 DATEDIF(): Die undokumentierte Zeitbombe</w:t>
      </w:r>
      <w:bookmarkEnd w:id="75"/>
    </w:p>
    <w:p w14:paraId="63EE5E5B" w14:textId="77777777" w:rsidR="00D1028B" w:rsidRPr="00260DEC" w:rsidRDefault="00892948">
      <w:pPr>
        <w:rPr>
          <w:lang w:val="de-AT"/>
        </w:rPr>
      </w:pPr>
      <w:r>
        <w:rPr>
          <w:i/>
          <w:iCs/>
          <w:lang w:val="de-AT"/>
        </w:rPr>
        <w:t>DATEDIF() ist eine von Lotus 1-2-3 geerbte Funktion, die in Excel bis heute existiert, aber offiziell nicht dokumentiert ist. Microsoft gibt zu, dass die Funktion in bestimmten Fällen falsche Ergebnisse liefert — empfiehlt sie aber nicht zu entfernen, da zu viele Arbeitsblätter sie nutzen.</w:t>
      </w:r>
    </w:p>
    <w:p w14:paraId="63EE5E5C" w14:textId="77777777" w:rsidR="00D1028B" w:rsidRPr="00260DEC" w:rsidRDefault="00892948">
      <w:pPr>
        <w:numPr>
          <w:ilvl w:val="0"/>
          <w:numId w:val="50"/>
        </w:numPr>
        <w:rPr>
          <w:lang w:val="de-AT"/>
        </w:rPr>
      </w:pPr>
      <w:r>
        <w:rPr>
          <w:lang w:val="de-AT"/>
        </w:rPr>
        <w:t>DATEDIF("1/1/2000", "3/1/2000", "M") gibt je nach regionaler Einstellung 1 oder 2 zurück</w:t>
      </w:r>
    </w:p>
    <w:p w14:paraId="63EE5E5D" w14:textId="77777777" w:rsidR="00D1028B" w:rsidRPr="00260DEC" w:rsidRDefault="00892948">
      <w:pPr>
        <w:numPr>
          <w:ilvl w:val="0"/>
          <w:numId w:val="50"/>
        </w:numPr>
        <w:rPr>
          <w:lang w:val="de-AT"/>
        </w:rPr>
      </w:pPr>
      <w:r>
        <w:rPr>
          <w:lang w:val="de-AT"/>
        </w:rPr>
        <w:t>Negative Intervalle führen zu undefiniertem Verhalten</w:t>
      </w:r>
    </w:p>
    <w:p w14:paraId="63EE5E5E" w14:textId="77777777" w:rsidR="00D1028B" w:rsidRPr="00260DEC" w:rsidRDefault="00892948">
      <w:pPr>
        <w:numPr>
          <w:ilvl w:val="0"/>
          <w:numId w:val="50"/>
        </w:numPr>
        <w:rPr>
          <w:lang w:val="de-AT"/>
        </w:rPr>
      </w:pPr>
      <w:r>
        <w:rPr>
          <w:lang w:val="de-AT"/>
        </w:rPr>
        <w:t>Keine Dokumentation im offiziellen Excel-Hilfe-System</w:t>
      </w:r>
    </w:p>
    <w:p w14:paraId="63EE5E5F" w14:textId="77777777" w:rsidR="00D1028B" w:rsidRPr="00260DEC" w:rsidRDefault="00892948">
      <w:pPr>
        <w:numPr>
          <w:ilvl w:val="0"/>
          <w:numId w:val="50"/>
        </w:numPr>
        <w:rPr>
          <w:lang w:val="de-AT"/>
        </w:rPr>
      </w:pPr>
      <w:r>
        <w:rPr>
          <w:lang w:val="de-AT"/>
        </w:rPr>
        <w:lastRenderedPageBreak/>
        <w:t>Wird in zahllosen Unternehmensberechnungen für Laufzeiten, Alter und Fristen verwendet</w:t>
      </w:r>
    </w:p>
    <w:p w14:paraId="63EE5E60"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CGDIFF(start_cgta, end_cgta, unit, domain) als dokumentierte, normierte Nachfolgefunktion zu DATEDIF() — mit definierter Semantik für alle Grenzfälle.</w:t>
      </w:r>
    </w:p>
    <w:p w14:paraId="63EE5E61" w14:textId="77777777" w:rsidR="00D1028B" w:rsidRPr="00260DEC" w:rsidRDefault="00892948">
      <w:pPr>
        <w:numPr>
          <w:ilvl w:val="0"/>
          <w:numId w:val="51"/>
        </w:numPr>
        <w:pBdr>
          <w:left w:val="single" w:sz="20" w:space="8" w:color="17A589"/>
        </w:pBdr>
        <w:shd w:val="clear" w:color="auto" w:fill="EAF7F4"/>
        <w:spacing w:before="40" w:after="40"/>
        <w:ind w:left="240"/>
        <w:rPr>
          <w:lang w:val="de-AT"/>
        </w:rPr>
      </w:pPr>
      <w:r>
        <w:rPr>
          <w:i/>
          <w:iCs/>
          <w:color w:val="0D4035"/>
          <w:sz w:val="20"/>
          <w:szCs w:val="20"/>
          <w:lang w:val="de-AT"/>
        </w:rPr>
        <w:t>CGDIFF() verwendet CTDDL-Domain-Definitionen: DST-Übergänge, Kalenderregeln und Zeitzonenänderungen sind explizit modelliert — kein undefiniertes Verhalten, keine lokalisierungsabhängigen Ergebnisse</w:t>
      </w:r>
    </w:p>
    <w:p w14:paraId="63EE5E62" w14:textId="77777777" w:rsidR="00D1028B" w:rsidRPr="00260DEC" w:rsidRDefault="00892948">
      <w:pPr>
        <w:numPr>
          <w:ilvl w:val="0"/>
          <w:numId w:val="51"/>
        </w:numPr>
        <w:pBdr>
          <w:left w:val="single" w:sz="20" w:space="8" w:color="17A589"/>
        </w:pBdr>
        <w:shd w:val="clear" w:color="auto" w:fill="EAF7F4"/>
        <w:spacing w:before="40" w:after="40"/>
        <w:ind w:left="240"/>
        <w:rPr>
          <w:lang w:val="de-AT"/>
        </w:rPr>
      </w:pPr>
      <w:r>
        <w:rPr>
          <w:i/>
          <w:iCs/>
          <w:color w:val="0D4035"/>
          <w:sz w:val="20"/>
          <w:szCs w:val="20"/>
          <w:lang w:val="de-AT"/>
        </w:rPr>
        <w:t>Negative Intervalle: formal definiert und korrekt — CGDIFF(end, start, "D") = negatives Vorzeichen, mathematisch konsistent</w:t>
      </w:r>
    </w:p>
    <w:p w14:paraId="63EE5E63" w14:textId="77777777" w:rsidR="00D1028B" w:rsidRPr="00260DEC" w:rsidRDefault="00892948">
      <w:pPr>
        <w:numPr>
          <w:ilvl w:val="0"/>
          <w:numId w:val="51"/>
        </w:numPr>
        <w:pBdr>
          <w:left w:val="single" w:sz="20" w:space="8" w:color="17A589"/>
        </w:pBdr>
        <w:shd w:val="clear" w:color="auto" w:fill="EAF7F4"/>
        <w:spacing w:before="40" w:after="40"/>
        <w:ind w:left="240"/>
        <w:rPr>
          <w:lang w:val="de-AT"/>
        </w:rPr>
      </w:pPr>
      <w:r>
        <w:rPr>
          <w:i/>
          <w:iCs/>
          <w:color w:val="0D4035"/>
          <w:sz w:val="20"/>
          <w:szCs w:val="20"/>
          <w:lang w:val="de-AT"/>
        </w:rPr>
        <w:t>Vollständige Dokumentation als ISO-normierter Funktionstyp: Auditoren können Berechnungen ohne Excel-Spezialwissen nachvollziehen</w:t>
      </w:r>
    </w:p>
    <w:p w14:paraId="63EE5E64" w14:textId="77777777" w:rsidR="00D1028B" w:rsidRPr="00260DEC" w:rsidRDefault="00892948">
      <w:pPr>
        <w:numPr>
          <w:ilvl w:val="0"/>
          <w:numId w:val="51"/>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E65" w14:textId="77777777" w:rsidR="00D1028B" w:rsidRPr="00260DEC" w:rsidRDefault="00892948">
      <w:pPr>
        <w:pStyle w:val="berschrift3"/>
        <w:rPr>
          <w:lang w:val="de-AT"/>
        </w:rPr>
      </w:pPr>
      <w:bookmarkStart w:id="76" w:name="das-macwindows-datumsystem-problem"/>
      <w:bookmarkStart w:id="77" w:name="_Toc226451914"/>
      <w:bookmarkEnd w:id="74"/>
      <w:r>
        <w:rPr>
          <w:lang w:val="de-AT"/>
        </w:rPr>
        <w:t>6.4 Das Mac/Windows-Datumsystem-Problem</w:t>
      </w:r>
      <w:bookmarkEnd w:id="77"/>
    </w:p>
    <w:p w14:paraId="63EE5E66" w14:textId="77777777" w:rsidR="00D1028B" w:rsidRDefault="00892948">
      <w:r>
        <w:rPr>
          <w:lang w:val="de-AT"/>
        </w:rPr>
        <w:t xml:space="preserve">Historisch nutzte Excel für Mac das 1904-Datumssystem (Startdatum: 1. Jänner 1904) statt des 1900-Systems. Erst ab Excel 2011 für Mac wurde auf 1900 umgestellt. </w:t>
      </w:r>
      <w:r>
        <w:t>Folgen:</w:t>
      </w:r>
    </w:p>
    <w:p w14:paraId="63EE5E67" w14:textId="77777777" w:rsidR="00D1028B" w:rsidRPr="00260DEC" w:rsidRDefault="00892948">
      <w:pPr>
        <w:numPr>
          <w:ilvl w:val="0"/>
          <w:numId w:val="52"/>
        </w:numPr>
        <w:rPr>
          <w:lang w:val="de-AT"/>
        </w:rPr>
      </w:pPr>
      <w:r>
        <w:rPr>
          <w:lang w:val="de-AT"/>
        </w:rPr>
        <w:t>Dateien, die zwischen Mac und Windows ausgetauscht wurden, konnten Datumsverschiebungen von 1.462 Tagen (genau 4 Jahre) aufweisen</w:t>
      </w:r>
    </w:p>
    <w:p w14:paraId="63EE5E68" w14:textId="77777777" w:rsidR="00D1028B" w:rsidRPr="00260DEC" w:rsidRDefault="00892948">
      <w:pPr>
        <w:numPr>
          <w:ilvl w:val="0"/>
          <w:numId w:val="52"/>
        </w:numPr>
        <w:rPr>
          <w:lang w:val="de-AT"/>
        </w:rPr>
      </w:pPr>
      <w:r>
        <w:rPr>
          <w:lang w:val="de-AT"/>
        </w:rPr>
        <w:t>Alte Mac-Excel-Dateien, die noch im Umlauf sind, können diesen Fehler immer noch enthalten</w:t>
      </w:r>
    </w:p>
    <w:p w14:paraId="63EE5E69" w14:textId="77777777" w:rsidR="00D1028B" w:rsidRPr="00260DEC" w:rsidRDefault="00892948">
      <w:pPr>
        <w:numPr>
          <w:ilvl w:val="0"/>
          <w:numId w:val="52"/>
        </w:numPr>
        <w:rPr>
          <w:lang w:val="de-AT"/>
        </w:rPr>
      </w:pPr>
      <w:r>
        <w:rPr>
          <w:lang w:val="de-AT"/>
        </w:rPr>
        <w:t>Keine automatische Erkennung beim Öffnen — der Nutzer muss manuell prüfen und korrigieren</w:t>
      </w:r>
    </w:p>
    <w:p w14:paraId="63EE5E6A"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systemepochenunabhängiger Zeittyp würde das 1900/1904-Problem strukturell eliminieren — keine Datumsverschiebungen beim plattformübergreifenden Austausch.</w:t>
      </w:r>
    </w:p>
    <w:p w14:paraId="63EE5E6B" w14:textId="77777777" w:rsidR="00D1028B" w:rsidRPr="00260DEC" w:rsidRDefault="00892948">
      <w:pPr>
        <w:numPr>
          <w:ilvl w:val="0"/>
          <w:numId w:val="53"/>
        </w:numPr>
        <w:pBdr>
          <w:left w:val="single" w:sz="20" w:space="8" w:color="17A589"/>
        </w:pBdr>
        <w:shd w:val="clear" w:color="auto" w:fill="EAF7F4"/>
        <w:spacing w:before="40" w:after="40"/>
        <w:ind w:left="240"/>
        <w:rPr>
          <w:lang w:val="de-AT"/>
        </w:rPr>
      </w:pPr>
      <w:r>
        <w:rPr>
          <w:i/>
          <w:iCs/>
          <w:color w:val="0D4035"/>
          <w:sz w:val="20"/>
          <w:szCs w:val="20"/>
          <w:lang w:val="de-AT"/>
        </w:rPr>
        <w:t>CGTA speichert den absoluten Zeitpunkt (TAI-Basis) — ob das Dokument auf Mac 1904-Basis oder Windows 1900-Basis erstellt wurde, ist für CGTA-Zellen irrelevant</w:t>
      </w:r>
    </w:p>
    <w:p w14:paraId="63EE5E6C" w14:textId="77777777" w:rsidR="00D1028B" w:rsidRPr="00260DEC" w:rsidRDefault="00892948">
      <w:pPr>
        <w:numPr>
          <w:ilvl w:val="0"/>
          <w:numId w:val="53"/>
        </w:numPr>
        <w:pBdr>
          <w:left w:val="single" w:sz="20" w:space="8" w:color="17A589"/>
        </w:pBdr>
        <w:shd w:val="clear" w:color="auto" w:fill="EAF7F4"/>
        <w:spacing w:before="40" w:after="40"/>
        <w:ind w:left="240"/>
        <w:rPr>
          <w:lang w:val="de-AT"/>
        </w:rPr>
      </w:pPr>
      <w:r>
        <w:rPr>
          <w:i/>
          <w:iCs/>
          <w:color w:val="0D4035"/>
          <w:sz w:val="20"/>
          <w:szCs w:val="20"/>
          <w:lang w:val="de-AT"/>
        </w:rPr>
        <w:t>Automatische Erkennung bei Dateiöffnung: CGTA-Zellen werden immer korrekt dargestellt — kein manueller Prüfaufwand, keine 4-Jahres-Verschiebungen mehr in Altdateien</w:t>
      </w:r>
    </w:p>
    <w:p w14:paraId="63EE5E6D" w14:textId="77777777" w:rsidR="00D1028B" w:rsidRPr="00260DEC" w:rsidRDefault="00892948">
      <w:pPr>
        <w:numPr>
          <w:ilvl w:val="0"/>
          <w:numId w:val="53"/>
        </w:numPr>
        <w:pBdr>
          <w:left w:val="single" w:sz="20" w:space="8" w:color="17A589"/>
        </w:pBdr>
        <w:shd w:val="clear" w:color="auto" w:fill="EAF7F4"/>
        <w:spacing w:before="40" w:after="40"/>
        <w:ind w:left="240"/>
        <w:rPr>
          <w:lang w:val="de-AT"/>
        </w:rPr>
      </w:pPr>
      <w:r>
        <w:rPr>
          <w:i/>
          <w:iCs/>
          <w:color w:val="0D4035"/>
          <w:sz w:val="20"/>
          <w:szCs w:val="20"/>
          <w:lang w:val="de-AT"/>
        </w:rPr>
        <w:t>LibreOffice und Google Sheets: CGTA als gemeinsamer Typ würde das 1900/1904-Problem für das gesamte Tabellenkalkulations-Ökosystem lösen</w:t>
      </w:r>
    </w:p>
    <w:p w14:paraId="63EE5E6E" w14:textId="77777777" w:rsidR="00D1028B" w:rsidRPr="00260DEC" w:rsidRDefault="00892948">
      <w:pPr>
        <w:pStyle w:val="berschrift3"/>
        <w:rPr>
          <w:lang w:val="de-AT"/>
        </w:rPr>
      </w:pPr>
      <w:bookmarkStart w:id="78" w:name="X5a4ebb4824770f3cd9502b192f1234fa6ce03f2"/>
      <w:bookmarkStart w:id="79" w:name="_Toc226451915"/>
      <w:bookmarkEnd w:id="76"/>
      <w:r>
        <w:rPr>
          <w:lang w:val="de-AT"/>
        </w:rPr>
        <w:t>6.5 CSV-Datumsimport: Das Lokalisierungsproblem</w:t>
      </w:r>
      <w:bookmarkEnd w:id="79"/>
    </w:p>
    <w:p w14:paraId="63EE5E6F" w14:textId="77777777" w:rsidR="00D1028B" w:rsidRPr="00260DEC" w:rsidRDefault="00892948">
      <w:pPr>
        <w:rPr>
          <w:lang w:val="de-AT"/>
        </w:rPr>
      </w:pPr>
      <w:r>
        <w:rPr>
          <w:lang w:val="de-AT"/>
        </w:rPr>
        <w:t>CSV-Dateien haben kein einheitliches Datumsformat. Excel interpretiert Datumsangaben abhängig von den regionalen Einstellungen des Betriebssystems:</w:t>
      </w:r>
    </w:p>
    <w:p w14:paraId="63EE5E70" w14:textId="77777777" w:rsidR="00D1028B" w:rsidRPr="00260DEC" w:rsidRDefault="00892948">
      <w:pPr>
        <w:numPr>
          <w:ilvl w:val="0"/>
          <w:numId w:val="54"/>
        </w:numPr>
        <w:rPr>
          <w:lang w:val="de-AT"/>
        </w:rPr>
      </w:pPr>
      <w:r>
        <w:rPr>
          <w:lang w:val="de-AT"/>
        </w:rPr>
        <w:t>"01/02/2024" = 1. Februar (USA) oder 2. Jänner (Europa)</w:t>
      </w:r>
    </w:p>
    <w:p w14:paraId="63EE5E71" w14:textId="77777777" w:rsidR="00D1028B" w:rsidRPr="00260DEC" w:rsidRDefault="00892948">
      <w:pPr>
        <w:numPr>
          <w:ilvl w:val="0"/>
          <w:numId w:val="54"/>
        </w:numPr>
        <w:rPr>
          <w:lang w:val="de-AT"/>
        </w:rPr>
      </w:pPr>
      <w:r>
        <w:rPr>
          <w:lang w:val="de-AT"/>
        </w:rPr>
        <w:t>Internationaler Datenaustausch per CSV erzeugt regelmäßig falsche Datumsinterpretationen</w:t>
      </w:r>
    </w:p>
    <w:p w14:paraId="63EE5E72" w14:textId="77777777" w:rsidR="00D1028B" w:rsidRPr="00260DEC" w:rsidRDefault="00892948">
      <w:pPr>
        <w:numPr>
          <w:ilvl w:val="0"/>
          <w:numId w:val="54"/>
        </w:numPr>
        <w:rPr>
          <w:lang w:val="de-AT"/>
        </w:rPr>
      </w:pPr>
      <w:r>
        <w:rPr>
          <w:lang w:val="de-AT"/>
        </w:rPr>
        <w:t>Excel ändert automatisch Datumsformate beim Öffnen — Gen-IDs wie „SEPT1” wurden von Excel zu Daten konvertiert und zerstörten wissenschaftliche Datensätze (bekannter Vorfall in der Genomforschung)</w:t>
      </w:r>
    </w:p>
    <w:p w14:paraId="63EE5E73"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lastRenderedPageBreak/>
        <w:t>ChronoGrid-Opportunity: CGTA als optionales CSV-Format-Token würde Datumsangaben in Textdateien lokalisierungsunabhängig und eindeutig machen.</w:t>
      </w:r>
    </w:p>
    <w:p w14:paraId="63EE5E74" w14:textId="77777777" w:rsidR="00D1028B" w:rsidRPr="00260DEC" w:rsidRDefault="00892948">
      <w:pPr>
        <w:numPr>
          <w:ilvl w:val="0"/>
          <w:numId w:val="55"/>
        </w:numPr>
        <w:pBdr>
          <w:left w:val="single" w:sz="20" w:space="8" w:color="17A589"/>
        </w:pBdr>
        <w:shd w:val="clear" w:color="auto" w:fill="EAF7F4"/>
        <w:spacing w:before="40" w:after="40"/>
        <w:ind w:left="240"/>
        <w:rPr>
          <w:lang w:val="de-AT"/>
        </w:rPr>
      </w:pPr>
      <w:r>
        <w:rPr>
          <w:i/>
          <w:iCs/>
          <w:color w:val="0D4035"/>
          <w:sz w:val="20"/>
          <w:szCs w:val="20"/>
          <w:lang w:val="de-AT"/>
        </w:rPr>
        <w:t>CSV-Spalten mit CGTA-Werten (z. B. CG:20240201T120000Z) sind weltweit eindeutig interpretierbar — kein Unterschied zwischen europäischem und amerikanischem Datumsformat</w:t>
      </w:r>
    </w:p>
    <w:p w14:paraId="63EE5E75" w14:textId="77777777" w:rsidR="00D1028B" w:rsidRPr="00260DEC" w:rsidRDefault="00892948">
      <w:pPr>
        <w:numPr>
          <w:ilvl w:val="0"/>
          <w:numId w:val="55"/>
        </w:numPr>
        <w:pBdr>
          <w:left w:val="single" w:sz="20" w:space="8" w:color="17A589"/>
        </w:pBdr>
        <w:shd w:val="clear" w:color="auto" w:fill="EAF7F4"/>
        <w:spacing w:before="40" w:after="40"/>
        <w:ind w:left="240"/>
        <w:rPr>
          <w:lang w:val="de-AT"/>
        </w:rPr>
      </w:pPr>
      <w:r>
        <w:rPr>
          <w:i/>
          <w:iCs/>
          <w:color w:val="0D4035"/>
          <w:sz w:val="20"/>
          <w:szCs w:val="20"/>
          <w:lang w:val="de-AT"/>
        </w:rPr>
        <w:t>Excel-Importassistent mit CGTA-Erkennung: automatische, fehlerfreie Datumserkennung ohne regionale Einstellungsabhängigkeit — Gen-ID-Fehler wie „SEPT1” werden durch CGTA-Präfix strukturell verhindert</w:t>
      </w:r>
    </w:p>
    <w:p w14:paraId="63EE5E76" w14:textId="77777777" w:rsidR="00D1028B" w:rsidRPr="00260DEC" w:rsidRDefault="00892948">
      <w:pPr>
        <w:numPr>
          <w:ilvl w:val="0"/>
          <w:numId w:val="55"/>
        </w:numPr>
        <w:pBdr>
          <w:left w:val="single" w:sz="20" w:space="8" w:color="17A589"/>
        </w:pBdr>
        <w:shd w:val="clear" w:color="auto" w:fill="EAF7F4"/>
        <w:spacing w:before="40" w:after="40"/>
        <w:ind w:left="240"/>
        <w:rPr>
          <w:lang w:val="de-AT"/>
        </w:rPr>
      </w:pPr>
      <w:r>
        <w:rPr>
          <w:i/>
          <w:iCs/>
          <w:color w:val="0D4035"/>
          <w:sz w:val="20"/>
          <w:szCs w:val="20"/>
          <w:lang w:val="de-AT"/>
        </w:rPr>
        <w:t>Wissenschaftliche Datensätze mit CGTA-Zeitstempeln sind reproduzierbar und interoperabel — Genomforschung, Klimadaten und klinische Studien profitieren direkt</w:t>
      </w:r>
    </w:p>
    <w:p w14:paraId="63EE5E77" w14:textId="77777777" w:rsidR="00D1028B" w:rsidRDefault="00892948">
      <w:pPr>
        <w:pStyle w:val="berschrift3"/>
      </w:pPr>
      <w:bookmarkStart w:id="80" w:name="chronogrid-opportunity-für-excel"/>
      <w:bookmarkStart w:id="81" w:name="_Toc226451916"/>
      <w:bookmarkEnd w:id="78"/>
      <w:r>
        <w:t>6.6 ChronoGrid-Opportunity für Excel</w:t>
      </w:r>
      <w:bookmarkEnd w:id="81"/>
    </w:p>
    <w:p w14:paraId="63EE5E78" w14:textId="77777777" w:rsidR="00D1028B" w:rsidRPr="00260DEC" w:rsidRDefault="00892948">
      <w:pPr>
        <w:numPr>
          <w:ilvl w:val="0"/>
          <w:numId w:val="56"/>
        </w:numPr>
        <w:rPr>
          <w:lang w:val="de-AT"/>
        </w:rPr>
      </w:pPr>
      <w:r>
        <w:rPr>
          <w:lang w:val="de-AT"/>
        </w:rPr>
        <w:t>Neuer Zellentyp: ChronoGrid-Zeitstempel mit Zeitzonensemantik</w:t>
      </w:r>
    </w:p>
    <w:p w14:paraId="63EE5E79" w14:textId="77777777" w:rsidR="00D1028B" w:rsidRPr="00260DEC" w:rsidRDefault="00892948">
      <w:pPr>
        <w:numPr>
          <w:ilvl w:val="0"/>
          <w:numId w:val="56"/>
        </w:numPr>
        <w:rPr>
          <w:lang w:val="de-AT"/>
        </w:rPr>
      </w:pPr>
      <w:r>
        <w:rPr>
          <w:lang w:val="de-AT"/>
        </w:rPr>
        <w:t>Neue Formeln: CGDIFF(), CGADD(), CGCONVERT() mit definierter Semantik</w:t>
      </w:r>
    </w:p>
    <w:p w14:paraId="63EE5E7A" w14:textId="77777777" w:rsidR="00D1028B" w:rsidRPr="00260DEC" w:rsidRDefault="00892948">
      <w:pPr>
        <w:numPr>
          <w:ilvl w:val="0"/>
          <w:numId w:val="56"/>
        </w:numPr>
        <w:rPr>
          <w:lang w:val="de-AT"/>
        </w:rPr>
      </w:pPr>
      <w:r>
        <w:rPr>
          <w:lang w:val="de-AT"/>
        </w:rPr>
        <w:t>Diagramme: Zeitachsen mit korrekter DST-Behandlung</w:t>
      </w:r>
    </w:p>
    <w:p w14:paraId="63EE5E7B" w14:textId="77777777" w:rsidR="00D1028B" w:rsidRPr="00260DEC" w:rsidRDefault="00892948">
      <w:pPr>
        <w:numPr>
          <w:ilvl w:val="0"/>
          <w:numId w:val="56"/>
        </w:numPr>
        <w:rPr>
          <w:lang w:val="de-AT"/>
        </w:rPr>
      </w:pPr>
      <w:r>
        <w:rPr>
          <w:lang w:val="de-AT"/>
        </w:rPr>
        <w:t>Power Query: Einheitliche Zeitzonenbehandlung beim Import</w:t>
      </w:r>
    </w:p>
    <w:p w14:paraId="63EE5E7C" w14:textId="77777777" w:rsidR="00D1028B" w:rsidRDefault="00892948">
      <w:pPr>
        <w:numPr>
          <w:ilvl w:val="0"/>
          <w:numId w:val="56"/>
        </w:numPr>
      </w:pPr>
      <w:r>
        <w:t>CSV-Export: ChronoGrid-normiertes Datumsformat als Option</w:t>
      </w:r>
    </w:p>
    <w:p w14:paraId="63EE5E7D" w14:textId="77777777" w:rsidR="00D1028B" w:rsidRPr="00260DEC" w:rsidRDefault="00892948">
      <w:pPr>
        <w:numPr>
          <w:ilvl w:val="0"/>
          <w:numId w:val="56"/>
        </w:numPr>
        <w:rPr>
          <w:lang w:val="de-AT"/>
        </w:rPr>
      </w:pPr>
      <w:r>
        <w:rPr>
          <w:lang w:val="de-AT"/>
        </w:rPr>
        <w:t>LibreOffice Calc / Google Sheets könnten denselben Standard übernehmen — erstmals echte Interoperabilität</w:t>
      </w:r>
    </w:p>
    <w:p w14:paraId="63EE5E7E" w14:textId="77777777" w:rsidR="00D1028B" w:rsidRPr="00260DEC" w:rsidRDefault="00892948">
      <w:pPr>
        <w:pStyle w:val="berschrift2"/>
        <w:rPr>
          <w:lang w:val="de-AT"/>
        </w:rPr>
      </w:pPr>
      <w:bookmarkStart w:id="82" w:name="wissenschaftliche-rechenprogramme"/>
      <w:bookmarkStart w:id="83" w:name="_Toc226451917"/>
      <w:bookmarkEnd w:id="68"/>
      <w:bookmarkEnd w:id="80"/>
      <w:r>
        <w:rPr>
          <w:lang w:val="de-AT"/>
        </w:rPr>
        <w:t>7 Wissenschaftliche Rechenprogramme</w:t>
      </w:r>
      <w:bookmarkEnd w:id="83"/>
    </w:p>
    <w:p w14:paraId="63EE5E7F" w14:textId="77777777" w:rsidR="00D1028B" w:rsidRPr="00260DEC" w:rsidRDefault="00892948">
      <w:pPr>
        <w:rPr>
          <w:lang w:val="de-AT"/>
        </w:rPr>
      </w:pPr>
      <w:r>
        <w:rPr>
          <w:lang w:val="de-AT"/>
        </w:rPr>
        <w:t>In der Wissenschaft ist Reproduzierbarkeit ein Grundprinzip. Zeitbasierte Analysen scheitern jedoch regelmäßig an inkompatiblen Zeitimplementierungen zwischen Plattformen, Versionen und Institutionen.</w:t>
      </w:r>
    </w:p>
    <w:p w14:paraId="63EE5E80" w14:textId="77777777" w:rsidR="00D1028B" w:rsidRPr="00260DEC" w:rsidRDefault="00892948">
      <w:pPr>
        <w:pStyle w:val="berschrift3"/>
        <w:rPr>
          <w:lang w:val="de-AT"/>
        </w:rPr>
      </w:pPr>
      <w:bookmarkStart w:id="84" w:name="r-drei-zeitklassen-ein-chaos"/>
      <w:bookmarkStart w:id="85" w:name="_Toc226451918"/>
      <w:r>
        <w:rPr>
          <w:lang w:val="de-AT"/>
        </w:rPr>
        <w:t>7.1 R: Drei Zeitklassen, ein Chaos</w:t>
      </w:r>
      <w:bookmarkEnd w:id="85"/>
    </w:p>
    <w:p w14:paraId="63EE5E81" w14:textId="77777777" w:rsidR="00D1028B" w:rsidRDefault="00892948">
      <w:r>
        <w:rPr>
          <w:lang w:val="de-AT"/>
        </w:rPr>
        <w:t xml:space="preserve">R ist die meistgenutzte Sprache für statistische Analyse weltweit. </w:t>
      </w:r>
      <w:r>
        <w:t>Es bietet drei verschiedene Zeitklassen:</w:t>
      </w:r>
    </w:p>
    <w:p w14:paraId="63EE5E82" w14:textId="77777777" w:rsidR="00D1028B" w:rsidRPr="00260DEC" w:rsidRDefault="00892948">
      <w:pPr>
        <w:numPr>
          <w:ilvl w:val="0"/>
          <w:numId w:val="57"/>
        </w:numPr>
        <w:rPr>
          <w:lang w:val="de-AT"/>
        </w:rPr>
      </w:pPr>
      <w:r>
        <w:rPr>
          <w:lang w:val="de-AT"/>
        </w:rPr>
        <w:t>Date: Nur Datum, keine Uhrzeit, keine Zeitzone — Tage als Integer seit 1970-01-01</w:t>
      </w:r>
    </w:p>
    <w:p w14:paraId="63EE5E83" w14:textId="77777777" w:rsidR="00D1028B" w:rsidRPr="00260DEC" w:rsidRDefault="00892948">
      <w:pPr>
        <w:numPr>
          <w:ilvl w:val="0"/>
          <w:numId w:val="57"/>
        </w:numPr>
        <w:rPr>
          <w:lang w:val="de-AT"/>
        </w:rPr>
      </w:pPr>
      <w:r>
        <w:rPr>
          <w:lang w:val="de-AT"/>
        </w:rPr>
        <w:t>POSIXct: Sekunden seit 1970-01-01 00:00:00 UTC als double — mit Zeitzonenattribut</w:t>
      </w:r>
    </w:p>
    <w:p w14:paraId="63EE5E84" w14:textId="77777777" w:rsidR="00D1028B" w:rsidRPr="00260DEC" w:rsidRDefault="00892948">
      <w:pPr>
        <w:numPr>
          <w:ilvl w:val="0"/>
          <w:numId w:val="57"/>
        </w:numPr>
        <w:rPr>
          <w:lang w:val="de-AT"/>
        </w:rPr>
      </w:pPr>
      <w:r>
        <w:rPr>
          <w:lang w:val="de-AT"/>
        </w:rPr>
        <w:t>POSIXlt: Aufgeteilte Darstellung (Jahr, Monat, Tag, Stunde...) als Liste — nicht für Arithmetik geeignet</w:t>
      </w:r>
    </w:p>
    <w:p w14:paraId="63EE5E85" w14:textId="77777777" w:rsidR="00D1028B" w:rsidRPr="00260DEC" w:rsidRDefault="00892948">
      <w:pPr>
        <w:rPr>
          <w:lang w:val="de-AT"/>
        </w:rPr>
      </w:pPr>
      <w:r>
        <w:rPr>
          <w:lang w:val="de-AT"/>
        </w:rPr>
        <w:t>Das Problem: Konvertierungen zwischen diesen Klassen verlieren stillschweigend Informationen. Zeitzonenwechsel bei Konvertierungen sind abhängig von der Systemkonfiguration. Viele R-Packages implementieren eigene Zeitklassen (zoo, xts, lubridate), die wiederum inkonsistent miteinander sind.</w:t>
      </w:r>
    </w:p>
    <w:p w14:paraId="63EE5E86" w14:textId="77777777" w:rsidR="00D1028B" w:rsidRPr="00260DEC" w:rsidRDefault="00892948">
      <w:pPr>
        <w:numPr>
          <w:ilvl w:val="0"/>
          <w:numId w:val="58"/>
        </w:numPr>
        <w:rPr>
          <w:lang w:val="de-AT"/>
        </w:rPr>
      </w:pPr>
      <w:r>
        <w:rPr>
          <w:lang w:val="de-AT"/>
        </w:rPr>
        <w:t>lubridate (das Standard-Zeitpaket in R) hat bekannte Fehler bei DST-Übergängen in Additionsoperationen</w:t>
      </w:r>
    </w:p>
    <w:p w14:paraId="63EE5E87" w14:textId="77777777" w:rsidR="00D1028B" w:rsidRPr="00260DEC" w:rsidRDefault="00892948">
      <w:pPr>
        <w:numPr>
          <w:ilvl w:val="0"/>
          <w:numId w:val="58"/>
        </w:numPr>
        <w:rPr>
          <w:lang w:val="de-AT"/>
        </w:rPr>
      </w:pPr>
      <w:r>
        <w:rPr>
          <w:lang w:val="de-AT"/>
        </w:rPr>
        <w:t>data.table und dplyr behandeln Zeitgruppen bei group_by() unterschiedlich</w:t>
      </w:r>
    </w:p>
    <w:p w14:paraId="63EE5E88" w14:textId="77777777" w:rsidR="00D1028B" w:rsidRPr="00260DEC" w:rsidRDefault="00892948">
      <w:pPr>
        <w:numPr>
          <w:ilvl w:val="0"/>
          <w:numId w:val="58"/>
        </w:numPr>
        <w:rPr>
          <w:lang w:val="de-AT"/>
        </w:rPr>
      </w:pPr>
      <w:r>
        <w:rPr>
          <w:lang w:val="de-AT"/>
        </w:rPr>
        <w:t>Reproduzierbarkeit: Derselbe R-Code liefert auf Servern in unterschiedlichen Zeitzonen unterschiedliche Ergebnisse</w:t>
      </w:r>
    </w:p>
    <w:p w14:paraId="63EE5E89"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lastRenderedPageBreak/>
        <w:t>ChronoGrid-Opportunity: Ein nativer ChronoGrid-Typ für R (als S3-Klasse oder CRAN-Package) würde eine einzige, systemunabhängige Zeitdarstellung für alle Packages etablieren.</w:t>
      </w:r>
    </w:p>
    <w:p w14:paraId="63EE5E8A" w14:textId="77777777" w:rsidR="00D1028B" w:rsidRPr="00260DEC" w:rsidRDefault="00892948">
      <w:pPr>
        <w:numPr>
          <w:ilvl w:val="0"/>
          <w:numId w:val="59"/>
        </w:numPr>
        <w:pBdr>
          <w:left w:val="single" w:sz="20" w:space="8" w:color="17A589"/>
        </w:pBdr>
        <w:shd w:val="clear" w:color="auto" w:fill="EAF7F4"/>
        <w:spacing w:before="40" w:after="40"/>
        <w:ind w:left="240"/>
        <w:rPr>
          <w:lang w:val="de-AT"/>
        </w:rPr>
      </w:pPr>
      <w:r>
        <w:rPr>
          <w:i/>
          <w:iCs/>
          <w:color w:val="0D4035"/>
          <w:sz w:val="20"/>
          <w:szCs w:val="20"/>
          <w:lang w:val="de-AT"/>
        </w:rPr>
        <w:t>CGTA-Werte sind DST-agnostisch und systemzonenunabhängig — derselbe Analysecode liefert auf jedem Server identische Ergebnisse, unabhängig von lokaler Zeitzonenkonfiguration</w:t>
      </w:r>
    </w:p>
    <w:p w14:paraId="63EE5E8B" w14:textId="77777777" w:rsidR="00D1028B" w:rsidRPr="00260DEC" w:rsidRDefault="00892948">
      <w:pPr>
        <w:numPr>
          <w:ilvl w:val="0"/>
          <w:numId w:val="59"/>
        </w:numPr>
        <w:pBdr>
          <w:left w:val="single" w:sz="20" w:space="8" w:color="17A589"/>
        </w:pBdr>
        <w:shd w:val="clear" w:color="auto" w:fill="EAF7F4"/>
        <w:spacing w:before="40" w:after="40"/>
        <w:ind w:left="240"/>
        <w:rPr>
          <w:lang w:val="de-AT"/>
        </w:rPr>
      </w:pPr>
      <w:r>
        <w:rPr>
          <w:i/>
          <w:iCs/>
          <w:color w:val="0D4035"/>
          <w:sz w:val="20"/>
          <w:szCs w:val="20"/>
          <w:lang w:val="de-AT"/>
        </w:rPr>
        <w:t>lubridate, data.table und dplyr könnten CGTA als gemeinsamen kanonischen Typ verwenden — group_by()-Operationen wären über DST-Grenzen konsistent</w:t>
      </w:r>
    </w:p>
    <w:p w14:paraId="63EE5E8C" w14:textId="77777777" w:rsidR="00D1028B" w:rsidRPr="00260DEC" w:rsidRDefault="00892948">
      <w:pPr>
        <w:numPr>
          <w:ilvl w:val="0"/>
          <w:numId w:val="59"/>
        </w:numPr>
        <w:pBdr>
          <w:left w:val="single" w:sz="20" w:space="8" w:color="17A589"/>
        </w:pBdr>
        <w:shd w:val="clear" w:color="auto" w:fill="EAF7F4"/>
        <w:spacing w:before="40" w:after="40"/>
        <w:ind w:left="240"/>
        <w:rPr>
          <w:lang w:val="de-AT"/>
        </w:rPr>
      </w:pPr>
      <w:r>
        <w:rPr>
          <w:i/>
          <w:iCs/>
          <w:color w:val="0D4035"/>
          <w:sz w:val="20"/>
          <w:szCs w:val="20"/>
          <w:lang w:val="de-AT"/>
        </w:rPr>
        <w:t>Reproduzierbarkeit wissenschaftlicher Studien: Zeitstempel in R-basierten Publikationen als CGTA publiziert sind ohne Systemkonfigurationswissen exakt reproduzierbar</w:t>
      </w:r>
    </w:p>
    <w:p w14:paraId="63EE5E8D" w14:textId="77777777" w:rsidR="00D1028B" w:rsidRPr="00260DEC" w:rsidRDefault="00892948">
      <w:pPr>
        <w:pStyle w:val="berschrift3"/>
        <w:rPr>
          <w:lang w:val="de-AT"/>
        </w:rPr>
      </w:pPr>
      <w:bookmarkStart w:id="86" w:name="X81489337eca8695528f1f7346652f34fdd24d9b"/>
      <w:bookmarkStart w:id="87" w:name="_Toc226451919"/>
      <w:bookmarkEnd w:id="84"/>
      <w:r>
        <w:rPr>
          <w:lang w:val="de-AT"/>
        </w:rPr>
        <w:t>7.2 Python: NumPy, Pandas und ihre Inkompatibilitäten</w:t>
      </w:r>
      <w:bookmarkEnd w:id="87"/>
    </w:p>
    <w:p w14:paraId="63EE5E8E" w14:textId="77777777" w:rsidR="00D1028B" w:rsidRPr="00260DEC" w:rsidRDefault="00892948">
      <w:pPr>
        <w:numPr>
          <w:ilvl w:val="0"/>
          <w:numId w:val="60"/>
        </w:numPr>
        <w:rPr>
          <w:lang w:val="de-AT"/>
        </w:rPr>
      </w:pPr>
      <w:r>
        <w:rPr>
          <w:lang w:val="de-AT"/>
        </w:rPr>
        <w:t>numpy.datetime64: Kein Zeitzonenkonzept. Zeitzone ist implizit immer UTC — aber nicht explizit markiert</w:t>
      </w:r>
    </w:p>
    <w:p w14:paraId="63EE5E8F" w14:textId="77777777" w:rsidR="00D1028B" w:rsidRPr="00260DEC" w:rsidRDefault="00892948">
      <w:pPr>
        <w:numPr>
          <w:ilvl w:val="0"/>
          <w:numId w:val="60"/>
        </w:numPr>
        <w:rPr>
          <w:lang w:val="de-AT"/>
        </w:rPr>
      </w:pPr>
      <w:r>
        <w:rPr>
          <w:lang w:val="de-AT"/>
        </w:rPr>
        <w:t>pandas.Timestamp: Wrapper um numpy.datetime64 mit optionaler Zeitzone. Konvertierung zwischen tz-aware und tz-naive wirft Fehler oder konvertiert still</w:t>
      </w:r>
    </w:p>
    <w:p w14:paraId="63EE5E90" w14:textId="77777777" w:rsidR="00D1028B" w:rsidRPr="00260DEC" w:rsidRDefault="00892948">
      <w:pPr>
        <w:numPr>
          <w:ilvl w:val="0"/>
          <w:numId w:val="60"/>
        </w:numPr>
        <w:rPr>
          <w:lang w:val="de-AT"/>
        </w:rPr>
      </w:pPr>
      <w:r>
        <w:rPr>
          <w:lang w:val="de-AT"/>
        </w:rPr>
        <w:t>pandas.DatetimeIndex: Zeitzonenkonvertierungen verändern intern die darunterliegenden UTC-Werte — für viele Nutzer unerwartet</w:t>
      </w:r>
    </w:p>
    <w:p w14:paraId="63EE5E91" w14:textId="77777777" w:rsidR="00D1028B" w:rsidRPr="00260DEC" w:rsidRDefault="00892948">
      <w:pPr>
        <w:numPr>
          <w:ilvl w:val="0"/>
          <w:numId w:val="60"/>
        </w:numPr>
        <w:rPr>
          <w:lang w:val="de-AT"/>
        </w:rPr>
      </w:pPr>
      <w:r>
        <w:rPr>
          <w:lang w:val="de-AT"/>
        </w:rPr>
        <w:t>datetime.datetime (Python-Standard): Inkompatibel mit pandas.Timestamp bei bestimmten Operationen</w:t>
      </w:r>
    </w:p>
    <w:p w14:paraId="63EE5E92" w14:textId="77777777" w:rsidR="00D1028B" w:rsidRPr="00260DEC" w:rsidRDefault="00892948">
      <w:pPr>
        <w:numPr>
          <w:ilvl w:val="0"/>
          <w:numId w:val="60"/>
        </w:numPr>
        <w:rPr>
          <w:lang w:val="de-AT"/>
        </w:rPr>
      </w:pPr>
      <w:r>
        <w:rPr>
          <w:lang w:val="de-AT"/>
        </w:rPr>
        <w:t>polars (neues DataFrame-Framework): Eigene Zeitimplementierung, wieder andere Semantik</w:t>
      </w:r>
    </w:p>
    <w:p w14:paraId="63EE5E93" w14:textId="77777777" w:rsidR="00D1028B" w:rsidRPr="00260DEC" w:rsidRDefault="00892948">
      <w:pPr>
        <w:rPr>
          <w:lang w:val="de-AT"/>
        </w:rPr>
      </w:pPr>
      <w:r>
        <w:rPr>
          <w:lang w:val="de-AT"/>
        </w:rPr>
        <w:t>Konkrete Forschungsauswirkung: Eine Klimaanalyse, die in einer US-amerikanischen Universität entwickelt wurde, liefert bei Ausführung auf einem europäischen Rechencluster andere Ergebnisse, wenn lokale Zeiteinstellungen nicht explizit kontrolliert werden.</w:t>
      </w:r>
    </w:p>
    <w:p w14:paraId="63EE5E94" w14:textId="77777777" w:rsidR="00D1028B" w:rsidRPr="00260DEC" w:rsidRDefault="00892948">
      <w:pPr>
        <w:pStyle w:val="Textkrper"/>
        <w:pBdr>
          <w:left w:val="single" w:sz="20" w:space="8" w:color="17A589"/>
        </w:pBdr>
        <w:shd w:val="clear" w:color="auto" w:fill="EAF7F4"/>
        <w:spacing w:before="40" w:after="40"/>
        <w:ind w:left="240"/>
        <w:rPr>
          <w:lang w:val="de-AT"/>
        </w:rPr>
      </w:pPr>
      <w:r>
        <w:rPr>
          <w:i/>
          <w:iCs/>
          <w:color w:val="0D4035"/>
          <w:sz w:val="20"/>
          <w:szCs w:val="20"/>
          <w:lang w:val="de-AT"/>
        </w:rPr>
        <w:t>ChronoGrid-Opportunity: Ein ChronoGrid-Extension-Dtype für pandas und ein ChronoGrid-Array-API-kompatibles Objekt für NumPy würden die tz-aware/tz-naive-Dichotomie strukturell eliminieren.</w:t>
      </w:r>
    </w:p>
    <w:p w14:paraId="63EE5E95" w14:textId="77777777" w:rsidR="00D1028B" w:rsidRPr="00260DEC" w:rsidRDefault="00892948">
      <w:pPr>
        <w:numPr>
          <w:ilvl w:val="0"/>
          <w:numId w:val="61"/>
        </w:numPr>
        <w:pBdr>
          <w:left w:val="single" w:sz="20" w:space="8" w:color="17A589"/>
        </w:pBdr>
        <w:shd w:val="clear" w:color="auto" w:fill="EAF7F4"/>
        <w:spacing w:before="40" w:after="40"/>
        <w:ind w:left="240"/>
        <w:rPr>
          <w:lang w:val="de-AT"/>
        </w:rPr>
      </w:pPr>
      <w:r>
        <w:rPr>
          <w:i/>
          <w:iCs/>
          <w:color w:val="0D4035"/>
          <w:sz w:val="20"/>
          <w:szCs w:val="20"/>
          <w:lang w:val="de-AT"/>
        </w:rPr>
        <w:t>CGTA-Werte sind immer absolut (TAI-Basis) — das Konzept „timezone-naive” entfällt; jeder Zeitstempel ist eindeutig und plattformübergreifend reproduzierbar</w:t>
      </w:r>
    </w:p>
    <w:p w14:paraId="63EE5E96" w14:textId="77777777" w:rsidR="00D1028B" w:rsidRPr="00260DEC" w:rsidRDefault="00892948">
      <w:pPr>
        <w:numPr>
          <w:ilvl w:val="0"/>
          <w:numId w:val="61"/>
        </w:numPr>
        <w:pBdr>
          <w:left w:val="single" w:sz="20" w:space="8" w:color="17A589"/>
        </w:pBdr>
        <w:shd w:val="clear" w:color="auto" w:fill="EAF7F4"/>
        <w:spacing w:before="40" w:after="40"/>
        <w:ind w:left="240"/>
        <w:rPr>
          <w:lang w:val="de-AT"/>
        </w:rPr>
      </w:pPr>
      <w:r>
        <w:rPr>
          <w:i/>
          <w:iCs/>
          <w:color w:val="0D4035"/>
          <w:sz w:val="20"/>
          <w:szCs w:val="20"/>
          <w:lang w:val="de-AT"/>
        </w:rPr>
        <w:t>pandas-Operationen wie resample(), groupby() und merge_asof() auf CGTA-Basis sind über DST-Grenzen korrekt — keine stillen Konversionsfehler bei UTC-Offsets</w:t>
      </w:r>
    </w:p>
    <w:p w14:paraId="63EE5E97" w14:textId="77777777" w:rsidR="00D1028B" w:rsidRPr="00260DEC" w:rsidRDefault="00892948">
      <w:pPr>
        <w:numPr>
          <w:ilvl w:val="0"/>
          <w:numId w:val="61"/>
        </w:numPr>
        <w:pBdr>
          <w:left w:val="single" w:sz="20" w:space="8" w:color="17A589"/>
        </w:pBdr>
        <w:shd w:val="clear" w:color="auto" w:fill="EAF7F4"/>
        <w:spacing w:before="40" w:after="40"/>
        <w:ind w:left="240"/>
        <w:rPr>
          <w:lang w:val="de-AT"/>
        </w:rPr>
      </w:pPr>
      <w:r>
        <w:rPr>
          <w:i/>
          <w:iCs/>
          <w:color w:val="0D4035"/>
          <w:sz w:val="20"/>
          <w:szCs w:val="20"/>
          <w:lang w:val="de-AT"/>
        </w:rPr>
        <w:t>polars könnte ChronoGrid als kanonischen Basistyp nativ implementieren und damit als erste DataFrame-Bibliothek vollständige Zeitinteroperabilität bieten</w:t>
      </w:r>
    </w:p>
    <w:p w14:paraId="63EE5E98" w14:textId="77777777" w:rsidR="00D1028B" w:rsidRPr="00260DEC" w:rsidRDefault="00892948">
      <w:pPr>
        <w:numPr>
          <w:ilvl w:val="0"/>
          <w:numId w:val="61"/>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5E99" w14:textId="77777777" w:rsidR="00D1028B" w:rsidRDefault="00892948">
      <w:pPr>
        <w:pStyle w:val="berschrift3"/>
      </w:pPr>
      <w:bookmarkStart w:id="88" w:name="matlab-legacy-und-modernisierung"/>
      <w:bookmarkStart w:id="89" w:name="_Toc226451920"/>
      <w:bookmarkEnd w:id="86"/>
      <w:r>
        <w:t>7.3 MATLAB: Legacy und Modernisierung</w:t>
      </w:r>
      <w:bookmarkEnd w:id="89"/>
    </w:p>
    <w:p w14:paraId="63EE5E9A" w14:textId="77777777" w:rsidR="00D1028B" w:rsidRDefault="00892948">
      <w:pPr>
        <w:numPr>
          <w:ilvl w:val="0"/>
          <w:numId w:val="62"/>
        </w:numPr>
      </w:pPr>
      <w:r>
        <w:t>datenum(): Legacy-Funktion, Tage seit 0. Jänner 0000 — keine Zeitzonenunterstützung, floating-point Präzisionsprobleme</w:t>
      </w:r>
    </w:p>
    <w:p w14:paraId="63EE5E9B" w14:textId="77777777" w:rsidR="00D1028B" w:rsidRPr="00260DEC" w:rsidRDefault="00892948">
      <w:pPr>
        <w:numPr>
          <w:ilvl w:val="0"/>
          <w:numId w:val="62"/>
        </w:numPr>
        <w:rPr>
          <w:lang w:val="de-AT"/>
        </w:rPr>
      </w:pPr>
      <w:r>
        <w:rPr>
          <w:lang w:val="de-AT"/>
        </w:rPr>
        <w:t>datetime (ab 2014): Verbessert, mit Zeitzonenunterstützung, aber nicht rückwärtskompatibel zu datenum()</w:t>
      </w:r>
    </w:p>
    <w:p w14:paraId="63EE5E9C" w14:textId="77777777" w:rsidR="00D1028B" w:rsidRPr="00260DEC" w:rsidRDefault="00892948">
      <w:pPr>
        <w:numPr>
          <w:ilvl w:val="0"/>
          <w:numId w:val="62"/>
        </w:numPr>
        <w:rPr>
          <w:lang w:val="de-AT"/>
        </w:rPr>
      </w:pPr>
      <w:r>
        <w:rPr>
          <w:lang w:val="de-AT"/>
        </w:rPr>
        <w:t>Simulink: Signalverarbeitung mit Zeitachsen nutzt häufig noch datenum() aus Kompatibilitätsgründen</w:t>
      </w:r>
    </w:p>
    <w:p w14:paraId="63EE5E9D" w14:textId="77777777" w:rsidR="00D1028B" w:rsidRPr="00260DEC" w:rsidRDefault="00892948">
      <w:pPr>
        <w:numPr>
          <w:ilvl w:val="0"/>
          <w:numId w:val="62"/>
        </w:numPr>
        <w:rPr>
          <w:lang w:val="de-AT"/>
        </w:rPr>
      </w:pPr>
      <w:r>
        <w:rPr>
          <w:lang w:val="de-AT"/>
        </w:rPr>
        <w:lastRenderedPageBreak/>
        <w:t>MATLAB Online vs. Desktop: Zeitzonenverhalten kann abweichen je nach Serverkonfiguration</w:t>
      </w:r>
    </w:p>
    <w:p w14:paraId="63EE5E9E" w14:textId="77777777" w:rsidR="00D1028B" w:rsidRPr="00260DEC" w:rsidRDefault="00892948">
      <w:pPr>
        <w:numPr>
          <w:ilvl w:val="0"/>
          <w:numId w:val="62"/>
        </w:numPr>
        <w:rPr>
          <w:lang w:val="de-AT"/>
        </w:rPr>
      </w:pPr>
      <w:r>
        <w:rPr>
          <w:lang w:val="de-AT"/>
        </w:rPr>
        <w:t>Viele Ingenieurberechnungen (Regelungstechnik, Signalverarbeitung) in der Industrie basieren auf MATLAB-Code aus den 1990ern mit datenum() — Migration ist teuer</w:t>
      </w:r>
    </w:p>
    <w:p w14:paraId="63EE5E9F"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ChronoGrid als MATLAB-Toolbox mit einem nativen cgtime-Typ würde datenum() als kanonischen Nachfolger ablösen und gleichzeitig vollständige Rückwärtskompatibilität per Konversionsfunktion bieten.</w:t>
      </w:r>
    </w:p>
    <w:p w14:paraId="63EE5EA0" w14:textId="77777777" w:rsidR="00D1028B" w:rsidRPr="00260DEC" w:rsidRDefault="00892948">
      <w:pPr>
        <w:numPr>
          <w:ilvl w:val="0"/>
          <w:numId w:val="63"/>
        </w:numPr>
        <w:pBdr>
          <w:left w:val="single" w:sz="20" w:space="8" w:color="17A589"/>
        </w:pBdr>
        <w:shd w:val="clear" w:color="auto" w:fill="EAF7F4"/>
        <w:spacing w:before="40" w:after="40"/>
        <w:ind w:left="240"/>
        <w:rPr>
          <w:lang w:val="de-AT"/>
        </w:rPr>
      </w:pPr>
      <w:r>
        <w:rPr>
          <w:i/>
          <w:iCs/>
          <w:color w:val="0D4035"/>
          <w:sz w:val="20"/>
          <w:szCs w:val="20"/>
          <w:lang w:val="de-AT"/>
        </w:rPr>
        <w:t>cgtime als ganzzahliger BigInt-Typ eliminiert die Floating-Point-Präzisionsprobleme von datenum() — besonders relevant für Simulink-Zeitachsen in sicherheitskritischen Systemen (Avionik, Automotive)</w:t>
      </w:r>
    </w:p>
    <w:p w14:paraId="63EE5EA1" w14:textId="77777777" w:rsidR="00D1028B" w:rsidRPr="00260DEC" w:rsidRDefault="00892948">
      <w:pPr>
        <w:numPr>
          <w:ilvl w:val="0"/>
          <w:numId w:val="63"/>
        </w:numPr>
        <w:pBdr>
          <w:left w:val="single" w:sz="20" w:space="8" w:color="17A589"/>
        </w:pBdr>
        <w:shd w:val="clear" w:color="auto" w:fill="EAF7F4"/>
        <w:spacing w:before="40" w:after="40"/>
        <w:ind w:left="240"/>
        <w:rPr>
          <w:lang w:val="de-AT"/>
        </w:rPr>
      </w:pPr>
      <w:r>
        <w:rPr>
          <w:i/>
          <w:iCs/>
          <w:color w:val="0D4035"/>
          <w:sz w:val="20"/>
          <w:szCs w:val="20"/>
          <w:lang w:val="de-AT"/>
        </w:rPr>
        <w:t>MATLAB-generierter C-Code für Embedded-Systeme würde mit CGTA automatisch 2038-sicher sein — kein separater Migrationspfad für 32-Bit-Zielplattformen notwendig</w:t>
      </w:r>
    </w:p>
    <w:p w14:paraId="63EE5EA2" w14:textId="77777777" w:rsidR="00D1028B" w:rsidRPr="00260DEC" w:rsidRDefault="00892948">
      <w:pPr>
        <w:numPr>
          <w:ilvl w:val="0"/>
          <w:numId w:val="63"/>
        </w:numPr>
        <w:pBdr>
          <w:left w:val="single" w:sz="20" w:space="8" w:color="17A589"/>
        </w:pBdr>
        <w:shd w:val="clear" w:color="auto" w:fill="EAF7F4"/>
        <w:spacing w:before="40" w:after="40"/>
        <w:ind w:left="240"/>
        <w:rPr>
          <w:lang w:val="de-AT"/>
        </w:rPr>
      </w:pPr>
      <w:r>
        <w:rPr>
          <w:i/>
          <w:iCs/>
          <w:color w:val="0D4035"/>
          <w:sz w:val="20"/>
          <w:szCs w:val="20"/>
          <w:lang w:val="de-AT"/>
        </w:rPr>
        <w:t>Serverunabhängige Reproduzierbarkeit: MATLAB Online und Desktop liefern identische Ergebnisse, da CGTA keine Systemzeitzone referenziert</w:t>
      </w:r>
    </w:p>
    <w:p w14:paraId="63EE5EA3" w14:textId="77777777" w:rsidR="00D1028B" w:rsidRDefault="00892948">
      <w:pPr>
        <w:numPr>
          <w:ilvl w:val="0"/>
          <w:numId w:val="63"/>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5EA4" w14:textId="77777777" w:rsidR="00D1028B" w:rsidRDefault="00892948">
      <w:pPr>
        <w:pStyle w:val="berschrift3"/>
      </w:pPr>
      <w:bookmarkStart w:id="90" w:name="wolfram-mathematica"/>
      <w:bookmarkStart w:id="91" w:name="_Toc226451921"/>
      <w:bookmarkEnd w:id="88"/>
      <w:r>
        <w:t>7.4 Wolfram Mathematica</w:t>
      </w:r>
      <w:bookmarkEnd w:id="91"/>
    </w:p>
    <w:p w14:paraId="63EE5EA5" w14:textId="77777777" w:rsidR="00D1028B" w:rsidRPr="00260DEC" w:rsidRDefault="00892948">
      <w:pPr>
        <w:numPr>
          <w:ilvl w:val="0"/>
          <w:numId w:val="64"/>
        </w:numPr>
        <w:rPr>
          <w:lang w:val="de-AT"/>
        </w:rPr>
      </w:pPr>
      <w:r>
        <w:rPr>
          <w:lang w:val="de-AT"/>
        </w:rPr>
        <w:t>DateObject[]: Flexibles, aber proprietäres Format. Nicht exportierbar in Standardformate ohne Konvertierungsverlust</w:t>
      </w:r>
    </w:p>
    <w:p w14:paraId="63EE5EA6" w14:textId="77777777" w:rsidR="00D1028B" w:rsidRPr="00260DEC" w:rsidRDefault="00892948">
      <w:pPr>
        <w:numPr>
          <w:ilvl w:val="0"/>
          <w:numId w:val="64"/>
        </w:numPr>
        <w:rPr>
          <w:lang w:val="de-AT"/>
        </w:rPr>
      </w:pPr>
      <w:r>
        <w:rPr>
          <w:lang w:val="de-AT"/>
        </w:rPr>
        <w:t>TimeZone-Option: Vorhanden, aber global als Systemeinstellung — kein Per-Objekt-Timezone-Konzept</w:t>
      </w:r>
    </w:p>
    <w:p w14:paraId="63EE5EA7" w14:textId="77777777" w:rsidR="00D1028B" w:rsidRPr="00260DEC" w:rsidRDefault="00892948">
      <w:pPr>
        <w:numPr>
          <w:ilvl w:val="0"/>
          <w:numId w:val="64"/>
        </w:numPr>
        <w:rPr>
          <w:lang w:val="de-AT"/>
        </w:rPr>
      </w:pPr>
      <w:r>
        <w:rPr>
          <w:lang w:val="de-AT"/>
        </w:rPr>
        <w:t>Mathematica-Notebooks: Zeitangaben in gespeicherten Notebooks sind an Systemzeitzone gebunden — beim Öffnen auf anderem System potentiell anders</w:t>
      </w:r>
    </w:p>
    <w:p w14:paraId="63EE5EA8" w14:textId="77777777" w:rsidR="00D1028B" w:rsidRPr="00260DEC" w:rsidRDefault="00892948">
      <w:pPr>
        <w:numPr>
          <w:ilvl w:val="0"/>
          <w:numId w:val="64"/>
        </w:numPr>
        <w:rPr>
          <w:lang w:val="de-AT"/>
        </w:rPr>
      </w:pPr>
      <w:r>
        <w:rPr>
          <w:lang w:val="de-AT"/>
        </w:rPr>
        <w:t>WolframAlpha-Integration: Zeitinterpretation hängt von Standortinferenz ab</w:t>
      </w:r>
    </w:p>
    <w:p w14:paraId="63EE5EA9"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ChronoGrid als exportierbarer, interoperabler Zeitstandard für Mathematica würde Notebooks systemzonenunabhängig und dauerhaft reproduzierbar machen.</w:t>
      </w:r>
    </w:p>
    <w:p w14:paraId="63EE5EAA" w14:textId="77777777" w:rsidR="00D1028B" w:rsidRPr="00260DEC" w:rsidRDefault="00892948">
      <w:pPr>
        <w:numPr>
          <w:ilvl w:val="0"/>
          <w:numId w:val="65"/>
        </w:numPr>
        <w:pBdr>
          <w:left w:val="single" w:sz="20" w:space="8" w:color="17A589"/>
        </w:pBdr>
        <w:shd w:val="clear" w:color="auto" w:fill="EAF7F4"/>
        <w:spacing w:before="40" w:after="40"/>
        <w:ind w:left="240"/>
        <w:rPr>
          <w:lang w:val="de-AT"/>
        </w:rPr>
      </w:pPr>
      <w:r>
        <w:rPr>
          <w:i/>
          <w:iCs/>
          <w:color w:val="0D4035"/>
          <w:sz w:val="20"/>
          <w:szCs w:val="20"/>
          <w:lang w:val="de-AT"/>
        </w:rPr>
        <w:t>CGTA-Zeitwerte in Notebooks sind beim Öffnen auf jedem System identisch interpretiert — keine stillen Zeitzonenverschiebungen beim Austausch von Notebooks zwischen Institutionen</w:t>
      </w:r>
    </w:p>
    <w:p w14:paraId="63EE5EAB" w14:textId="77777777" w:rsidR="00D1028B" w:rsidRPr="00260DEC" w:rsidRDefault="00892948">
      <w:pPr>
        <w:numPr>
          <w:ilvl w:val="0"/>
          <w:numId w:val="65"/>
        </w:numPr>
        <w:pBdr>
          <w:left w:val="single" w:sz="20" w:space="8" w:color="17A589"/>
        </w:pBdr>
        <w:shd w:val="clear" w:color="auto" w:fill="EAF7F4"/>
        <w:spacing w:before="40" w:after="40"/>
        <w:ind w:left="240"/>
        <w:rPr>
          <w:lang w:val="de-AT"/>
        </w:rPr>
      </w:pPr>
      <w:r>
        <w:rPr>
          <w:i/>
          <w:iCs/>
          <w:color w:val="0D4035"/>
          <w:sz w:val="20"/>
          <w:szCs w:val="20"/>
          <w:lang w:val="de-AT"/>
        </w:rPr>
        <w:t>WolframAlpha-Zeitabfragen mit CGTA-Referenz wären standortunabhängig deterministisch — Zeitinterpretation nicht mehr von Standortinferenz abhängig</w:t>
      </w:r>
    </w:p>
    <w:p w14:paraId="63EE5EAC" w14:textId="77777777" w:rsidR="00D1028B" w:rsidRPr="00260DEC" w:rsidRDefault="00892948">
      <w:pPr>
        <w:numPr>
          <w:ilvl w:val="0"/>
          <w:numId w:val="65"/>
        </w:numPr>
        <w:pBdr>
          <w:left w:val="single" w:sz="20" w:space="8" w:color="17A589"/>
        </w:pBdr>
        <w:shd w:val="clear" w:color="auto" w:fill="EAF7F4"/>
        <w:spacing w:before="40" w:after="40"/>
        <w:ind w:left="240"/>
        <w:rPr>
          <w:lang w:val="de-AT"/>
        </w:rPr>
      </w:pPr>
      <w:r>
        <w:rPr>
          <w:i/>
          <w:iCs/>
          <w:color w:val="0D4035"/>
          <w:sz w:val="20"/>
          <w:szCs w:val="20"/>
          <w:lang w:val="de-AT"/>
        </w:rPr>
        <w:t>DateObject[] als CGTA-basierter Typ wäre verlustfrei in alle wissenschaftlichen Standardformate (HDF5, NetCDF, FITS) exportierbar</w:t>
      </w:r>
    </w:p>
    <w:p w14:paraId="63EE5EAD" w14:textId="77777777" w:rsidR="00D1028B" w:rsidRPr="00260DEC" w:rsidRDefault="00892948">
      <w:pPr>
        <w:pStyle w:val="berschrift3"/>
        <w:rPr>
          <w:lang w:val="de-AT"/>
        </w:rPr>
      </w:pPr>
      <w:bookmarkStart w:id="92" w:name="sas-und-spss-das-legacy-problem"/>
      <w:bookmarkStart w:id="93" w:name="_Toc226451922"/>
      <w:bookmarkEnd w:id="90"/>
      <w:r>
        <w:rPr>
          <w:lang w:val="de-AT"/>
        </w:rPr>
        <w:t>7.5 SAS und SPSS: Das Legacy-Problem</w:t>
      </w:r>
      <w:bookmarkEnd w:id="93"/>
    </w:p>
    <w:p w14:paraId="63EE5EAE" w14:textId="77777777" w:rsidR="00D1028B" w:rsidRDefault="00892948">
      <w:r>
        <w:rPr>
          <w:lang w:val="de-AT"/>
        </w:rPr>
        <w:t xml:space="preserve">SAS (Statistical Analysis System) und SPSS sind in der empirischen Sozialforschung, Pharmaindustrie und Behördenstatistik weit verbreitet. </w:t>
      </w:r>
      <w:r>
        <w:t>Beide haben Zeitimplementierungen aus den 1970ern:</w:t>
      </w:r>
    </w:p>
    <w:p w14:paraId="63EE5EAF" w14:textId="77777777" w:rsidR="00D1028B" w:rsidRPr="00260DEC" w:rsidRDefault="00892948">
      <w:pPr>
        <w:numPr>
          <w:ilvl w:val="0"/>
          <w:numId w:val="66"/>
        </w:numPr>
        <w:rPr>
          <w:lang w:val="de-AT"/>
        </w:rPr>
      </w:pPr>
      <w:r>
        <w:rPr>
          <w:lang w:val="de-AT"/>
        </w:rPr>
        <w:t>SAS: Datum = Tage seit 1. Jänner 1960 als Integer; Zeit = Sekunden seit Mitternacht als Float</w:t>
      </w:r>
    </w:p>
    <w:p w14:paraId="63EE5EB0" w14:textId="77777777" w:rsidR="00D1028B" w:rsidRPr="00260DEC" w:rsidRDefault="00892948">
      <w:pPr>
        <w:numPr>
          <w:ilvl w:val="0"/>
          <w:numId w:val="66"/>
        </w:numPr>
        <w:rPr>
          <w:lang w:val="de-AT"/>
        </w:rPr>
      </w:pPr>
      <w:r>
        <w:rPr>
          <w:lang w:val="de-AT"/>
        </w:rPr>
        <w:t>SAS kennt Zeitzonen erst seit Version 9.4 (2013) — älterer Code ist timezone-naiv</w:t>
      </w:r>
    </w:p>
    <w:p w14:paraId="63EE5EB1" w14:textId="77777777" w:rsidR="00D1028B" w:rsidRDefault="00892948">
      <w:pPr>
        <w:numPr>
          <w:ilvl w:val="0"/>
          <w:numId w:val="66"/>
        </w:numPr>
      </w:pPr>
      <w:r>
        <w:rPr>
          <w:lang w:val="de-AT"/>
        </w:rPr>
        <w:t xml:space="preserve">SPSS: Datum als Sekunden seit 14. </w:t>
      </w:r>
      <w:r>
        <w:t>Oktober 1582 (Gregorianische Kalenderreform!) als Float</w:t>
      </w:r>
    </w:p>
    <w:p w14:paraId="63EE5EB2" w14:textId="77777777" w:rsidR="00D1028B" w:rsidRPr="00260DEC" w:rsidRDefault="00892948">
      <w:pPr>
        <w:numPr>
          <w:ilvl w:val="0"/>
          <w:numId w:val="66"/>
        </w:numPr>
        <w:rPr>
          <w:lang w:val="de-AT"/>
        </w:rPr>
      </w:pPr>
      <w:r>
        <w:rPr>
          <w:lang w:val="de-AT"/>
        </w:rPr>
        <w:lastRenderedPageBreak/>
        <w:t>Datenaustausch zwischen SAS und SPSS erfordert manuelle Offset-Korrekturen</w:t>
      </w:r>
    </w:p>
    <w:p w14:paraId="63EE5EB3" w14:textId="77777777" w:rsidR="00D1028B" w:rsidRPr="00260DEC" w:rsidRDefault="00892948">
      <w:pPr>
        <w:numPr>
          <w:ilvl w:val="0"/>
          <w:numId w:val="66"/>
        </w:numPr>
        <w:rPr>
          <w:lang w:val="de-AT"/>
        </w:rPr>
      </w:pPr>
      <w:r>
        <w:rPr>
          <w:lang w:val="de-AT"/>
        </w:rPr>
        <w:t>Pharmaklinische Studien (FDA-Einreichungen): Zeitstempel in SAS-Datensätzen sind regulatorisch relevant — Fehler haben Folgen</w:t>
      </w:r>
    </w:p>
    <w:p w14:paraId="63EE5EB4"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CTDDL kann die unterschiedlichen Epochen von SAS (1960-01-01) und SPSS (1582-10-14) als formale Domain-Definitionen beschreiben — Konvertierungen werden damit verlustfrei, auditierbar und maschinell verifizierbar.</w:t>
      </w:r>
    </w:p>
    <w:p w14:paraId="63EE5EB5" w14:textId="77777777" w:rsidR="00D1028B" w:rsidRPr="00260DEC" w:rsidRDefault="00892948">
      <w:pPr>
        <w:numPr>
          <w:ilvl w:val="0"/>
          <w:numId w:val="67"/>
        </w:numPr>
        <w:pBdr>
          <w:left w:val="single" w:sz="20" w:space="8" w:color="17A589"/>
        </w:pBdr>
        <w:shd w:val="clear" w:color="auto" w:fill="EAF7F4"/>
        <w:spacing w:before="40" w:after="40"/>
        <w:ind w:left="240"/>
        <w:rPr>
          <w:lang w:val="de-AT"/>
        </w:rPr>
      </w:pPr>
      <w:r>
        <w:rPr>
          <w:i/>
          <w:iCs/>
          <w:color w:val="0D4035"/>
          <w:sz w:val="20"/>
          <w:szCs w:val="20"/>
          <w:lang w:val="de-AT"/>
        </w:rPr>
        <w:t>SAS-zu-SPSS-Datenaustausch über CGTA als kanonische Zwischendarstellung: manuelle Offset-Korrekturen entfallen, Konversionsfehler werden strukturell ausgeschlossen</w:t>
      </w:r>
    </w:p>
    <w:p w14:paraId="63EE5EB6" w14:textId="77777777" w:rsidR="00D1028B" w:rsidRPr="00260DEC" w:rsidRDefault="00892948">
      <w:pPr>
        <w:numPr>
          <w:ilvl w:val="0"/>
          <w:numId w:val="67"/>
        </w:numPr>
        <w:pBdr>
          <w:left w:val="single" w:sz="20" w:space="8" w:color="17A589"/>
        </w:pBdr>
        <w:shd w:val="clear" w:color="auto" w:fill="EAF7F4"/>
        <w:spacing w:before="40" w:after="40"/>
        <w:ind w:left="240"/>
        <w:rPr>
          <w:lang w:val="de-AT"/>
        </w:rPr>
      </w:pPr>
      <w:r>
        <w:rPr>
          <w:i/>
          <w:iCs/>
          <w:color w:val="0D4035"/>
          <w:sz w:val="20"/>
          <w:szCs w:val="20"/>
          <w:lang w:val="de-AT"/>
        </w:rPr>
        <w:t>FDA-Einreichungen mit CGTA-normalisierten Zeitstempeln sind manipulationsresistent und jurisdiktionsübergreifend eindeutig — Prüfbehörden können Zeitstempel ohne SAS-Installation verifizieren</w:t>
      </w:r>
    </w:p>
    <w:p w14:paraId="63EE5EB7" w14:textId="77777777" w:rsidR="00D1028B" w:rsidRPr="00260DEC" w:rsidRDefault="00892948">
      <w:pPr>
        <w:numPr>
          <w:ilvl w:val="0"/>
          <w:numId w:val="67"/>
        </w:numPr>
        <w:pBdr>
          <w:left w:val="single" w:sz="20" w:space="8" w:color="17A589"/>
        </w:pBdr>
        <w:shd w:val="clear" w:color="auto" w:fill="EAF7F4"/>
        <w:spacing w:before="40" w:after="40"/>
        <w:ind w:left="240"/>
        <w:rPr>
          <w:lang w:val="de-AT"/>
        </w:rPr>
      </w:pPr>
      <w:r>
        <w:rPr>
          <w:i/>
          <w:iCs/>
          <w:color w:val="0D4035"/>
          <w:sz w:val="20"/>
          <w:szCs w:val="20"/>
          <w:lang w:val="de-AT"/>
        </w:rPr>
        <w:t>Legacy-SAS-Code aus den 1970ern und 1980ern bleibt nutzbar: CGTA-Werte können deterministisch in das SAS-Datumsformat zurückkonvertiert werden, ohne Präzisionsverlust</w:t>
      </w:r>
    </w:p>
    <w:p w14:paraId="63EE5EB8" w14:textId="77777777" w:rsidR="00D1028B" w:rsidRDefault="00892948">
      <w:pPr>
        <w:numPr>
          <w:ilvl w:val="0"/>
          <w:numId w:val="67"/>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5EB9" w14:textId="77777777" w:rsidR="00D1028B" w:rsidRDefault="00892948">
      <w:pPr>
        <w:numPr>
          <w:ilvl w:val="0"/>
          <w:numId w:val="67"/>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5EBA" w14:textId="77777777" w:rsidR="00D1028B" w:rsidRDefault="00892948">
      <w:pPr>
        <w:pStyle w:val="berschrift3"/>
      </w:pPr>
      <w:bookmarkStart w:id="94" w:name="wissenschaftliche-datenformate"/>
      <w:bookmarkStart w:id="95" w:name="_Toc226451923"/>
      <w:bookmarkEnd w:id="92"/>
      <w:r>
        <w:t>7.6 Wissenschaftliche Datenformate</w:t>
      </w:r>
      <w:bookmarkEnd w:id="95"/>
    </w:p>
    <w:p w14:paraId="63EE5EBB" w14:textId="77777777" w:rsidR="00D1028B" w:rsidRDefault="00892948">
      <w:pPr>
        <w:numPr>
          <w:ilvl w:val="0"/>
          <w:numId w:val="68"/>
        </w:numPr>
      </w:pPr>
      <w:r>
        <w:rPr>
          <w:lang w:val="de-AT"/>
        </w:rPr>
        <w:t xml:space="preserve">HDF5 (Hierarchical Data Format): Weit verbreitet in Physik, Klimaforschung, Neurowissenschaft. </w:t>
      </w:r>
      <w:r>
        <w:t>Zeitachsen als float64 in Sekunden — Zeitzone undefiniert</w:t>
      </w:r>
    </w:p>
    <w:p w14:paraId="63EE5EBC" w14:textId="77777777" w:rsidR="00D1028B" w:rsidRPr="00260DEC" w:rsidRDefault="00892948">
      <w:pPr>
        <w:numPr>
          <w:ilvl w:val="0"/>
          <w:numId w:val="68"/>
        </w:numPr>
        <w:rPr>
          <w:lang w:val="de-AT"/>
        </w:rPr>
      </w:pPr>
      <w:r>
        <w:t xml:space="preserve">NetCDF (Network Common Data Form): Klimaforschungsstandard. </w:t>
      </w:r>
      <w:r>
        <w:rPr>
          <w:lang w:val="de-AT"/>
        </w:rPr>
        <w:t>CF Conventions definieren Zeitachsen als „seconds since YYYY-MM-DD HH:MM:SS” — Zeitzone optional und oft weggelassen</w:t>
      </w:r>
    </w:p>
    <w:p w14:paraId="63EE5EBD" w14:textId="77777777" w:rsidR="00D1028B" w:rsidRPr="00260DEC" w:rsidRDefault="00892948">
      <w:pPr>
        <w:numPr>
          <w:ilvl w:val="0"/>
          <w:numId w:val="68"/>
        </w:numPr>
        <w:rPr>
          <w:lang w:val="de-AT"/>
        </w:rPr>
      </w:pPr>
      <w:r>
        <w:rPr>
          <w:lang w:val="fr-FR"/>
        </w:rPr>
        <w:t xml:space="preserve">FITS (Flexible Image Transport System): Astronomieformat. </w:t>
      </w:r>
      <w:r>
        <w:rPr>
          <w:lang w:val="de-AT"/>
        </w:rPr>
        <w:t>Eigenes Zeitachsen-System basierend auf JD oder MJD</w:t>
      </w:r>
    </w:p>
    <w:p w14:paraId="63EE5EBE" w14:textId="77777777" w:rsidR="00D1028B" w:rsidRPr="00260DEC" w:rsidRDefault="00892948">
      <w:pPr>
        <w:numPr>
          <w:ilvl w:val="0"/>
          <w:numId w:val="68"/>
        </w:numPr>
        <w:rPr>
          <w:lang w:val="de-AT"/>
        </w:rPr>
      </w:pPr>
      <w:r>
        <w:rPr>
          <w:lang w:val="de-AT"/>
        </w:rPr>
        <w:t>Zarr: Modernes Cloud-optimiertes Format. Erbt Pandas-Zeitprobleme</w:t>
      </w:r>
    </w:p>
    <w:p w14:paraId="63EE5EBF"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 als offizieller logischer Zeittyp in HDF5, NetCDF und FITS wäre ein konkreter, hochsichtbarer Einsatz mit direkter Wirkung in der Forschungsgemeinschaft — ideal als Pilotprojekt mit einer Universität oder Forschungseinrichtung.</w:t>
      </w:r>
    </w:p>
    <w:p w14:paraId="63EE5EC0" w14:textId="77777777" w:rsidR="00D1028B" w:rsidRPr="00260DEC" w:rsidRDefault="00892948">
      <w:pPr>
        <w:pStyle w:val="berschrift1"/>
        <w:rPr>
          <w:lang w:val="de-AT"/>
        </w:rPr>
      </w:pPr>
      <w:bookmarkStart w:id="96" w:name="X8bbe3d6b7be0d8ba41c6d303329d54aa49aed91"/>
      <w:bookmarkStart w:id="97" w:name="_Toc226451924"/>
      <w:bookmarkEnd w:id="54"/>
      <w:bookmarkEnd w:id="82"/>
      <w:bookmarkEnd w:id="94"/>
      <w:r>
        <w:rPr>
          <w:lang w:val="de-AT"/>
        </w:rPr>
        <w:t>Teil IV: Online-Anwendungen, E-Commerce und Cybersecurity</w:t>
      </w:r>
      <w:bookmarkEnd w:id="97"/>
    </w:p>
    <w:p w14:paraId="63EE5EC1" w14:textId="77777777" w:rsidR="00D1028B" w:rsidRPr="00260DEC" w:rsidRDefault="00892948">
      <w:pPr>
        <w:pStyle w:val="berschrift2"/>
        <w:rPr>
          <w:lang w:val="de-AT"/>
        </w:rPr>
      </w:pPr>
      <w:bookmarkStart w:id="98" w:name="online-gaming"/>
      <w:bookmarkStart w:id="99" w:name="_Toc226451925"/>
      <w:r>
        <w:rPr>
          <w:lang w:val="de-AT"/>
        </w:rPr>
        <w:t>8 Online-Gaming</w:t>
      </w:r>
      <w:bookmarkEnd w:id="99"/>
    </w:p>
    <w:p w14:paraId="63EE5EC2" w14:textId="77777777" w:rsidR="00D1028B" w:rsidRPr="00260DEC" w:rsidRDefault="00892948">
      <w:pPr>
        <w:rPr>
          <w:lang w:val="de-AT"/>
        </w:rPr>
      </w:pPr>
      <w:r>
        <w:rPr>
          <w:lang w:val="de-AT"/>
        </w:rPr>
        <w:t>Die Spieleindustrie ist mit einem globalen Jahresumsatz von über 180 Milliarden US-Dollar eine der größten Unterhaltungsbranchen weltweit. Millionen von Spielern interagieren gleichzeitig in Echtzeit — und fast jedes technische Problem, das dabei auftritt, hat einen Zeitbezug.</w:t>
      </w:r>
    </w:p>
    <w:p w14:paraId="63EE5EC3" w14:textId="77777777" w:rsidR="00D1028B" w:rsidRPr="00260DEC" w:rsidRDefault="00892948">
      <w:pPr>
        <w:pStyle w:val="berschrift3"/>
        <w:rPr>
          <w:lang w:val="de-AT"/>
        </w:rPr>
      </w:pPr>
      <w:bookmarkStart w:id="100" w:name="Xbe29f89157127bacde966316fc8c3265903a457"/>
      <w:bookmarkStart w:id="101" w:name="_Toc226451926"/>
      <w:r>
        <w:rPr>
          <w:lang w:val="de-AT"/>
        </w:rPr>
        <w:t>8.1 Multiplayer-Synchronisation: Das Kernproblem</w:t>
      </w:r>
      <w:bookmarkEnd w:id="101"/>
    </w:p>
    <w:p w14:paraId="63EE5EC4" w14:textId="77777777" w:rsidR="00D1028B" w:rsidRPr="00260DEC" w:rsidRDefault="00892948">
      <w:pPr>
        <w:rPr>
          <w:lang w:val="de-AT"/>
        </w:rPr>
      </w:pPr>
      <w:r>
        <w:rPr>
          <w:lang w:val="de-AT"/>
        </w:rPr>
        <w:t>In jedem Multiplayer-Spiel müssen Ereignisse von verschiedenen Clients zeitlich geordnet werden: Hat Spieler A Spieler B getroffen, bevor Spieler B ausgewichen ist? Die Antwort hängt davon ab, wessen Zeitstempel der Server zuerst erhält — und das wiederum hängt von Netzwerklatenz, Serverstandort und Systemuhr-Drift ab.</w:t>
      </w:r>
    </w:p>
    <w:p w14:paraId="63EE5EC5" w14:textId="77777777" w:rsidR="00D1028B" w:rsidRPr="00260DEC" w:rsidRDefault="00892948">
      <w:pPr>
        <w:rPr>
          <w:lang w:val="de-AT"/>
        </w:rPr>
      </w:pPr>
      <w:r>
        <w:rPr>
          <w:i/>
          <w:iCs/>
          <w:lang w:val="de-AT"/>
        </w:rPr>
        <w:lastRenderedPageBreak/>
        <w:t>Das „peek advantage”-Problem in Shootern wie Counter-Strike oder Valorant: Spieler mit niedrigerer Latenz sehen Gegner früher und handeln früher — eine inhärente Zeitasymmetrie, die ohne prazise Zeitreferenz nicht korrekt kompensiert werden kann.</w:t>
      </w:r>
    </w:p>
    <w:p w14:paraId="63EE5EC6" w14:textId="77777777" w:rsidR="00D1028B" w:rsidRPr="00260DEC" w:rsidRDefault="00892948">
      <w:pPr>
        <w:numPr>
          <w:ilvl w:val="0"/>
          <w:numId w:val="69"/>
        </w:numPr>
        <w:rPr>
          <w:lang w:val="de-AT"/>
        </w:rPr>
      </w:pPr>
      <w:r>
        <w:rPr>
          <w:lang w:val="de-AT"/>
        </w:rPr>
        <w:t>Server-Side Hit Detection: Server rekonstruiert Spielzustand zum Zeitpunkt des Schusses — benötigt synchronisierte Zeitbasis aller Clients</w:t>
      </w:r>
    </w:p>
    <w:p w14:paraId="63EE5EC7" w14:textId="77777777" w:rsidR="00D1028B" w:rsidRPr="00260DEC" w:rsidRDefault="00892948">
      <w:pPr>
        <w:numPr>
          <w:ilvl w:val="0"/>
          <w:numId w:val="69"/>
        </w:numPr>
        <w:rPr>
          <w:lang w:val="de-AT"/>
        </w:rPr>
      </w:pPr>
      <w:r>
        <w:rPr>
          <w:lang w:val="de-AT"/>
        </w:rPr>
        <w:t>Client-Side Prediction: Client berechnet lokal voraus, synchronisiert später mit Server — Zeitdifferenzen erzeugen sichtbare Artefakte (Rubber-Banding)</w:t>
      </w:r>
    </w:p>
    <w:p w14:paraId="63EE5EC8" w14:textId="77777777" w:rsidR="00D1028B" w:rsidRPr="00260DEC" w:rsidRDefault="00892948">
      <w:pPr>
        <w:numPr>
          <w:ilvl w:val="0"/>
          <w:numId w:val="69"/>
        </w:numPr>
        <w:rPr>
          <w:lang w:val="de-AT"/>
        </w:rPr>
      </w:pPr>
      <w:r>
        <w:rPr>
          <w:lang w:val="de-AT"/>
        </w:rPr>
        <w:t>Tick-Rate-Systeme (64 Hz, 128 Hz): Serverzustände werden in festen Zeitintervallen gespeichert — absolute Zeitreferenz fehlt trotzdem</w:t>
      </w:r>
    </w:p>
    <w:p w14:paraId="63EE5EC9" w14:textId="77777777" w:rsidR="00D1028B" w:rsidRPr="00260DEC" w:rsidRDefault="00892948">
      <w:pPr>
        <w:numPr>
          <w:ilvl w:val="0"/>
          <w:numId w:val="69"/>
        </w:numPr>
        <w:rPr>
          <w:lang w:val="de-AT"/>
        </w:rPr>
      </w:pPr>
      <w:r>
        <w:rPr>
          <w:lang w:val="de-AT"/>
        </w:rPr>
        <w:t>Cross-Platform-Gaming (PC, Console, Mobile): Unterschiedliche Systemuhren, unterschiedliche NTP-Implementierungen</w:t>
      </w:r>
    </w:p>
    <w:p w14:paraId="63EE5ECA"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 als einheitliche Zeitreferenz für alle Clients würde Hit Detection fairer und transparenter machen — ein direktes Verkaufsargument für Spieleentwickler und Esports-Veranstalter.</w:t>
      </w:r>
    </w:p>
    <w:p w14:paraId="63EE5ECB" w14:textId="77777777" w:rsidR="00D1028B" w:rsidRPr="00260DEC" w:rsidRDefault="00892948">
      <w:pPr>
        <w:pStyle w:val="berschrift3"/>
        <w:rPr>
          <w:lang w:val="de-AT"/>
        </w:rPr>
      </w:pPr>
      <w:bookmarkStart w:id="102" w:name="live-events-und-globale-startzeiten"/>
      <w:bookmarkStart w:id="103" w:name="_Toc226451927"/>
      <w:bookmarkEnd w:id="100"/>
      <w:r>
        <w:rPr>
          <w:lang w:val="de-AT"/>
        </w:rPr>
        <w:t>8.2 Live-Events und globale Startzeiten</w:t>
      </w:r>
      <w:bookmarkEnd w:id="103"/>
    </w:p>
    <w:p w14:paraId="63EE5ECC" w14:textId="77777777" w:rsidR="00D1028B" w:rsidRPr="00260DEC" w:rsidRDefault="00892948">
      <w:pPr>
        <w:rPr>
          <w:lang w:val="de-AT"/>
        </w:rPr>
      </w:pPr>
      <w:r>
        <w:rPr>
          <w:lang w:val="de-AT"/>
        </w:rPr>
        <w:t>Moderne Online-Spiele leben von zeitgebundenen Events: Season-Starts, Limited-Time-Offers, World-First-Races, globale Boss-Spawns. Das Problem ist strukturell und zeigt sich täglich in Spielerforen:</w:t>
      </w:r>
    </w:p>
    <w:p w14:paraId="63EE5ECD" w14:textId="77777777" w:rsidR="00D1028B" w:rsidRPr="00260DEC" w:rsidRDefault="00892948">
      <w:pPr>
        <w:rPr>
          <w:lang w:val="de-AT"/>
        </w:rPr>
      </w:pPr>
      <w:r>
        <w:rPr>
          <w:i/>
          <w:iCs/>
          <w:lang w:val="de-AT"/>
        </w:rPr>
        <w:t>"The event starts at midnight" — welche Mitternacht? Spieler in Japan, Australien, Europa und den USA fragen dasselbe und erhalten inkonsistente Antworten. Entwickler-Teams kommunizieren in PT (Pacific Time), Spieler konvertieren manuell — mit regelmäßigen Fehlern bei DST-Übergängen.</w:t>
      </w:r>
    </w:p>
    <w:p w14:paraId="63EE5ECE" w14:textId="77777777" w:rsidR="00D1028B" w:rsidRPr="00260DEC" w:rsidRDefault="00892948">
      <w:pPr>
        <w:numPr>
          <w:ilvl w:val="0"/>
          <w:numId w:val="70"/>
        </w:numPr>
        <w:rPr>
          <w:lang w:val="de-AT"/>
        </w:rPr>
      </w:pPr>
      <w:r>
        <w:rPr>
          <w:lang w:val="de-AT"/>
        </w:rPr>
        <w:t>Fortnite, World of Warcraft, Pokémon GO: Alle haben öffentlich dokumentierte Zeitzonenfehler bei globalen Events</w:t>
      </w:r>
    </w:p>
    <w:p w14:paraId="63EE5ECF" w14:textId="77777777" w:rsidR="00D1028B" w:rsidRPr="00260DEC" w:rsidRDefault="00892948">
      <w:pPr>
        <w:numPr>
          <w:ilvl w:val="0"/>
          <w:numId w:val="70"/>
        </w:numPr>
        <w:rPr>
          <w:lang w:val="de-AT"/>
        </w:rPr>
      </w:pPr>
      <w:r>
        <w:rPr>
          <w:lang w:val="de-AT"/>
        </w:rPr>
        <w:t>Daily Reset-Zeiten (tägliche Aufgaben, Shop-Rotationen) werden für verschiedene Regionen unterschiedlich dargestellt</w:t>
      </w:r>
    </w:p>
    <w:p w14:paraId="63EE5ED0" w14:textId="77777777" w:rsidR="00D1028B" w:rsidRPr="00260DEC" w:rsidRDefault="00892948">
      <w:pPr>
        <w:numPr>
          <w:ilvl w:val="0"/>
          <w:numId w:val="70"/>
        </w:numPr>
        <w:rPr>
          <w:lang w:val="de-AT"/>
        </w:rPr>
      </w:pPr>
      <w:r>
        <w:rPr>
          <w:lang w:val="de-AT"/>
        </w:rPr>
        <w:t>Limited-Time-Offers: Ablauffenster werden falsch angezeigt — Spieler verpassen Käufe oder erhalten unerwartete Verlängerungen</w:t>
      </w:r>
    </w:p>
    <w:p w14:paraId="63EE5ED1" w14:textId="77777777" w:rsidR="00D1028B" w:rsidRDefault="00892948">
      <w:pPr>
        <w:numPr>
          <w:ilvl w:val="0"/>
          <w:numId w:val="70"/>
        </w:numPr>
      </w:pPr>
      <w:r>
        <w:rPr>
          <w:lang w:val="de-AT"/>
        </w:rPr>
        <w:t xml:space="preserve">New-Year-Events: Mitternacht in welcher Zeitzone? </w:t>
      </w:r>
      <w:r>
        <w:t>Jedes Spiel löst das anders</w:t>
      </w:r>
    </w:p>
    <w:p w14:paraId="63EE5ED2"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Einheitliches globales Ereignisformat. „Das Event startet am ChronoGrid-Zeitpunkt CG-2026-04-01T00:00:00Z” — jede lokale App zeigt die korrekte Lokalzeit automatisch an.</w:t>
      </w:r>
    </w:p>
    <w:p w14:paraId="63EE5ED3" w14:textId="77777777" w:rsidR="00D1028B" w:rsidRDefault="00892948">
      <w:pPr>
        <w:pStyle w:val="berschrift3"/>
      </w:pPr>
      <w:bookmarkStart w:id="104" w:name="anti-cheat-und-spielintergrität"/>
      <w:bookmarkStart w:id="105" w:name="_Toc226451928"/>
      <w:bookmarkEnd w:id="102"/>
      <w:r>
        <w:t>8.3 Anti-Cheat und Spielintergrität</w:t>
      </w:r>
      <w:bookmarkEnd w:id="105"/>
    </w:p>
    <w:p w14:paraId="63EE5ED4" w14:textId="77777777" w:rsidR="00D1028B" w:rsidRDefault="00892948">
      <w:pPr>
        <w:numPr>
          <w:ilvl w:val="0"/>
          <w:numId w:val="71"/>
        </w:numPr>
      </w:pPr>
      <w:r>
        <w:rPr>
          <w:lang w:val="de-AT"/>
        </w:rPr>
        <w:t xml:space="preserve">Speed-Hacking: Manipulation der lokalen Systemuhr ist eine klassische Cheat-Methode in Online-Spielen. </w:t>
      </w:r>
      <w:r>
        <w:t>Eine verifizierbare externe Zeitreferenz macht diese Angriffe nachweisbar</w:t>
      </w:r>
    </w:p>
    <w:p w14:paraId="63EE5ED5" w14:textId="77777777" w:rsidR="00D1028B" w:rsidRDefault="00892948">
      <w:pPr>
        <w:numPr>
          <w:ilvl w:val="0"/>
          <w:numId w:val="71"/>
        </w:numPr>
      </w:pPr>
      <w:r>
        <w:rPr>
          <w:lang w:val="de-AT"/>
        </w:rPr>
        <w:t xml:space="preserve">Cooldown-Manipulation: Tränke, Fähigkeiten, Respawn-Timer basieren auf Zeitstempeln. </w:t>
      </w:r>
      <w:r>
        <w:t>Manipulation der lokalen Zeit hebelt diese aus</w:t>
      </w:r>
    </w:p>
    <w:p w14:paraId="63EE5ED6" w14:textId="77777777" w:rsidR="00D1028B" w:rsidRPr="00260DEC" w:rsidRDefault="00892948">
      <w:pPr>
        <w:numPr>
          <w:ilvl w:val="0"/>
          <w:numId w:val="71"/>
        </w:numPr>
        <w:rPr>
          <w:lang w:val="de-AT"/>
        </w:rPr>
      </w:pPr>
      <w:r>
        <w:rPr>
          <w:lang w:val="de-AT"/>
        </w:rPr>
        <w:t>Replay-Systeme: Aufgezeichnete Spiele benötigen präzise Zeitachsen für korrekte Wiedergabe und forensische Analyse bei Verdacht auf Cheating</w:t>
      </w:r>
    </w:p>
    <w:p w14:paraId="63EE5ED7" w14:textId="77777777" w:rsidR="00D1028B" w:rsidRPr="00260DEC" w:rsidRDefault="00892948">
      <w:pPr>
        <w:numPr>
          <w:ilvl w:val="0"/>
          <w:numId w:val="71"/>
        </w:numPr>
        <w:rPr>
          <w:lang w:val="de-AT"/>
        </w:rPr>
      </w:pPr>
      <w:r>
        <w:rPr>
          <w:lang w:val="de-AT"/>
        </w:rPr>
        <w:lastRenderedPageBreak/>
        <w:t>Tournament Anti-Cheat: Esports-Turniere benötigen zertifizierte Zeitstempel für Matchergebnisse — relevant für rechtliche Auseinandersetzungen</w:t>
      </w:r>
    </w:p>
    <w:p w14:paraId="63EE5ED8"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serverseitig autoritativer Zeitstempel macht clientseitige Zeitmanipulation wirkungslos und Replay-Systeme gerichtsfest.</w:t>
      </w:r>
    </w:p>
    <w:p w14:paraId="63EE5ED9" w14:textId="77777777" w:rsidR="00D1028B" w:rsidRPr="00260DEC" w:rsidRDefault="00892948">
      <w:pPr>
        <w:numPr>
          <w:ilvl w:val="0"/>
          <w:numId w:val="72"/>
        </w:numPr>
        <w:pBdr>
          <w:left w:val="single" w:sz="20" w:space="8" w:color="17A589"/>
        </w:pBdr>
        <w:shd w:val="clear" w:color="auto" w:fill="EAF7F4"/>
        <w:spacing w:before="40" w:after="40"/>
        <w:ind w:left="240"/>
        <w:rPr>
          <w:lang w:val="de-AT"/>
        </w:rPr>
      </w:pPr>
      <w:r>
        <w:rPr>
          <w:i/>
          <w:iCs/>
          <w:color w:val="0D4035"/>
          <w:sz w:val="20"/>
          <w:szCs w:val="20"/>
          <w:lang w:val="de-AT"/>
        </w:rPr>
        <w:t>Speed-Hack-Erkennung: Server vergleicht CGTA-Spielereignisse mit eigenem CGTA-Referenzstempel — Abweichungen über Toleranzgrenzen sind automatisch als Manipulation klassifizierbar</w:t>
      </w:r>
    </w:p>
    <w:p w14:paraId="63EE5EDA" w14:textId="77777777" w:rsidR="00D1028B" w:rsidRPr="00260DEC" w:rsidRDefault="00892948">
      <w:pPr>
        <w:numPr>
          <w:ilvl w:val="0"/>
          <w:numId w:val="72"/>
        </w:numPr>
        <w:pBdr>
          <w:left w:val="single" w:sz="20" w:space="8" w:color="17A589"/>
        </w:pBdr>
        <w:shd w:val="clear" w:color="auto" w:fill="EAF7F4"/>
        <w:spacing w:before="40" w:after="40"/>
        <w:ind w:left="240"/>
        <w:rPr>
          <w:lang w:val="de-AT"/>
        </w:rPr>
      </w:pPr>
      <w:r>
        <w:rPr>
          <w:i/>
          <w:iCs/>
          <w:color w:val="0D4035"/>
          <w:sz w:val="20"/>
          <w:szCs w:val="20"/>
          <w:lang w:val="de-AT"/>
        </w:rPr>
        <w:t>Cooldown-Validation: Tränke und Fähigkeiten werden serverseitig mit CGTA-Delta validiert — Manipulation der lokalen Systemuhr hat keinen Effekt auf serverseitig berechnete Cooldowns</w:t>
      </w:r>
    </w:p>
    <w:p w14:paraId="63EE5EDB" w14:textId="77777777" w:rsidR="00D1028B" w:rsidRPr="00260DEC" w:rsidRDefault="00892948">
      <w:pPr>
        <w:numPr>
          <w:ilvl w:val="0"/>
          <w:numId w:val="72"/>
        </w:numPr>
        <w:pBdr>
          <w:left w:val="single" w:sz="20" w:space="8" w:color="17A589"/>
        </w:pBdr>
        <w:shd w:val="clear" w:color="auto" w:fill="EAF7F4"/>
        <w:spacing w:before="40" w:after="40"/>
        <w:ind w:left="240"/>
        <w:rPr>
          <w:lang w:val="de-AT"/>
        </w:rPr>
      </w:pPr>
      <w:r>
        <w:rPr>
          <w:i/>
          <w:iCs/>
          <w:color w:val="0D4035"/>
          <w:sz w:val="20"/>
          <w:szCs w:val="20"/>
          <w:lang w:val="de-AT"/>
        </w:rPr>
        <w:t>Replay-Systeme: CGTA-Zeitachsen ermöglichen präzise, manipulationsresistente Ereignisrekonstruktion — Beweissicherung für Anti-Cheat-Verfahren und Esports-Schiedsverfahren</w:t>
      </w:r>
    </w:p>
    <w:p w14:paraId="63EE5EDC" w14:textId="77777777" w:rsidR="00D1028B" w:rsidRDefault="00892948">
      <w:pPr>
        <w:numPr>
          <w:ilvl w:val="0"/>
          <w:numId w:val="72"/>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5EDD" w14:textId="77777777" w:rsidR="00D1028B" w:rsidRDefault="00892948">
      <w:pPr>
        <w:pStyle w:val="berschrift3"/>
      </w:pPr>
      <w:bookmarkStart w:id="106" w:name="X74c6209306d6389db62cedcc362cc16c39b53e4"/>
      <w:bookmarkStart w:id="107" w:name="_Toc226451929"/>
      <w:bookmarkEnd w:id="104"/>
      <w:r>
        <w:t>8.4 Esports: Turniermanagement und Rechtssicherheit</w:t>
      </w:r>
      <w:bookmarkEnd w:id="107"/>
    </w:p>
    <w:p w14:paraId="63EE5EDE" w14:textId="77777777" w:rsidR="00D1028B" w:rsidRPr="00260DEC" w:rsidRDefault="00892948">
      <w:pPr>
        <w:rPr>
          <w:lang w:val="de-AT"/>
        </w:rPr>
      </w:pPr>
      <w:r>
        <w:rPr>
          <w:lang w:val="de-AT"/>
        </w:rPr>
        <w:t>Esports ist eine Milliarden-Industrie mit professionellen Ligen, Spielerverträgen und Preisgeldern in Millionenhohe. Zeitbezogene Probleme sind hier nicht nur technisch, sondern rechtlich und finanziell relevant:</w:t>
      </w:r>
    </w:p>
    <w:p w14:paraId="63EE5EDF" w14:textId="77777777" w:rsidR="00D1028B" w:rsidRPr="00260DEC" w:rsidRDefault="00892948">
      <w:pPr>
        <w:numPr>
          <w:ilvl w:val="0"/>
          <w:numId w:val="73"/>
        </w:numPr>
        <w:rPr>
          <w:lang w:val="de-AT"/>
        </w:rPr>
      </w:pPr>
      <w:r>
        <w:rPr>
          <w:lang w:val="de-AT"/>
        </w:rPr>
        <w:t>Match-Scheduling über Zeitzonen: Teams aus Korea, Europa und Nordamerika spielen gegeneinander — Zeitplanung ist ein operatives Dauerproblem</w:t>
      </w:r>
    </w:p>
    <w:p w14:paraId="63EE5EE0" w14:textId="77777777" w:rsidR="00D1028B" w:rsidRDefault="00892948">
      <w:pPr>
        <w:numPr>
          <w:ilvl w:val="0"/>
          <w:numId w:val="73"/>
        </w:numPr>
      </w:pPr>
      <w:r>
        <w:rPr>
          <w:lang w:val="de-AT"/>
        </w:rPr>
        <w:t xml:space="preserve">Vertraglich festgelegte Spielzeiten: „Der Match beginnt um 18:00 Uhr” — in welcher Zeitzone? </w:t>
      </w:r>
      <w:r>
        <w:t>Bei Verspätung: wer hat Recht?</w:t>
      </w:r>
    </w:p>
    <w:p w14:paraId="63EE5EE1" w14:textId="77777777" w:rsidR="00D1028B" w:rsidRPr="00260DEC" w:rsidRDefault="00892948">
      <w:pPr>
        <w:numPr>
          <w:ilvl w:val="0"/>
          <w:numId w:val="73"/>
        </w:numPr>
        <w:rPr>
          <w:lang w:val="de-AT"/>
        </w:rPr>
      </w:pPr>
      <w:r>
        <w:rPr>
          <w:lang w:val="de-AT"/>
        </w:rPr>
        <w:t>Bonus- und Qualifying-Deadlines: Registrierungsfristen, Map-Veto-Zeiten, Roster-Locks — alle zeitkritisch und derzeit ohne einheitliche Referenz</w:t>
      </w:r>
    </w:p>
    <w:p w14:paraId="63EE5EE2" w14:textId="77777777" w:rsidR="00D1028B" w:rsidRPr="00260DEC" w:rsidRDefault="00892948">
      <w:pPr>
        <w:numPr>
          <w:ilvl w:val="0"/>
          <w:numId w:val="73"/>
        </w:numPr>
        <w:rPr>
          <w:lang w:val="de-AT"/>
        </w:rPr>
      </w:pPr>
      <w:r>
        <w:rPr>
          <w:lang w:val="de-AT"/>
        </w:rPr>
        <w:t>Streaming-Rechte: Exklusive Ausstrahlungsrechte sind zeitgebunden — präzise Zeitstempel für Rechtsdurchsetzung erforderlich</w:t>
      </w:r>
    </w:p>
    <w:p w14:paraId="63EE5EE3"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kanonische Zeitreferenz für Esports-Turnierplattformen würde Match-Scheduling, Vertragsfristen und Rechtsdurchsetzung auf eine eindeutige, jurisdiktionsübergreifende Basis stellen.</w:t>
      </w:r>
    </w:p>
    <w:p w14:paraId="63EE5EE4" w14:textId="77777777" w:rsidR="00D1028B" w:rsidRPr="00260DEC" w:rsidRDefault="00892948">
      <w:pPr>
        <w:numPr>
          <w:ilvl w:val="0"/>
          <w:numId w:val="74"/>
        </w:numPr>
        <w:pBdr>
          <w:left w:val="single" w:sz="20" w:space="8" w:color="17A589"/>
        </w:pBdr>
        <w:shd w:val="clear" w:color="auto" w:fill="EAF7F4"/>
        <w:spacing w:before="40" w:after="40"/>
        <w:ind w:left="240"/>
        <w:rPr>
          <w:lang w:val="de-AT"/>
        </w:rPr>
      </w:pPr>
      <w:r>
        <w:rPr>
          <w:i/>
          <w:iCs/>
          <w:color w:val="0D4035"/>
          <w:sz w:val="20"/>
          <w:szCs w:val="20"/>
          <w:lang w:val="de-AT"/>
        </w:rPr>
        <w:t>Match-Scheduling: Spielzeiten als CGTA-Werte publizieret — jede Client-App zeigt die korrekte Lokalzeit automatisch an, kein Interpretationsspielraum für Teams aus verschiedenen Zeitzonen</w:t>
      </w:r>
    </w:p>
    <w:p w14:paraId="63EE5EE5" w14:textId="77777777" w:rsidR="00D1028B" w:rsidRPr="00260DEC" w:rsidRDefault="00892948">
      <w:pPr>
        <w:numPr>
          <w:ilvl w:val="0"/>
          <w:numId w:val="74"/>
        </w:numPr>
        <w:pBdr>
          <w:left w:val="single" w:sz="20" w:space="8" w:color="17A589"/>
        </w:pBdr>
        <w:shd w:val="clear" w:color="auto" w:fill="EAF7F4"/>
        <w:spacing w:before="40" w:after="40"/>
        <w:ind w:left="240"/>
        <w:rPr>
          <w:lang w:val="de-AT"/>
        </w:rPr>
      </w:pPr>
      <w:r>
        <w:rPr>
          <w:i/>
          <w:iCs/>
          <w:color w:val="0D4035"/>
          <w:sz w:val="20"/>
          <w:szCs w:val="20"/>
          <w:lang w:val="de-AT"/>
        </w:rPr>
        <w:t>Vertragsfristen als CTDDL-Intervalle: Roster-Locks, Qualifying-Deadlines und Bonus-Trigger sind über Zeitzonen und Sommerzeitgrenzen deterministisch berechenbar — rechtssicher und auditierbar</w:t>
      </w:r>
    </w:p>
    <w:p w14:paraId="63EE5EE6" w14:textId="77777777" w:rsidR="00D1028B" w:rsidRPr="00260DEC" w:rsidRDefault="00892948">
      <w:pPr>
        <w:numPr>
          <w:ilvl w:val="0"/>
          <w:numId w:val="74"/>
        </w:numPr>
        <w:pBdr>
          <w:left w:val="single" w:sz="20" w:space="8" w:color="17A589"/>
        </w:pBdr>
        <w:shd w:val="clear" w:color="auto" w:fill="EAF7F4"/>
        <w:spacing w:before="40" w:after="40"/>
        <w:ind w:left="240"/>
        <w:rPr>
          <w:lang w:val="de-AT"/>
        </w:rPr>
      </w:pPr>
      <w:r>
        <w:rPr>
          <w:i/>
          <w:iCs/>
          <w:color w:val="0D4035"/>
          <w:sz w:val="20"/>
          <w:szCs w:val="20"/>
          <w:lang w:val="de-AT"/>
        </w:rPr>
        <w:t>Streaming-Rechte: CGTA-Zeitstempel für Ausstrahlungsfenster sind manipulationsresistent und gerichtsfest — Rechtsdurchsetzung bei Piraterie oder Vertragsverletzung auf klarer Zeitbasis</w:t>
      </w:r>
    </w:p>
    <w:p w14:paraId="63EE5EE7" w14:textId="77777777" w:rsidR="00D1028B" w:rsidRPr="00260DEC" w:rsidRDefault="00892948">
      <w:pPr>
        <w:numPr>
          <w:ilvl w:val="0"/>
          <w:numId w:val="74"/>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EE8" w14:textId="77777777" w:rsidR="00D1028B" w:rsidRPr="00260DEC" w:rsidRDefault="00892948">
      <w:pPr>
        <w:pStyle w:val="berschrift3"/>
        <w:rPr>
          <w:lang w:val="de-AT"/>
        </w:rPr>
      </w:pPr>
      <w:bookmarkStart w:id="108" w:name="mobile-gaming-und-in-app-käufe"/>
      <w:bookmarkStart w:id="109" w:name="_Toc226451930"/>
      <w:bookmarkEnd w:id="106"/>
      <w:r>
        <w:rPr>
          <w:lang w:val="de-AT"/>
        </w:rPr>
        <w:t>8.5 Mobile Gaming und In-App-Käufe</w:t>
      </w:r>
      <w:bookmarkEnd w:id="109"/>
    </w:p>
    <w:p w14:paraId="63EE5EE9" w14:textId="77777777" w:rsidR="00D1028B" w:rsidRPr="00260DEC" w:rsidRDefault="00892948">
      <w:pPr>
        <w:numPr>
          <w:ilvl w:val="0"/>
          <w:numId w:val="75"/>
        </w:numPr>
        <w:rPr>
          <w:lang w:val="de-AT"/>
        </w:rPr>
      </w:pPr>
      <w:r>
        <w:rPr>
          <w:lang w:val="de-AT"/>
        </w:rPr>
        <w:t>Energy-Systeme (Warten auf Nachfüllung): Zeitbasierte Spielmechaniken sind das Kerngeschäftsmodell vieler Mobile-Games</w:t>
      </w:r>
    </w:p>
    <w:p w14:paraId="63EE5EEA" w14:textId="77777777" w:rsidR="00D1028B" w:rsidRPr="00260DEC" w:rsidRDefault="00892948">
      <w:pPr>
        <w:numPr>
          <w:ilvl w:val="0"/>
          <w:numId w:val="75"/>
        </w:numPr>
        <w:rPr>
          <w:lang w:val="de-AT"/>
        </w:rPr>
      </w:pPr>
      <w:r>
        <w:rPr>
          <w:lang w:val="de-AT"/>
        </w:rPr>
        <w:t>Zeitzonenexploit: Spieler wechseln manuell die Systemzeitzone, um Timer zu umgehen — ein weit verbreiteter „Hack” ohne Cheating-Software</w:t>
      </w:r>
    </w:p>
    <w:p w14:paraId="63EE5EEB" w14:textId="77777777" w:rsidR="00D1028B" w:rsidRPr="00260DEC" w:rsidRDefault="00892948">
      <w:pPr>
        <w:numPr>
          <w:ilvl w:val="0"/>
          <w:numId w:val="75"/>
        </w:numPr>
        <w:rPr>
          <w:lang w:val="de-AT"/>
        </w:rPr>
      </w:pPr>
      <w:r>
        <w:rPr>
          <w:lang w:val="de-AT"/>
        </w:rPr>
        <w:t>In-App-Purchase-Angebote: „24-Stunden-Angebot” mit Countdown — Ablaufzeit wird clientseitig berechnet, Manipulation möglich</w:t>
      </w:r>
    </w:p>
    <w:p w14:paraId="63EE5EEC" w14:textId="77777777" w:rsidR="00D1028B" w:rsidRPr="00260DEC" w:rsidRDefault="00892948">
      <w:pPr>
        <w:numPr>
          <w:ilvl w:val="0"/>
          <w:numId w:val="75"/>
        </w:numPr>
        <w:rPr>
          <w:lang w:val="de-AT"/>
        </w:rPr>
      </w:pPr>
      <w:r>
        <w:rPr>
          <w:lang w:val="de-AT"/>
        </w:rPr>
        <w:lastRenderedPageBreak/>
        <w:t>App Store / Google Play: Regionale Verfügbarkeit von Updates ist zeitgesteuert, aber nicht einheitlich implementiert</w:t>
      </w:r>
    </w:p>
    <w:p w14:paraId="63EE5EED" w14:textId="77777777" w:rsidR="00D1028B" w:rsidRPr="00260DEC" w:rsidRDefault="00892948">
      <w:pPr>
        <w:pBdr>
          <w:left w:val="single" w:sz="20" w:space="8" w:color="17A589"/>
        </w:pBdr>
        <w:shd w:val="clear" w:color="auto" w:fill="EAF7F4"/>
        <w:spacing w:before="40" w:after="40"/>
        <w:ind w:left="240"/>
        <w:rPr>
          <w:lang w:val="de-AT"/>
        </w:rPr>
      </w:pPr>
      <w:r>
        <w:rPr>
          <w:i/>
          <w:iCs/>
          <w:color w:val="0D4035"/>
          <w:sz w:val="20"/>
          <w:szCs w:val="20"/>
          <w:lang w:val="de-AT"/>
        </w:rPr>
        <w:t>ChronoGrid-Opportunity: CGTA als serverseitig autoritativer Zeittyp für alle zeitbasierten Spielmechaniken würde Zeitzonenexploits strukturell eliminieren.</w:t>
      </w:r>
    </w:p>
    <w:p w14:paraId="63EE5EEE" w14:textId="77777777" w:rsidR="00D1028B" w:rsidRPr="00260DEC" w:rsidRDefault="00892948">
      <w:pPr>
        <w:numPr>
          <w:ilvl w:val="0"/>
          <w:numId w:val="76"/>
        </w:numPr>
        <w:pBdr>
          <w:left w:val="single" w:sz="20" w:space="8" w:color="17A589"/>
        </w:pBdr>
        <w:shd w:val="clear" w:color="auto" w:fill="EAF7F4"/>
        <w:spacing w:before="40" w:after="40"/>
        <w:ind w:left="240"/>
        <w:rPr>
          <w:lang w:val="de-AT"/>
        </w:rPr>
      </w:pPr>
      <w:r>
        <w:rPr>
          <w:i/>
          <w:iCs/>
          <w:color w:val="0D4035"/>
          <w:sz w:val="20"/>
          <w:szCs w:val="20"/>
          <w:lang w:val="de-AT"/>
        </w:rPr>
        <w:t>Energy-Systeme und Timer: Ablaufzeitpunkte werden als CGTA-Wert serverseitig gesetzt und validiert — Systemzeitzone des Geräts ist für die Spiellogik irrelevant, Timezone-Exploit entfällt</w:t>
      </w:r>
    </w:p>
    <w:p w14:paraId="63EE5EEF" w14:textId="77777777" w:rsidR="00D1028B" w:rsidRPr="00260DEC" w:rsidRDefault="00892948">
      <w:pPr>
        <w:numPr>
          <w:ilvl w:val="0"/>
          <w:numId w:val="76"/>
        </w:numPr>
        <w:pBdr>
          <w:left w:val="single" w:sz="20" w:space="8" w:color="17A589"/>
        </w:pBdr>
        <w:shd w:val="clear" w:color="auto" w:fill="EAF7F4"/>
        <w:spacing w:before="40" w:after="40"/>
        <w:ind w:left="240"/>
        <w:rPr>
          <w:lang w:val="de-AT"/>
        </w:rPr>
      </w:pPr>
      <w:r>
        <w:rPr>
          <w:i/>
          <w:iCs/>
          <w:color w:val="0D4035"/>
          <w:sz w:val="20"/>
          <w:szCs w:val="20"/>
          <w:lang w:val="de-AT"/>
        </w:rPr>
        <w:t>In-App-Purchase-Countdown: Ablaufzeitpunkt als CGTA-Wert vom Server — clientseitige Manipulation des Countdowns hat keinen Effekt auf serverseitige Validierung</w:t>
      </w:r>
    </w:p>
    <w:p w14:paraId="63EE5EF0" w14:textId="77777777" w:rsidR="00D1028B" w:rsidRPr="00260DEC" w:rsidRDefault="00892948">
      <w:pPr>
        <w:numPr>
          <w:ilvl w:val="0"/>
          <w:numId w:val="76"/>
        </w:numPr>
        <w:pBdr>
          <w:left w:val="single" w:sz="20" w:space="8" w:color="17A589"/>
        </w:pBdr>
        <w:shd w:val="clear" w:color="auto" w:fill="EAF7F4"/>
        <w:spacing w:before="40" w:after="40"/>
        <w:ind w:left="240"/>
        <w:rPr>
          <w:lang w:val="de-AT"/>
        </w:rPr>
      </w:pPr>
      <w:r>
        <w:rPr>
          <w:i/>
          <w:iCs/>
          <w:color w:val="0D4035"/>
          <w:sz w:val="20"/>
          <w:szCs w:val="20"/>
          <w:lang w:val="de-AT"/>
        </w:rPr>
        <w:t>App Store / Google Play Release-Timing: CGTA als regionsunabhängiger Release-Zeitstempel stellt sicher, dass Updates weltweit zum identischen absoluten Zeitpunkt verfügbar sind — kein Zeitzonenexploit bei regionalen Releases</w:t>
      </w:r>
    </w:p>
    <w:p w14:paraId="63EE5EF1" w14:textId="77777777" w:rsidR="00D1028B" w:rsidRDefault="00892948">
      <w:pPr>
        <w:numPr>
          <w:ilvl w:val="0"/>
          <w:numId w:val="76"/>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5EF2" w14:textId="77777777" w:rsidR="00D1028B" w:rsidRDefault="00892948">
      <w:pPr>
        <w:pStyle w:val="berschrift2"/>
      </w:pPr>
      <w:bookmarkStart w:id="110" w:name="online-konferenzen-teams-zoom-webex-co."/>
      <w:bookmarkStart w:id="111" w:name="_Toc226451931"/>
      <w:bookmarkEnd w:id="98"/>
      <w:bookmarkEnd w:id="108"/>
      <w:r>
        <w:t>9 Online-Konferenzen: Teams, Zoom, Webex &amp; Co.</w:t>
      </w:r>
      <w:bookmarkEnd w:id="111"/>
    </w:p>
    <w:p w14:paraId="63EE5EF3" w14:textId="77777777" w:rsidR="00D1028B" w:rsidRPr="00260DEC" w:rsidRDefault="00892948">
      <w:pPr>
        <w:rPr>
          <w:lang w:val="de-AT"/>
        </w:rPr>
      </w:pPr>
      <w:r>
        <w:rPr>
          <w:lang w:val="de-AT"/>
        </w:rPr>
        <w:t>Online-Meetings sind seit 2020 zur Standardinfrastruktur der globalen Arbeitswelt geworden. Microsoft Teams allein hat über 320 Millionen monatlich aktive Nutzer. Die zeitbezogenen Probleme dieser Plattformen sind täglich erlebbar — und haben in regulierten Branchen rechtliche Konsequenzen.</w:t>
      </w:r>
    </w:p>
    <w:p w14:paraId="63EE5EF4" w14:textId="77777777" w:rsidR="00D1028B" w:rsidRPr="00260DEC" w:rsidRDefault="00892948">
      <w:pPr>
        <w:pStyle w:val="berschrift3"/>
        <w:rPr>
          <w:lang w:val="de-AT"/>
        </w:rPr>
      </w:pPr>
      <w:bookmarkStart w:id="112" w:name="X308278e45e4bb67cab35b22f8b73de028ef97dd"/>
      <w:bookmarkStart w:id="113" w:name="_Toc226451932"/>
      <w:r>
        <w:rPr>
          <w:lang w:val="de-AT"/>
        </w:rPr>
        <w:t>9.1 Das DST-Problem bei wiederkehrenden Meetings</w:t>
      </w:r>
      <w:bookmarkEnd w:id="113"/>
    </w:p>
    <w:p w14:paraId="63EE5EF5" w14:textId="77777777" w:rsidR="00D1028B" w:rsidRPr="00260DEC" w:rsidRDefault="00892948">
      <w:pPr>
        <w:rPr>
          <w:lang w:val="de-AT"/>
        </w:rPr>
      </w:pPr>
      <w:r>
        <w:rPr>
          <w:i/>
          <w:iCs/>
          <w:lang w:val="de-AT"/>
        </w:rPr>
        <w:t>Szenario: Ein wöchentliches Meeting zwischen Wien und New York ist für jeden Montag um 15:00 Uhr MEZ / 9:00 Uhr ET angesetzt. Im März stellt die USA auf Sommerzeit um — Europa zwei Wochen später. In diesen zwei Wochen ist das Meeting um eine Stunde verschoben — für eine der beiden Seiten falsch.</w:t>
      </w:r>
    </w:p>
    <w:p w14:paraId="63EE5EF6" w14:textId="77777777" w:rsidR="00D1028B" w:rsidRPr="00260DEC" w:rsidRDefault="00892948">
      <w:pPr>
        <w:numPr>
          <w:ilvl w:val="0"/>
          <w:numId w:val="77"/>
        </w:numPr>
        <w:rPr>
          <w:lang w:val="de-AT"/>
        </w:rPr>
      </w:pPr>
      <w:r>
        <w:rPr>
          <w:lang w:val="de-AT"/>
        </w:rPr>
        <w:t>Teams, Outlook und Google Calendar lösen dieses Problem unterschiedlich — und teils falsch</w:t>
      </w:r>
    </w:p>
    <w:p w14:paraId="63EE5EF7" w14:textId="77777777" w:rsidR="00D1028B" w:rsidRPr="00260DEC" w:rsidRDefault="00892948">
      <w:pPr>
        <w:numPr>
          <w:ilvl w:val="0"/>
          <w:numId w:val="77"/>
        </w:numPr>
        <w:rPr>
          <w:lang w:val="de-AT"/>
        </w:rPr>
      </w:pPr>
      <w:r>
        <w:rPr>
          <w:lang w:val="de-AT"/>
        </w:rPr>
        <w:t>Eine Einladung, die in Wien erstellt wurde, zeigt in New York nach der US-DST-Umstellung die falsche Zeit an</w:t>
      </w:r>
    </w:p>
    <w:p w14:paraId="63EE5EF8" w14:textId="77777777" w:rsidR="00D1028B" w:rsidRPr="00260DEC" w:rsidRDefault="00892948">
      <w:pPr>
        <w:numPr>
          <w:ilvl w:val="0"/>
          <w:numId w:val="77"/>
        </w:numPr>
        <w:rPr>
          <w:lang w:val="de-AT"/>
        </w:rPr>
      </w:pPr>
      <w:r>
        <w:rPr>
          <w:lang w:val="de-AT"/>
        </w:rPr>
        <w:t>Der Fehler tritt zweimal jährlich auf — im Frühjahr und Herbst, genau dann wenn globale Teams kritische Projekte koordinieren</w:t>
      </w:r>
    </w:p>
    <w:p w14:paraId="63EE5EF9" w14:textId="77777777" w:rsidR="00D1028B" w:rsidRPr="00260DEC" w:rsidRDefault="00892948">
      <w:pPr>
        <w:numPr>
          <w:ilvl w:val="0"/>
          <w:numId w:val="77"/>
        </w:numPr>
        <w:rPr>
          <w:lang w:val="de-AT"/>
        </w:rPr>
      </w:pPr>
      <w:r>
        <w:rPr>
          <w:lang w:val="de-AT"/>
        </w:rPr>
        <w:t>Bei dreiteiligen Konferenzen (z. B. Wien – New York – Sydney) ist eine Seite immer betroffen</w:t>
      </w:r>
    </w:p>
    <w:p w14:paraId="63EE5EFA" w14:textId="77777777" w:rsidR="00D1028B" w:rsidRPr="00260DEC" w:rsidRDefault="00892948">
      <w:pPr>
        <w:numPr>
          <w:ilvl w:val="0"/>
          <w:numId w:val="77"/>
        </w:numPr>
        <w:rPr>
          <w:lang w:val="de-AT"/>
        </w:rPr>
      </w:pPr>
      <w:r>
        <w:rPr>
          <w:lang w:val="de-AT"/>
        </w:rPr>
        <w:t>Die einzige Workaround-Lösung heute: Zeitangaben manuell in UTC kommunizieren — fehleranfällig und benutzerunfreundlich</w:t>
      </w:r>
    </w:p>
    <w:p w14:paraId="63EE5EFB"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EFC" w14:textId="77777777" w:rsidR="00D1028B" w:rsidRPr="00260DEC" w:rsidRDefault="00892948">
      <w:pPr>
        <w:numPr>
          <w:ilvl w:val="0"/>
          <w:numId w:val="78"/>
        </w:numPr>
        <w:pBdr>
          <w:left w:val="single" w:sz="20" w:space="8" w:color="17A589"/>
        </w:pBdr>
        <w:shd w:val="clear" w:color="auto" w:fill="EAF7F4"/>
        <w:spacing w:before="40" w:after="40"/>
        <w:ind w:left="240"/>
        <w:rPr>
          <w:lang w:val="de-AT"/>
        </w:rPr>
      </w:pPr>
      <w:r>
        <w:rPr>
          <w:i/>
          <w:iCs/>
          <w:color w:val="0D4035"/>
          <w:sz w:val="20"/>
          <w:szCs w:val="20"/>
          <w:lang w:val="de-AT"/>
        </w:rPr>
        <w:t>CGTA-Zeitpunkte sind DST-agnostisch — sie referenzieren den absoluten TAI-Moment, nicht eine zonale Darstellung. Eine Meeting-Einladung als CGTA gespeichert ist weltweit eindeutig, unabhängig davon wann welches Land die Uhren umstellt</w:t>
      </w:r>
    </w:p>
    <w:p w14:paraId="63EE5EFD" w14:textId="77777777" w:rsidR="00D1028B" w:rsidRPr="00260DEC" w:rsidRDefault="00892948">
      <w:pPr>
        <w:numPr>
          <w:ilvl w:val="0"/>
          <w:numId w:val="78"/>
        </w:numPr>
        <w:pBdr>
          <w:left w:val="single" w:sz="20" w:space="8" w:color="17A589"/>
        </w:pBdr>
        <w:shd w:val="clear" w:color="auto" w:fill="EAF7F4"/>
        <w:spacing w:before="40" w:after="40"/>
        <w:ind w:left="240"/>
        <w:rPr>
          <w:lang w:val="de-AT"/>
        </w:rPr>
      </w:pPr>
      <w:r>
        <w:rPr>
          <w:i/>
          <w:iCs/>
          <w:color w:val="0D4035"/>
          <w:sz w:val="20"/>
          <w:szCs w:val="20"/>
          <w:lang w:val="de-AT"/>
        </w:rPr>
        <w:t>Kalender-Clients (Teams, Outlook, Google) konvertieren den CGTA-Wert deterministisch in die lokale Darstellung — der Konversionsfehler entsteht gar nicht erst</w:t>
      </w:r>
    </w:p>
    <w:p w14:paraId="63EE5EFE" w14:textId="77777777" w:rsidR="00D1028B" w:rsidRPr="00260DEC" w:rsidRDefault="00892948">
      <w:pPr>
        <w:numPr>
          <w:ilvl w:val="0"/>
          <w:numId w:val="78"/>
        </w:numPr>
        <w:pBdr>
          <w:left w:val="single" w:sz="20" w:space="8" w:color="17A589"/>
        </w:pBdr>
        <w:shd w:val="clear" w:color="auto" w:fill="EAF7F4"/>
        <w:spacing w:before="40" w:after="40"/>
        <w:ind w:left="240"/>
        <w:rPr>
          <w:lang w:val="de-AT"/>
        </w:rPr>
      </w:pPr>
      <w:r>
        <w:rPr>
          <w:i/>
          <w:iCs/>
          <w:color w:val="0D4035"/>
          <w:sz w:val="20"/>
          <w:szCs w:val="20"/>
          <w:lang w:val="de-AT"/>
        </w:rPr>
        <w:t>Wiederkehrende Serien werden als CGTA-Sequenz mit explizitem CTDDL-Mapping gespeichert; politische Zeitzonenänderungen werden einmalig im Domain-Mapping korrigiert, alle Einträge bleiben konsistent</w:t>
      </w:r>
    </w:p>
    <w:p w14:paraId="63EE5EFF" w14:textId="77777777" w:rsidR="00D1028B" w:rsidRPr="00260DEC" w:rsidRDefault="00892948">
      <w:pPr>
        <w:pStyle w:val="berschrift3"/>
        <w:rPr>
          <w:lang w:val="de-AT"/>
        </w:rPr>
      </w:pPr>
      <w:bookmarkStart w:id="114" w:name="X4043c57b18235bbfbebefd171e886d0f25e5157"/>
      <w:bookmarkStart w:id="115" w:name="_Toc226451933"/>
      <w:bookmarkEnd w:id="112"/>
      <w:r>
        <w:rPr>
          <w:lang w:val="de-AT"/>
        </w:rPr>
        <w:lastRenderedPageBreak/>
        <w:t>9.2 Compliance und rechtlich belastbare Zeitstempel</w:t>
      </w:r>
      <w:bookmarkEnd w:id="115"/>
    </w:p>
    <w:p w14:paraId="63EE5F00" w14:textId="77777777" w:rsidR="00D1028B" w:rsidRDefault="00892948">
      <w:r>
        <w:rPr>
          <w:lang w:val="de-AT"/>
        </w:rPr>
        <w:t xml:space="preserve">In regulierten Branchen müssen Kommunikationsinhalte mit rechtsverbindlichen Zeitstempeln archiviert werden. </w:t>
      </w:r>
      <w:r>
        <w:t>Die relevanten Regularien:</w:t>
      </w:r>
    </w:p>
    <w:p w14:paraId="63EE5F01" w14:textId="77777777" w:rsidR="00D1028B" w:rsidRPr="00260DEC" w:rsidRDefault="00892948">
      <w:pPr>
        <w:numPr>
          <w:ilvl w:val="0"/>
          <w:numId w:val="79"/>
        </w:numPr>
        <w:rPr>
          <w:lang w:val="de-AT"/>
        </w:rPr>
      </w:pPr>
      <w:r>
        <w:rPr>
          <w:lang w:val="de-AT"/>
        </w:rPr>
        <w:t>MiFID II (EU-Finanzmarktrichtlinie): Alle Kommunikation von Finanzdienstleistern, die zu Transaktionen führen könnte, muss mit Zeitstempel auf Mikrosekunden-Präzision aufgezeichnet werden</w:t>
      </w:r>
    </w:p>
    <w:p w14:paraId="63EE5F02" w14:textId="77777777" w:rsidR="00D1028B" w:rsidRPr="00260DEC" w:rsidRDefault="00892948">
      <w:pPr>
        <w:numPr>
          <w:ilvl w:val="0"/>
          <w:numId w:val="79"/>
        </w:numPr>
        <w:rPr>
          <w:lang w:val="de-AT"/>
        </w:rPr>
      </w:pPr>
      <w:r>
        <w:rPr>
          <w:lang w:val="de-AT"/>
        </w:rPr>
        <w:t>PSD2 (Payment Services Directive): Transaktionszeitpunkte müssen präzise und manipulationssicher sein</w:t>
      </w:r>
    </w:p>
    <w:p w14:paraId="63EE5F03" w14:textId="77777777" w:rsidR="00D1028B" w:rsidRPr="00260DEC" w:rsidRDefault="00892948">
      <w:pPr>
        <w:numPr>
          <w:ilvl w:val="0"/>
          <w:numId w:val="79"/>
        </w:numPr>
        <w:rPr>
          <w:lang w:val="de-AT"/>
        </w:rPr>
      </w:pPr>
      <w:r>
        <w:rPr>
          <w:lang w:val="de-AT"/>
        </w:rPr>
        <w:t>DSGVO / GDPR: Einwilligungen benötigen nachweisbare Zeitstempel für Audits</w:t>
      </w:r>
    </w:p>
    <w:p w14:paraId="63EE5F04" w14:textId="77777777" w:rsidR="00D1028B" w:rsidRPr="00260DEC" w:rsidRDefault="00892948">
      <w:pPr>
        <w:numPr>
          <w:ilvl w:val="0"/>
          <w:numId w:val="79"/>
        </w:numPr>
        <w:rPr>
          <w:lang w:val="de-AT"/>
        </w:rPr>
      </w:pPr>
      <w:r>
        <w:rPr>
          <w:lang w:val="de-AT"/>
        </w:rPr>
        <w:t>eIDAS (EU-Verordnung für elektronische Identifizierung): Qualifizierte elektronische Zeitstempel müssen von zugelassenen Trust Service Providern ausgestellt werden</w:t>
      </w:r>
    </w:p>
    <w:p w14:paraId="63EE5F05" w14:textId="77777777" w:rsidR="00D1028B" w:rsidRPr="00260DEC" w:rsidRDefault="00892948">
      <w:pPr>
        <w:rPr>
          <w:lang w:val="de-AT"/>
        </w:rPr>
      </w:pPr>
      <w:r>
        <w:rPr>
          <w:lang w:val="de-AT"/>
        </w:rPr>
        <w:t>Das Problem: Aktuelle Konferenzplättformen bieten keine nativ eIDAS-konformen Zeitstempel. Unternehmen brauchen ergänzende Archivierungslösungen — teuer, komplex und oft inkonsistent mit den Plattform-eigenen Zeitstempeln.</w:t>
      </w:r>
    </w:p>
    <w:p w14:paraId="63EE5F06" w14:textId="77777777" w:rsidR="00D1028B" w:rsidRDefault="00892948">
      <w:pPr>
        <w:pStyle w:val="Textkrper"/>
        <w:pBdr>
          <w:left w:val="single" w:sz="20" w:space="8" w:color="17A589"/>
        </w:pBdr>
        <w:shd w:val="clear" w:color="auto" w:fill="EAF7F4"/>
        <w:spacing w:before="40" w:after="40"/>
        <w:ind w:left="240"/>
      </w:pPr>
      <w:r>
        <w:rPr>
          <w:i/>
          <w:iCs/>
          <w:color w:val="0D4035"/>
          <w:sz w:val="20"/>
          <w:szCs w:val="20"/>
        </w:rPr>
        <w:t>ChronoGrid-Opportunity:</w:t>
      </w:r>
    </w:p>
    <w:p w14:paraId="63EE5F07" w14:textId="77777777" w:rsidR="00D1028B" w:rsidRPr="00260DEC" w:rsidRDefault="00892948">
      <w:pPr>
        <w:numPr>
          <w:ilvl w:val="0"/>
          <w:numId w:val="80"/>
        </w:numPr>
        <w:pBdr>
          <w:left w:val="single" w:sz="20" w:space="8" w:color="17A589"/>
        </w:pBdr>
        <w:shd w:val="clear" w:color="auto" w:fill="EAF7F4"/>
        <w:spacing w:before="40" w:after="40"/>
        <w:ind w:left="240"/>
        <w:rPr>
          <w:lang w:val="de-AT"/>
        </w:rPr>
      </w:pPr>
      <w:r>
        <w:rPr>
          <w:i/>
          <w:iCs/>
          <w:color w:val="0D4035"/>
          <w:sz w:val="20"/>
          <w:szCs w:val="20"/>
          <w:lang w:val="de-AT"/>
        </w:rPr>
        <w:t>CGTA-Zeitstempel sind BigInt-basiert und überlaufsicher — erfüllen MiFID-II-Mikrosekunden-Anforderungen nativ ohne proprietäre Erweiterungen</w:t>
      </w:r>
    </w:p>
    <w:p w14:paraId="63EE5F08" w14:textId="77777777" w:rsidR="00D1028B" w:rsidRPr="00260DEC" w:rsidRDefault="00892948">
      <w:pPr>
        <w:numPr>
          <w:ilvl w:val="0"/>
          <w:numId w:val="80"/>
        </w:numPr>
        <w:pBdr>
          <w:left w:val="single" w:sz="20" w:space="8" w:color="17A589"/>
        </w:pBdr>
        <w:shd w:val="clear" w:color="auto" w:fill="EAF7F4"/>
        <w:spacing w:before="40" w:after="40"/>
        <w:ind w:left="240"/>
        <w:rPr>
          <w:lang w:val="de-AT"/>
        </w:rPr>
      </w:pPr>
      <w:r>
        <w:rPr>
          <w:i/>
          <w:iCs/>
          <w:color w:val="0D4035"/>
          <w:sz w:val="20"/>
          <w:szCs w:val="20"/>
          <w:lang w:val="de-AT"/>
        </w:rPr>
        <w:t>Unveränderliche, signierte CGTA-Werte erfüllen die eIDAS-Anforderung für qualifizierte Zeitstempel; die deterministische Verifikation ist ohne Trust-Service-Provider nachvollziehbar</w:t>
      </w:r>
    </w:p>
    <w:p w14:paraId="63EE5F09" w14:textId="77777777" w:rsidR="00D1028B" w:rsidRPr="00260DEC" w:rsidRDefault="00892948">
      <w:pPr>
        <w:numPr>
          <w:ilvl w:val="0"/>
          <w:numId w:val="80"/>
        </w:numPr>
        <w:pBdr>
          <w:left w:val="single" w:sz="20" w:space="8" w:color="17A589"/>
        </w:pBdr>
        <w:shd w:val="clear" w:color="auto" w:fill="EAF7F4"/>
        <w:spacing w:before="40" w:after="40"/>
        <w:ind w:left="240"/>
        <w:rPr>
          <w:lang w:val="de-AT"/>
        </w:rPr>
      </w:pPr>
      <w:r>
        <w:rPr>
          <w:i/>
          <w:iCs/>
          <w:color w:val="0D4035"/>
          <w:sz w:val="20"/>
          <w:szCs w:val="20"/>
          <w:lang w:val="de-AT"/>
        </w:rPr>
        <w:t>DSGVO-Einwilligungszeitpunkte als CGTA archiviert sind über Audit-Zeiträume von Jahren lückenlos reproduzierbar — Zeitstempel veralten nicht durch Zeitzonenpolitik</w:t>
      </w:r>
    </w:p>
    <w:p w14:paraId="63EE5F0A" w14:textId="77777777" w:rsidR="00D1028B" w:rsidRPr="00260DEC" w:rsidRDefault="00892948">
      <w:pPr>
        <w:numPr>
          <w:ilvl w:val="0"/>
          <w:numId w:val="8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5F0B" w14:textId="77777777" w:rsidR="00D1028B" w:rsidRDefault="00892948">
      <w:pPr>
        <w:pStyle w:val="berschrift3"/>
      </w:pPr>
      <w:bookmarkStart w:id="116" w:name="Xfa85e903ca056f19ab2662f347731899e9e0318"/>
      <w:bookmarkStart w:id="117" w:name="_Toc226451934"/>
      <w:bookmarkEnd w:id="114"/>
      <w:r>
        <w:t>9.3 Transkription, Aufzeichnung und KI-Analyse</w:t>
      </w:r>
      <w:bookmarkEnd w:id="117"/>
    </w:p>
    <w:p w14:paraId="63EE5F0C" w14:textId="77777777" w:rsidR="00D1028B" w:rsidRPr="00260DEC" w:rsidRDefault="00892948">
      <w:pPr>
        <w:numPr>
          <w:ilvl w:val="0"/>
          <w:numId w:val="81"/>
        </w:numPr>
        <w:rPr>
          <w:lang w:val="de-AT"/>
        </w:rPr>
      </w:pPr>
      <w:r>
        <w:rPr>
          <w:lang w:val="de-AT"/>
        </w:rPr>
        <w:t>Automatische Transkriptionen (Teams, Otter.ai, Whisper) enthalten Zeitstempel pro Aussage — systemabhängig und nicht interoperabel</w:t>
      </w:r>
    </w:p>
    <w:p w14:paraId="63EE5F0D" w14:textId="77777777" w:rsidR="00D1028B" w:rsidRPr="00260DEC" w:rsidRDefault="00892948">
      <w:pPr>
        <w:numPr>
          <w:ilvl w:val="0"/>
          <w:numId w:val="81"/>
        </w:numPr>
        <w:rPr>
          <w:lang w:val="de-AT"/>
        </w:rPr>
      </w:pPr>
      <w:r>
        <w:rPr>
          <w:lang w:val="de-AT"/>
        </w:rPr>
        <w:t>KI-gestützte Meeting-Analyse (Zusammenfassungen, Action-Items) nutzt Zeitstempel für Kontext — inkonsistente Zeitbasen verfälschen die Analyse</w:t>
      </w:r>
    </w:p>
    <w:p w14:paraId="63EE5F0E" w14:textId="77777777" w:rsidR="00D1028B" w:rsidRPr="00260DEC" w:rsidRDefault="00892948">
      <w:pPr>
        <w:numPr>
          <w:ilvl w:val="0"/>
          <w:numId w:val="81"/>
        </w:numPr>
        <w:rPr>
          <w:lang w:val="de-AT"/>
        </w:rPr>
      </w:pPr>
      <w:r>
        <w:rPr>
          <w:lang w:val="de-AT"/>
        </w:rPr>
        <w:t>Multi-Plattform-Aufzeichnungen (Teams-Aufzeichnung + Zoom-Backup): Zeitachsen sind nicht synchronisiert</w:t>
      </w:r>
    </w:p>
    <w:p w14:paraId="63EE5F0F" w14:textId="77777777" w:rsidR="00D1028B" w:rsidRPr="00260DEC" w:rsidRDefault="00892948">
      <w:pPr>
        <w:numPr>
          <w:ilvl w:val="0"/>
          <w:numId w:val="81"/>
        </w:numPr>
        <w:rPr>
          <w:lang w:val="de-AT"/>
        </w:rPr>
      </w:pPr>
      <w:r>
        <w:rPr>
          <w:lang w:val="de-AT"/>
        </w:rPr>
        <w:t>Gerichtliche Nutzung von Meeting-Aufzeichnungen: Zeitstempel müssen verifizierbar und manipulationssicher sein</w:t>
      </w:r>
    </w:p>
    <w:p w14:paraId="63EE5F10"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11" w14:textId="77777777" w:rsidR="00D1028B" w:rsidRPr="00260DEC" w:rsidRDefault="00892948">
      <w:pPr>
        <w:numPr>
          <w:ilvl w:val="0"/>
          <w:numId w:val="82"/>
        </w:numPr>
        <w:pBdr>
          <w:left w:val="single" w:sz="20" w:space="8" w:color="17A589"/>
        </w:pBdr>
        <w:shd w:val="clear" w:color="auto" w:fill="EAF7F4"/>
        <w:spacing w:before="40" w:after="40"/>
        <w:ind w:left="240"/>
        <w:rPr>
          <w:lang w:val="de-AT"/>
        </w:rPr>
      </w:pPr>
      <w:r>
        <w:rPr>
          <w:i/>
          <w:iCs/>
          <w:color w:val="0D4035"/>
          <w:sz w:val="20"/>
          <w:szCs w:val="20"/>
          <w:lang w:val="de-AT"/>
        </w:rPr>
        <w:t>Transkriptions-Zeitmarken als CGTA kodiert sind plattformunabhängig und AI-Modell-unabhängig — Transkripte bleiben langfristig mit dem Originalaufzeichnungszeitpunkt verknüpfbar</w:t>
      </w:r>
    </w:p>
    <w:p w14:paraId="63EE5F12" w14:textId="77777777" w:rsidR="00D1028B" w:rsidRPr="00260DEC" w:rsidRDefault="00892948">
      <w:pPr>
        <w:numPr>
          <w:ilvl w:val="0"/>
          <w:numId w:val="82"/>
        </w:numPr>
        <w:pBdr>
          <w:left w:val="single" w:sz="20" w:space="8" w:color="17A589"/>
        </w:pBdr>
        <w:shd w:val="clear" w:color="auto" w:fill="EAF7F4"/>
        <w:spacing w:before="40" w:after="40"/>
        <w:ind w:left="240"/>
        <w:rPr>
          <w:lang w:val="de-AT"/>
        </w:rPr>
      </w:pPr>
      <w:r>
        <w:rPr>
          <w:i/>
          <w:iCs/>
          <w:color w:val="0D4035"/>
          <w:sz w:val="20"/>
          <w:szCs w:val="20"/>
          <w:lang w:val="de-AT"/>
        </w:rPr>
        <w:t>KI-Analysen über mehrere Sitzungen hinweg erhalten eine normierte Zeitachse: relative Zeitabstände (CGTA-Differenzen) sind exakt berechenbar ohne Zonenkonversionsfehler</w:t>
      </w:r>
    </w:p>
    <w:p w14:paraId="63EE5F13" w14:textId="77777777" w:rsidR="00D1028B" w:rsidRPr="00260DEC" w:rsidRDefault="00892948">
      <w:pPr>
        <w:numPr>
          <w:ilvl w:val="0"/>
          <w:numId w:val="82"/>
        </w:numPr>
        <w:pBdr>
          <w:left w:val="single" w:sz="20" w:space="8" w:color="17A589"/>
        </w:pBdr>
        <w:shd w:val="clear" w:color="auto" w:fill="EAF7F4"/>
        <w:spacing w:before="40" w:after="40"/>
        <w:ind w:left="240"/>
        <w:rPr>
          <w:lang w:val="de-AT"/>
        </w:rPr>
      </w:pPr>
      <w:r>
        <w:rPr>
          <w:i/>
          <w:iCs/>
          <w:color w:val="0D4035"/>
          <w:sz w:val="20"/>
          <w:szCs w:val="20"/>
          <w:lang w:val="de-AT"/>
        </w:rPr>
        <w:t>Compliance-Archive für aufgezeichnete Meetings verwenden CGTA als kanonischen Index — domänenübergreifende Suchanfragen (z. B. MiFID-Audit über mehrere Plattformen) werden möglich</w:t>
      </w:r>
    </w:p>
    <w:p w14:paraId="63EE5F14" w14:textId="77777777" w:rsidR="00D1028B" w:rsidRDefault="00892948">
      <w:pPr>
        <w:pStyle w:val="berschrift3"/>
      </w:pPr>
      <w:bookmarkStart w:id="118" w:name="Xf1c7ee5b7934b14349a60c038c379fab4936785"/>
      <w:bookmarkStart w:id="119" w:name="_Toc226451935"/>
      <w:bookmarkEnd w:id="116"/>
      <w:r>
        <w:lastRenderedPageBreak/>
        <w:t>9.4 Virtuelle Zusammenarbeit in verteilten Teams</w:t>
      </w:r>
      <w:bookmarkEnd w:id="119"/>
    </w:p>
    <w:p w14:paraId="63EE5F15" w14:textId="77777777" w:rsidR="00D1028B" w:rsidRPr="00260DEC" w:rsidRDefault="00892948">
      <w:pPr>
        <w:numPr>
          <w:ilvl w:val="0"/>
          <w:numId w:val="83"/>
        </w:numPr>
        <w:rPr>
          <w:lang w:val="de-AT"/>
        </w:rPr>
      </w:pPr>
      <w:r>
        <w:rPr>
          <w:lang w:val="de-AT"/>
        </w:rPr>
        <w:t>World Clocks in Teams/Slack zeigen Lokalzeiten — aber „Jetzt” in Wien und „Jetzt” in Tokio sind konzeptuell dasselbe ChronoGrid-Moment, nur unterschiedlich dargestellt</w:t>
      </w:r>
    </w:p>
    <w:p w14:paraId="63EE5F16" w14:textId="77777777" w:rsidR="00D1028B" w:rsidRPr="00260DEC" w:rsidRDefault="00892948">
      <w:pPr>
        <w:numPr>
          <w:ilvl w:val="0"/>
          <w:numId w:val="83"/>
        </w:numPr>
        <w:rPr>
          <w:lang w:val="de-AT"/>
        </w:rPr>
      </w:pPr>
      <w:r>
        <w:rPr>
          <w:lang w:val="de-AT"/>
        </w:rPr>
        <w:t>Asynchrone Kommunikation (Slack-Nachrichten, E-Mail): Zeitstempel werden in Empfänger-Lokalzeit umgerechnet — führt bei Serverfehlern zu Nachrichten „aus der Zukunft”</w:t>
      </w:r>
    </w:p>
    <w:p w14:paraId="63EE5F17" w14:textId="77777777" w:rsidR="00D1028B" w:rsidRDefault="00892948">
      <w:pPr>
        <w:numPr>
          <w:ilvl w:val="0"/>
          <w:numId w:val="83"/>
        </w:numPr>
      </w:pPr>
      <w:r>
        <w:rPr>
          <w:lang w:val="de-AT"/>
        </w:rPr>
        <w:t xml:space="preserve">Status-Anzeigen („Aktuell nicht verfügbar” bis 14:00 Uhr): Welche 14:00 Uhr? </w:t>
      </w:r>
      <w:r>
        <w:t>Ohne Zeitzonenangabe — Interpretation abhängig vom Empfänger</w:t>
      </w:r>
    </w:p>
    <w:p w14:paraId="63EE5F18" w14:textId="77777777" w:rsidR="00D1028B" w:rsidRPr="00260DEC" w:rsidRDefault="00892948">
      <w:pPr>
        <w:numPr>
          <w:ilvl w:val="0"/>
          <w:numId w:val="83"/>
        </w:numPr>
        <w:rPr>
          <w:lang w:val="de-AT"/>
        </w:rPr>
      </w:pPr>
      <w:r>
        <w:rPr>
          <w:lang w:val="de-AT"/>
        </w:rPr>
        <w:t>Automatisierungen (Power Automate, Zapier): Zeitgesteuerte Workflows versagen bei DST-Übergängen regelmäßig</w:t>
      </w:r>
    </w:p>
    <w:p w14:paraId="63EE5F19"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1A" w14:textId="77777777" w:rsidR="00D1028B" w:rsidRPr="00260DEC" w:rsidRDefault="00892948">
      <w:pPr>
        <w:numPr>
          <w:ilvl w:val="0"/>
          <w:numId w:val="84"/>
        </w:numPr>
        <w:pBdr>
          <w:left w:val="single" w:sz="20" w:space="8" w:color="17A589"/>
        </w:pBdr>
        <w:shd w:val="clear" w:color="auto" w:fill="EAF7F4"/>
        <w:spacing w:before="40" w:after="40"/>
        <w:ind w:left="240"/>
        <w:rPr>
          <w:lang w:val="de-AT"/>
        </w:rPr>
      </w:pPr>
      <w:r>
        <w:rPr>
          <w:i/>
          <w:iCs/>
          <w:color w:val="0D4035"/>
          <w:sz w:val="20"/>
          <w:szCs w:val="20"/>
          <w:lang w:val="de-AT"/>
        </w:rPr>
        <w:t>„Follow-the-Sun”-Übergaben kodieren Übergabezeitpunkte als CGTA; jedes Team sieht die gleiche absolute Referenz, nur die Darstellung ist lokalisiert</w:t>
      </w:r>
    </w:p>
    <w:p w14:paraId="63EE5F1B" w14:textId="77777777" w:rsidR="00D1028B" w:rsidRPr="00260DEC" w:rsidRDefault="00892948">
      <w:pPr>
        <w:numPr>
          <w:ilvl w:val="0"/>
          <w:numId w:val="84"/>
        </w:numPr>
        <w:pBdr>
          <w:left w:val="single" w:sz="20" w:space="8" w:color="17A589"/>
        </w:pBdr>
        <w:shd w:val="clear" w:color="auto" w:fill="EAF7F4"/>
        <w:spacing w:before="40" w:after="40"/>
        <w:ind w:left="240"/>
        <w:rPr>
          <w:lang w:val="de-AT"/>
        </w:rPr>
      </w:pPr>
      <w:r>
        <w:rPr>
          <w:i/>
          <w:iCs/>
          <w:color w:val="0D4035"/>
          <w:sz w:val="20"/>
          <w:szCs w:val="20"/>
          <w:lang w:val="de-AT"/>
        </w:rPr>
        <w:t>Asynchrone Kollaborationstools (Kommentare, Aufgaben, Deadlines) verwenden CGTA als einheitlichen Zeittyp — Mehrdeutigkeiten bei „gestern”, „heute” und „morgen” über Zeitzonen hinweg entfallen</w:t>
      </w:r>
    </w:p>
    <w:p w14:paraId="63EE5F1C" w14:textId="77777777" w:rsidR="00D1028B" w:rsidRPr="00260DEC" w:rsidRDefault="00892948">
      <w:pPr>
        <w:numPr>
          <w:ilvl w:val="0"/>
          <w:numId w:val="84"/>
        </w:numPr>
        <w:pBdr>
          <w:left w:val="single" w:sz="20" w:space="8" w:color="17A589"/>
        </w:pBdr>
        <w:shd w:val="clear" w:color="auto" w:fill="EAF7F4"/>
        <w:spacing w:before="40" w:after="40"/>
        <w:ind w:left="240"/>
        <w:rPr>
          <w:lang w:val="de-AT"/>
        </w:rPr>
      </w:pPr>
      <w:r>
        <w:rPr>
          <w:i/>
          <w:iCs/>
          <w:color w:val="0D4035"/>
          <w:sz w:val="20"/>
          <w:szCs w:val="20"/>
          <w:lang w:val="de-AT"/>
        </w:rPr>
        <w:t>ChronoGrid kann als offener Zeitstandard in Kollaborations-APIs (z. B. Microsoft Graph, Google Workspace) integriert werden, ohne proprietäre Zeitzonenbibliotheken zu ersetzen</w:t>
      </w:r>
    </w:p>
    <w:p w14:paraId="63EE5F1D" w14:textId="77777777" w:rsidR="00D1028B" w:rsidRPr="00260DEC" w:rsidRDefault="00892948">
      <w:pPr>
        <w:pStyle w:val="berschrift2"/>
        <w:rPr>
          <w:lang w:val="de-AT"/>
        </w:rPr>
      </w:pPr>
      <w:bookmarkStart w:id="120" w:name="e-commerce-fintech-und-banking"/>
      <w:bookmarkStart w:id="121" w:name="_Toc226451936"/>
      <w:bookmarkEnd w:id="110"/>
      <w:bookmarkEnd w:id="118"/>
      <w:r>
        <w:rPr>
          <w:lang w:val="de-AT"/>
        </w:rPr>
        <w:t>10 E-Commerce, Fintech und Banking</w:t>
      </w:r>
      <w:bookmarkEnd w:id="121"/>
    </w:p>
    <w:p w14:paraId="63EE5F1E" w14:textId="77777777" w:rsidR="00D1028B" w:rsidRPr="00260DEC" w:rsidRDefault="00892948">
      <w:pPr>
        <w:rPr>
          <w:lang w:val="de-AT"/>
        </w:rPr>
      </w:pPr>
      <w:r>
        <w:rPr>
          <w:lang w:val="de-AT"/>
        </w:rPr>
        <w:t>Finanztransaktionen, Bestellungen und Verträge sind die zeitkritischsten Operationen der digitalen Wirtschaft. Fehlerhafte Zeitstempel haben hier direkte rechtliche und finanzielle Folgen.</w:t>
      </w:r>
    </w:p>
    <w:p w14:paraId="63EE5F1F" w14:textId="77777777" w:rsidR="00D1028B" w:rsidRPr="00260DEC" w:rsidRDefault="00892948">
      <w:pPr>
        <w:pStyle w:val="berschrift3"/>
        <w:rPr>
          <w:lang w:val="de-AT"/>
        </w:rPr>
      </w:pPr>
      <w:bookmarkStart w:id="122" w:name="X6d02e158c71b8019fa7bd17cdf4a5728392100d"/>
      <w:bookmarkStart w:id="123" w:name="_Toc226451937"/>
      <w:r>
        <w:rPr>
          <w:lang w:val="de-AT"/>
        </w:rPr>
        <w:t>10.1 E-Commerce: Fristen, Steuerperioden und Lieferzusagen</w:t>
      </w:r>
      <w:bookmarkEnd w:id="123"/>
    </w:p>
    <w:p w14:paraId="63EE5F20" w14:textId="77777777" w:rsidR="00D1028B" w:rsidRPr="00260DEC" w:rsidRDefault="00892948">
      <w:pPr>
        <w:rPr>
          <w:lang w:val="de-AT"/>
        </w:rPr>
      </w:pPr>
      <w:r>
        <w:rPr>
          <w:i/>
          <w:iCs/>
          <w:lang w:val="de-AT"/>
        </w:rPr>
        <w:t>Szenario: Eine Bestellung wird um 23:58 Uhr aufgegeben. Der Kunde ist in Wien (MEZ), der Server in Dublin (UTC). Die Bestellung zählt zu welchem Tag? Für die MwSt-Abrechnung, für die Lieferzusage („Morgen geliefert”) und für das 30-Tage-Rückgaberecht möglicherweise je unterschiedlich.</w:t>
      </w:r>
    </w:p>
    <w:p w14:paraId="63EE5F21" w14:textId="77777777" w:rsidR="00D1028B" w:rsidRPr="00260DEC" w:rsidRDefault="00892948">
      <w:pPr>
        <w:numPr>
          <w:ilvl w:val="0"/>
          <w:numId w:val="85"/>
        </w:numPr>
        <w:rPr>
          <w:lang w:val="de-AT"/>
        </w:rPr>
      </w:pPr>
      <w:r>
        <w:rPr>
          <w:lang w:val="de-AT"/>
        </w:rPr>
        <w:t>MwSt-Periodenabgrenzung: Jahresendgeschäfte um Mitternacht können steuerlich dem falschen Jahr zugeordnet werden</w:t>
      </w:r>
    </w:p>
    <w:p w14:paraId="63EE5F22" w14:textId="77777777" w:rsidR="00D1028B" w:rsidRDefault="00892948">
      <w:pPr>
        <w:numPr>
          <w:ilvl w:val="0"/>
          <w:numId w:val="85"/>
        </w:numPr>
      </w:pPr>
      <w:r>
        <w:rPr>
          <w:lang w:val="de-AT"/>
        </w:rPr>
        <w:t xml:space="preserve">Same-Day-Delivery-Versprechen: „Bestellungen bis 22:00 Uhr” — welche Zeitzone? </w:t>
      </w:r>
      <w:r>
        <w:t>Logistiksysteme interpretieren es anders als der Kunde</w:t>
      </w:r>
    </w:p>
    <w:p w14:paraId="63EE5F23" w14:textId="77777777" w:rsidR="00D1028B" w:rsidRDefault="00892948">
      <w:pPr>
        <w:numPr>
          <w:ilvl w:val="0"/>
          <w:numId w:val="85"/>
        </w:numPr>
      </w:pPr>
      <w:r>
        <w:rPr>
          <w:lang w:val="de-AT"/>
        </w:rPr>
        <w:t xml:space="preserve">Rückgabefristen: 14-Tage-Widerrufsfrist (EU-Recht) beginnt wann? </w:t>
      </w:r>
      <w:r>
        <w:t>Zeitzonenambiguität kann zu Rechtsstreitigkeiten führen</w:t>
      </w:r>
    </w:p>
    <w:p w14:paraId="63EE5F24" w14:textId="77777777" w:rsidR="00D1028B" w:rsidRPr="00260DEC" w:rsidRDefault="00892948">
      <w:pPr>
        <w:numPr>
          <w:ilvl w:val="0"/>
          <w:numId w:val="85"/>
        </w:numPr>
        <w:rPr>
          <w:lang w:val="de-AT"/>
        </w:rPr>
      </w:pPr>
      <w:r>
        <w:rPr>
          <w:lang w:val="de-AT"/>
        </w:rPr>
        <w:t>Flash Sales („Nur 1 Stunde!“): Countdown-Timer sind clientseitig berechnet — Manipulation möglich, Geltendmachung schwierig</w:t>
      </w:r>
    </w:p>
    <w:p w14:paraId="63EE5F25" w14:textId="77777777" w:rsidR="00D1028B" w:rsidRPr="00260DEC" w:rsidRDefault="00892948">
      <w:pPr>
        <w:numPr>
          <w:ilvl w:val="0"/>
          <w:numId w:val="85"/>
        </w:numPr>
        <w:rPr>
          <w:lang w:val="de-AT"/>
        </w:rPr>
      </w:pPr>
      <w:r>
        <w:rPr>
          <w:lang w:val="de-AT"/>
        </w:rPr>
        <w:t>Schwarzer Freitag / Cyber Monday: Globale Start- und Endzeiten sind für internationale Händler ohne klare Zeitreferenz ambig</w:t>
      </w:r>
    </w:p>
    <w:p w14:paraId="63EE5F26"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27" w14:textId="77777777" w:rsidR="00D1028B" w:rsidRPr="00260DEC" w:rsidRDefault="00892948">
      <w:pPr>
        <w:numPr>
          <w:ilvl w:val="0"/>
          <w:numId w:val="86"/>
        </w:numPr>
        <w:pBdr>
          <w:left w:val="single" w:sz="20" w:space="8" w:color="17A589"/>
        </w:pBdr>
        <w:shd w:val="clear" w:color="auto" w:fill="EAF7F4"/>
        <w:spacing w:before="40" w:after="40"/>
        <w:ind w:left="240"/>
        <w:rPr>
          <w:lang w:val="de-AT"/>
        </w:rPr>
      </w:pPr>
      <w:r>
        <w:rPr>
          <w:i/>
          <w:iCs/>
          <w:color w:val="0D4035"/>
          <w:sz w:val="20"/>
          <w:szCs w:val="20"/>
          <w:lang w:val="de-AT"/>
        </w:rPr>
        <w:lastRenderedPageBreak/>
        <w:t>Fristen (Widerrufsrecht 14 Tage, Lieferzusagen, Steuerperioden) als CTDDL-definierte Intervalle gespeichert sind gerichtstauglich — der Fristbeginn ist durch CGTA exakt belegbar, unabhängig von Sommer-/Winterzeit</w:t>
      </w:r>
    </w:p>
    <w:p w14:paraId="63EE5F28" w14:textId="77777777" w:rsidR="00D1028B" w:rsidRPr="00260DEC" w:rsidRDefault="00892948">
      <w:pPr>
        <w:numPr>
          <w:ilvl w:val="0"/>
          <w:numId w:val="86"/>
        </w:numPr>
        <w:pBdr>
          <w:left w:val="single" w:sz="20" w:space="8" w:color="17A589"/>
        </w:pBdr>
        <w:shd w:val="clear" w:color="auto" w:fill="EAF7F4"/>
        <w:spacing w:before="40" w:after="40"/>
        <w:ind w:left="240"/>
        <w:rPr>
          <w:lang w:val="de-AT"/>
        </w:rPr>
      </w:pPr>
      <w:r>
        <w:rPr>
          <w:i/>
          <w:iCs/>
          <w:color w:val="0D4035"/>
          <w:sz w:val="20"/>
          <w:szCs w:val="20"/>
          <w:lang w:val="de-AT"/>
        </w:rPr>
        <w:t>Steuerperiodengrenzen unterschiedlicher Jurisdiktionen (EU, USA, UK, CH) werden als separate CTDDL-Domains modelliert; ChronoGrid konvertiert deterministisch — kein manueller Mapping-Aufwand beim Markteintritt</w:t>
      </w:r>
    </w:p>
    <w:p w14:paraId="63EE5F29" w14:textId="77777777" w:rsidR="00D1028B" w:rsidRPr="00260DEC" w:rsidRDefault="00892948">
      <w:pPr>
        <w:numPr>
          <w:ilvl w:val="0"/>
          <w:numId w:val="86"/>
        </w:numPr>
        <w:pBdr>
          <w:left w:val="single" w:sz="20" w:space="8" w:color="17A589"/>
        </w:pBdr>
        <w:shd w:val="clear" w:color="auto" w:fill="EAF7F4"/>
        <w:spacing w:before="40" w:after="40"/>
        <w:ind w:left="240"/>
        <w:rPr>
          <w:lang w:val="de-AT"/>
        </w:rPr>
      </w:pPr>
      <w:r>
        <w:rPr>
          <w:i/>
          <w:iCs/>
          <w:color w:val="0D4035"/>
          <w:sz w:val="20"/>
          <w:szCs w:val="20"/>
          <w:lang w:val="de-AT"/>
        </w:rPr>
        <w:t>Lieferzeitfenster-Kalkulationen über DST-Grenzen (z. B. Bestellung 30. Oktober, Lieferung 3 Tage) liefern konsistente Ergebnisse — der Excel-2038-Fehler und Uhrenumstellungsfehler entfallen strukturell</w:t>
      </w:r>
    </w:p>
    <w:p w14:paraId="63EE5F2A" w14:textId="77777777" w:rsidR="00D1028B" w:rsidRDefault="00892948">
      <w:pPr>
        <w:pStyle w:val="berschrift3"/>
      </w:pPr>
      <w:bookmarkStart w:id="124" w:name="banking-und-zahlungsverkehr"/>
      <w:bookmarkStart w:id="125" w:name="_Toc226451938"/>
      <w:bookmarkEnd w:id="122"/>
      <w:r>
        <w:t>10.2 Banking und Zahlungsverkehr</w:t>
      </w:r>
      <w:bookmarkEnd w:id="125"/>
    </w:p>
    <w:p w14:paraId="63EE5F2B" w14:textId="77777777" w:rsidR="00D1028B" w:rsidRDefault="00892948">
      <w:pPr>
        <w:numPr>
          <w:ilvl w:val="0"/>
          <w:numId w:val="87"/>
        </w:numPr>
      </w:pPr>
      <w:r>
        <w:rPr>
          <w:lang w:val="de-AT"/>
        </w:rPr>
        <w:t xml:space="preserve">SWIFT-Transaktionen: Zeitstempel in Nachrichten sind für Korrespondenzbanken verbindlich. </w:t>
      </w:r>
      <w:r>
        <w:t>Inkonsistente Zeitbasen führen zu Abwicklungsverzögerungen</w:t>
      </w:r>
    </w:p>
    <w:p w14:paraId="63EE5F2C" w14:textId="77777777" w:rsidR="00D1028B" w:rsidRPr="00260DEC" w:rsidRDefault="00892948">
      <w:pPr>
        <w:numPr>
          <w:ilvl w:val="0"/>
          <w:numId w:val="87"/>
        </w:numPr>
        <w:rPr>
          <w:lang w:val="de-AT"/>
        </w:rPr>
      </w:pPr>
      <w:r>
        <w:rPr>
          <w:lang w:val="de-AT"/>
        </w:rPr>
        <w:t>Valutadatum: Der Zeitpunkt, ab dem Zinsen berechnet werden. Einen Tag Differenz bei einem Millionenkredit — tausende Euro Zinsunterschied</w:t>
      </w:r>
    </w:p>
    <w:p w14:paraId="63EE5F2D" w14:textId="77777777" w:rsidR="00D1028B" w:rsidRDefault="00892948">
      <w:pPr>
        <w:numPr>
          <w:ilvl w:val="0"/>
          <w:numId w:val="87"/>
        </w:numPr>
      </w:pPr>
      <w:r>
        <w:rPr>
          <w:lang w:val="de-AT"/>
        </w:rPr>
        <w:t xml:space="preserve">TARGET2 (EU-Interbankenzahlungssystem): Betrieb von 07:00 bis 18:00 Uhr MEZ. </w:t>
      </w:r>
      <w:r>
        <w:t>Grenzfälle bei DST-Umstellung sind dokumentierte Problemfälle</w:t>
      </w:r>
    </w:p>
    <w:p w14:paraId="63EE5F2E" w14:textId="77777777" w:rsidR="00D1028B" w:rsidRPr="00260DEC" w:rsidRDefault="00892948">
      <w:pPr>
        <w:numPr>
          <w:ilvl w:val="0"/>
          <w:numId w:val="87"/>
        </w:numPr>
        <w:rPr>
          <w:lang w:val="de-AT"/>
        </w:rPr>
      </w:pPr>
      <w:r>
        <w:rPr>
          <w:lang w:val="de-AT"/>
        </w:rPr>
        <w:t>Echtzeit-Zahlungen (SEPA Instant Credit Transfer): Transaktions-Timestamps müssen auf die Sekunde genau sein — Regulierung schreibt dies vor</w:t>
      </w:r>
    </w:p>
    <w:p w14:paraId="63EE5F2F" w14:textId="77777777" w:rsidR="00D1028B" w:rsidRPr="00260DEC" w:rsidRDefault="00892948">
      <w:pPr>
        <w:numPr>
          <w:ilvl w:val="0"/>
          <w:numId w:val="87"/>
        </w:numPr>
        <w:rPr>
          <w:lang w:val="de-AT"/>
        </w:rPr>
      </w:pPr>
      <w:r>
        <w:rPr>
          <w:lang w:val="de-AT"/>
        </w:rPr>
        <w:t>Kreditkarten-Chargeback-Fristen: 60-Tage-Fristen nach Transaktionsdatum — Zeitzonenmehrdeutigkeit bei internationalen Transaktionen</w:t>
      </w:r>
    </w:p>
    <w:p w14:paraId="63EE5F30"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31" w14:textId="77777777" w:rsidR="00D1028B" w:rsidRPr="00260DEC" w:rsidRDefault="00892948">
      <w:pPr>
        <w:numPr>
          <w:ilvl w:val="0"/>
          <w:numId w:val="88"/>
        </w:numPr>
        <w:pBdr>
          <w:left w:val="single" w:sz="20" w:space="8" w:color="17A589"/>
        </w:pBdr>
        <w:shd w:val="clear" w:color="auto" w:fill="EAF7F4"/>
        <w:spacing w:before="40" w:after="40"/>
        <w:ind w:left="240"/>
        <w:rPr>
          <w:lang w:val="de-AT"/>
        </w:rPr>
      </w:pPr>
      <w:r>
        <w:rPr>
          <w:i/>
          <w:iCs/>
          <w:color w:val="0D4035"/>
          <w:sz w:val="20"/>
          <w:szCs w:val="20"/>
          <w:lang w:val="de-AT"/>
        </w:rPr>
        <w:t>SWIFT- und SEPA-Valutatage als CGTA-Intervalle modelliert sind über Jurisdiktionsgrenzen und Bankfeiertagsregeln hinweg eindeutig — Wertstellungsfehler durch DST-Übergänge entfallen</w:t>
      </w:r>
    </w:p>
    <w:p w14:paraId="63EE5F32" w14:textId="77777777" w:rsidR="00D1028B" w:rsidRPr="00260DEC" w:rsidRDefault="00892948">
      <w:pPr>
        <w:numPr>
          <w:ilvl w:val="0"/>
          <w:numId w:val="88"/>
        </w:numPr>
        <w:pBdr>
          <w:left w:val="single" w:sz="20" w:space="8" w:color="17A589"/>
        </w:pBdr>
        <w:shd w:val="clear" w:color="auto" w:fill="EAF7F4"/>
        <w:spacing w:before="40" w:after="40"/>
        <w:ind w:left="240"/>
        <w:rPr>
          <w:lang w:val="de-AT"/>
        </w:rPr>
      </w:pPr>
      <w:r>
        <w:rPr>
          <w:i/>
          <w:iCs/>
          <w:color w:val="0D4035"/>
          <w:sz w:val="20"/>
          <w:szCs w:val="20"/>
          <w:lang w:val="de-AT"/>
        </w:rPr>
        <w:t>Hochfrequenzhandels-Zeitstempel auf Nanosekunden-Ebene: CGTA mit BigInt-Granularität erfüllt nativ MiFID-II-Mikrosekundenanforderungen ohne proprietäre Erweiterungen</w:t>
      </w:r>
    </w:p>
    <w:p w14:paraId="63EE5F33" w14:textId="77777777" w:rsidR="00D1028B" w:rsidRPr="00260DEC" w:rsidRDefault="00892948">
      <w:pPr>
        <w:numPr>
          <w:ilvl w:val="0"/>
          <w:numId w:val="88"/>
        </w:numPr>
        <w:pBdr>
          <w:left w:val="single" w:sz="20" w:space="8" w:color="17A589"/>
        </w:pBdr>
        <w:shd w:val="clear" w:color="auto" w:fill="EAF7F4"/>
        <w:spacing w:before="40" w:after="40"/>
        <w:ind w:left="240"/>
        <w:rPr>
          <w:lang w:val="de-AT"/>
        </w:rPr>
      </w:pPr>
      <w:r>
        <w:rPr>
          <w:i/>
          <w:iCs/>
          <w:color w:val="0D4035"/>
          <w:sz w:val="20"/>
          <w:szCs w:val="20"/>
          <w:lang w:val="de-AT"/>
        </w:rPr>
        <w:t>CGTA als normativer Zeittyp in ISO 20022 (Nachfolger von SWIFT MT) eröffnet ChronoGrid eine direkte Partnerschaft mit dem globalen Zahlungsverkehrs-Standard</w:t>
      </w:r>
    </w:p>
    <w:p w14:paraId="63EE5F34" w14:textId="77777777" w:rsidR="00D1028B" w:rsidRPr="00260DEC" w:rsidRDefault="00892948">
      <w:pPr>
        <w:numPr>
          <w:ilvl w:val="0"/>
          <w:numId w:val="88"/>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5F35" w14:textId="77777777" w:rsidR="00D1028B" w:rsidRDefault="00892948">
      <w:pPr>
        <w:pStyle w:val="berschrift3"/>
      </w:pPr>
      <w:bookmarkStart w:id="126" w:name="kryptowährungen-und-defi"/>
      <w:bookmarkStart w:id="127" w:name="_Toc226451939"/>
      <w:bookmarkEnd w:id="124"/>
      <w:r>
        <w:t>10.3 Kryptowährungen und DeFi</w:t>
      </w:r>
      <w:bookmarkEnd w:id="127"/>
    </w:p>
    <w:p w14:paraId="63EE5F36" w14:textId="77777777" w:rsidR="00D1028B" w:rsidRPr="00260DEC" w:rsidRDefault="00892948">
      <w:pPr>
        <w:numPr>
          <w:ilvl w:val="0"/>
          <w:numId w:val="89"/>
        </w:numPr>
        <w:rPr>
          <w:lang w:val="de-AT"/>
        </w:rPr>
      </w:pPr>
      <w:r>
        <w:rPr>
          <w:lang w:val="de-AT"/>
        </w:rPr>
        <w:t>Block Timestamps in Bitcoin und Ethereum: Miner können Timestamps innerhalb von ± 2 Stunden manipulieren (konsensreguliert, aber unpräzise)</w:t>
      </w:r>
    </w:p>
    <w:p w14:paraId="63EE5F37" w14:textId="77777777" w:rsidR="00D1028B" w:rsidRPr="00260DEC" w:rsidRDefault="00892948">
      <w:pPr>
        <w:numPr>
          <w:ilvl w:val="0"/>
          <w:numId w:val="89"/>
        </w:numPr>
        <w:rPr>
          <w:lang w:val="de-AT"/>
        </w:rPr>
      </w:pPr>
      <w:r>
        <w:rPr>
          <w:lang w:val="de-AT"/>
        </w:rPr>
        <w:t>Smart Contract Time-Locks: Automatische Ausführung zu einem Zeitpunkt — basiert auf Block-Timestamp, nicht auf echter Weltzeit</w:t>
      </w:r>
    </w:p>
    <w:p w14:paraId="63EE5F38" w14:textId="77777777" w:rsidR="00D1028B" w:rsidRPr="00260DEC" w:rsidRDefault="00892948">
      <w:pPr>
        <w:numPr>
          <w:ilvl w:val="0"/>
          <w:numId w:val="89"/>
        </w:numPr>
        <w:rPr>
          <w:lang w:val="de-AT"/>
        </w:rPr>
      </w:pPr>
      <w:r>
        <w:rPr>
          <w:lang w:val="de-AT"/>
        </w:rPr>
        <w:t>DeFi-Liquidationen: Werden ausgelöst wenn Zeitbedingungen erfüllt sind — Manipulierbarkeit der Zeitbasis ist ein Sicherheitsrisiko</w:t>
      </w:r>
    </w:p>
    <w:p w14:paraId="63EE5F39" w14:textId="77777777" w:rsidR="00D1028B" w:rsidRPr="00260DEC" w:rsidRDefault="00892948">
      <w:pPr>
        <w:numPr>
          <w:ilvl w:val="0"/>
          <w:numId w:val="89"/>
        </w:numPr>
        <w:rPr>
          <w:lang w:val="de-AT"/>
        </w:rPr>
      </w:pPr>
      <w:r>
        <w:rPr>
          <w:lang w:val="de-AT"/>
        </w:rPr>
        <w:t>NFT-Auktionen mit Ablaufzeit: Clientseitiger Countdown vs. Blockchain-Timestamp — oft divergent</w:t>
      </w:r>
    </w:p>
    <w:p w14:paraId="63EE5F3A" w14:textId="77777777" w:rsidR="00D1028B" w:rsidRPr="00260DEC" w:rsidRDefault="00892948">
      <w:pPr>
        <w:numPr>
          <w:ilvl w:val="0"/>
          <w:numId w:val="89"/>
        </w:numPr>
        <w:rPr>
          <w:lang w:val="de-AT"/>
        </w:rPr>
      </w:pPr>
      <w:r>
        <w:rPr>
          <w:lang w:val="de-AT"/>
        </w:rPr>
        <w:t>Staking-Rewards und Vesting-Schedules: Zeitbasierte Auszahlungen ohne verifizierbare Außenreferenz</w:t>
      </w:r>
    </w:p>
    <w:p w14:paraId="63EE5F3B"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3C" w14:textId="77777777" w:rsidR="00D1028B" w:rsidRPr="00260DEC" w:rsidRDefault="00892948">
      <w:pPr>
        <w:numPr>
          <w:ilvl w:val="0"/>
          <w:numId w:val="90"/>
        </w:numPr>
        <w:pBdr>
          <w:left w:val="single" w:sz="20" w:space="8" w:color="17A589"/>
        </w:pBdr>
        <w:shd w:val="clear" w:color="auto" w:fill="EAF7F4"/>
        <w:spacing w:before="40" w:after="40"/>
        <w:ind w:left="240"/>
        <w:rPr>
          <w:lang w:val="de-AT"/>
        </w:rPr>
      </w:pPr>
      <w:r>
        <w:rPr>
          <w:i/>
          <w:iCs/>
          <w:color w:val="0D4035"/>
          <w:sz w:val="20"/>
          <w:szCs w:val="20"/>
          <w:lang w:val="de-AT"/>
        </w:rPr>
        <w:lastRenderedPageBreak/>
        <w:t>Smart-Contract-Blockzeiten sind durch Konsensmechanismen ungenau und manipulierbar; ein ChronoGrid-Orakel liefert extern verifizierbare CGTA-Zeitstempel als vertrauenswürdige Zeitreferenz für DeFi-Protokolle</w:t>
      </w:r>
    </w:p>
    <w:p w14:paraId="63EE5F3D" w14:textId="77777777" w:rsidR="00D1028B" w:rsidRPr="00260DEC" w:rsidRDefault="00892948">
      <w:pPr>
        <w:numPr>
          <w:ilvl w:val="0"/>
          <w:numId w:val="90"/>
        </w:numPr>
        <w:pBdr>
          <w:left w:val="single" w:sz="20" w:space="8" w:color="17A589"/>
        </w:pBdr>
        <w:shd w:val="clear" w:color="auto" w:fill="EAF7F4"/>
        <w:spacing w:before="40" w:after="40"/>
        <w:ind w:left="240"/>
        <w:rPr>
          <w:lang w:val="de-AT"/>
        </w:rPr>
      </w:pPr>
      <w:r>
        <w:rPr>
          <w:i/>
          <w:iCs/>
          <w:color w:val="0D4035"/>
          <w:sz w:val="20"/>
          <w:szCs w:val="20"/>
          <w:lang w:val="de-AT"/>
        </w:rPr>
        <w:t>DeFi-Fristen (Liquidationen, Optionsverfall, Governance-Abstimmungen) als CGTA kodiert sind deterministisch berechenbar — der bekannte „block.timestamp”-Manipulations-Angriffsvektor entfällt</w:t>
      </w:r>
    </w:p>
    <w:p w14:paraId="63EE5F3E" w14:textId="77777777" w:rsidR="00D1028B" w:rsidRPr="00260DEC" w:rsidRDefault="00892948">
      <w:pPr>
        <w:numPr>
          <w:ilvl w:val="0"/>
          <w:numId w:val="90"/>
        </w:numPr>
        <w:pBdr>
          <w:left w:val="single" w:sz="20" w:space="8" w:color="17A589"/>
        </w:pBdr>
        <w:shd w:val="clear" w:color="auto" w:fill="EAF7F4"/>
        <w:spacing w:before="40" w:after="40"/>
        <w:ind w:left="240"/>
        <w:rPr>
          <w:lang w:val="de-AT"/>
        </w:rPr>
      </w:pPr>
      <w:r>
        <w:rPr>
          <w:i/>
          <w:iCs/>
          <w:color w:val="0D4035"/>
          <w:sz w:val="20"/>
          <w:szCs w:val="20"/>
          <w:lang w:val="de-AT"/>
        </w:rPr>
        <w:t>ChronoGrid-CTDDL kann Blockchain-Zeitdomänen formal beschreiben (z. B. Ethereum-Block als diskrete Zeitdomain), was Cross-Chain-Zeitvergleiche normiert</w:t>
      </w:r>
    </w:p>
    <w:p w14:paraId="63EE5F3F" w14:textId="77777777" w:rsidR="00D1028B" w:rsidRPr="00260DEC" w:rsidRDefault="00892948">
      <w:pPr>
        <w:pStyle w:val="berschrift2"/>
        <w:rPr>
          <w:lang w:val="de-AT"/>
        </w:rPr>
      </w:pPr>
      <w:bookmarkStart w:id="128" w:name="streaming-social-media-und-cybersecurity"/>
      <w:bookmarkStart w:id="129" w:name="_Toc226451940"/>
      <w:bookmarkEnd w:id="120"/>
      <w:bookmarkEnd w:id="126"/>
      <w:r>
        <w:rPr>
          <w:lang w:val="de-AT"/>
        </w:rPr>
        <w:t>11 Streaming, Social Media und Cybersecurity</w:t>
      </w:r>
      <w:bookmarkEnd w:id="129"/>
    </w:p>
    <w:p w14:paraId="63EE5F40" w14:textId="77777777" w:rsidR="00D1028B" w:rsidRPr="00260DEC" w:rsidRDefault="00892948">
      <w:pPr>
        <w:pStyle w:val="berschrift3"/>
        <w:rPr>
          <w:lang w:val="de-AT"/>
        </w:rPr>
      </w:pPr>
      <w:bookmarkStart w:id="130" w:name="Xc88a7417050dfb439a5c3dc50fa21eb213795aa"/>
      <w:bookmarkStart w:id="131" w:name="_Toc226451941"/>
      <w:r>
        <w:rPr>
          <w:lang w:val="de-AT"/>
        </w:rPr>
        <w:t>11.1 Streaming-Dienste: Inhaltsverfügbarkeit und Lizenzen</w:t>
      </w:r>
      <w:bookmarkEnd w:id="131"/>
    </w:p>
    <w:p w14:paraId="63EE5F41" w14:textId="77777777" w:rsidR="00D1028B" w:rsidRDefault="00892948">
      <w:r>
        <w:rPr>
          <w:lang w:val="de-AT"/>
        </w:rPr>
        <w:t xml:space="preserve">Streaming-Rechte sind geografisch und zeitlich begrenzt. Netflix, Spotify, Disney+ und Apple TV+ lizenzieren Inhalte für bestimmte Regionen und Zeiträume. </w:t>
      </w:r>
      <w:r>
        <w:t>Die zeitliche Komponente ist komplex:</w:t>
      </w:r>
    </w:p>
    <w:p w14:paraId="63EE5F42" w14:textId="77777777" w:rsidR="00D1028B" w:rsidRPr="00260DEC" w:rsidRDefault="00892948">
      <w:pPr>
        <w:numPr>
          <w:ilvl w:val="0"/>
          <w:numId w:val="91"/>
        </w:numPr>
        <w:rPr>
          <w:lang w:val="de-AT"/>
        </w:rPr>
      </w:pPr>
      <w:r>
        <w:rPr>
          <w:lang w:val="de-AT"/>
        </w:rPr>
        <w:t>Midnight-Releases („Veefügbar ab Mitternacht”): Netflix veröffentlicht neue Episoden um 03:00 Uhr UTC — was für manche Regionen Mitternacht bedeutet, für andere Nachmittag</w:t>
      </w:r>
    </w:p>
    <w:p w14:paraId="63EE5F43" w14:textId="77777777" w:rsidR="00D1028B" w:rsidRPr="00260DEC" w:rsidRDefault="00892948">
      <w:pPr>
        <w:numPr>
          <w:ilvl w:val="0"/>
          <w:numId w:val="91"/>
        </w:numPr>
        <w:rPr>
          <w:lang w:val="de-AT"/>
        </w:rPr>
      </w:pPr>
      <w:r>
        <w:rPr>
          <w:lang w:val="de-AT"/>
        </w:rPr>
        <w:t>Lizenzablauf: Ein Film verschwindet um Mitternacht aus dem Katalog — welche Mitternacht? Fälle sind dokumentiert, wo Nutzer mitten im Film den Zugang verloren</w:t>
      </w:r>
    </w:p>
    <w:p w14:paraId="63EE5F44" w14:textId="77777777" w:rsidR="00D1028B" w:rsidRPr="00260DEC" w:rsidRDefault="00892948">
      <w:pPr>
        <w:numPr>
          <w:ilvl w:val="0"/>
          <w:numId w:val="91"/>
        </w:numPr>
        <w:rPr>
          <w:lang w:val="de-AT"/>
        </w:rPr>
      </w:pPr>
      <w:r>
        <w:rPr>
          <w:lang w:val="de-AT"/>
        </w:rPr>
        <w:t>Sport-Livestreams: Exklusive Rechtefenster beginnen und enden zu definierten Zeitpunkten — Zeitzoneninkonsistenz führt zu Rechtsgraubereichen</w:t>
      </w:r>
    </w:p>
    <w:p w14:paraId="63EE5F45" w14:textId="77777777" w:rsidR="00D1028B" w:rsidRPr="00260DEC" w:rsidRDefault="00892948">
      <w:pPr>
        <w:numPr>
          <w:ilvl w:val="0"/>
          <w:numId w:val="91"/>
        </w:numPr>
        <w:rPr>
          <w:lang w:val="de-AT"/>
        </w:rPr>
      </w:pPr>
      <w:r>
        <w:rPr>
          <w:lang w:val="de-AT"/>
        </w:rPr>
        <w:t>Musik-Releases (Spotify, Apple Music): „Friday Release” ist global — ob ein Nutzer in Neuseeland den Song Donnerstag- oder Freitagabend hört, hängt von der Implementierung ab</w:t>
      </w:r>
    </w:p>
    <w:p w14:paraId="63EE5F46" w14:textId="77777777" w:rsidR="00D1028B" w:rsidRPr="00260DEC" w:rsidRDefault="00892948">
      <w:pPr>
        <w:numPr>
          <w:ilvl w:val="0"/>
          <w:numId w:val="91"/>
        </w:numPr>
        <w:rPr>
          <w:lang w:val="de-AT"/>
        </w:rPr>
      </w:pPr>
      <w:r>
        <w:rPr>
          <w:lang w:val="de-AT"/>
        </w:rPr>
        <w:t>Concurrent-Viewer-Limits in Lizenzen: „Maximal 1.000 gleichzeitige Streams” — gleichzeitig gemessen wann, mit welcher Zeitreferenz?</w:t>
      </w:r>
    </w:p>
    <w:p w14:paraId="63EE5F4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48" w14:textId="77777777" w:rsidR="00D1028B" w:rsidRPr="00260DEC" w:rsidRDefault="00892948">
      <w:pPr>
        <w:numPr>
          <w:ilvl w:val="0"/>
          <w:numId w:val="92"/>
        </w:numPr>
        <w:pBdr>
          <w:left w:val="single" w:sz="20" w:space="8" w:color="17A589"/>
        </w:pBdr>
        <w:shd w:val="clear" w:color="auto" w:fill="EAF7F4"/>
        <w:spacing w:before="40" w:after="40"/>
        <w:ind w:left="240"/>
        <w:rPr>
          <w:lang w:val="de-AT"/>
        </w:rPr>
      </w:pPr>
      <w:r>
        <w:rPr>
          <w:i/>
          <w:iCs/>
          <w:color w:val="0D4035"/>
          <w:sz w:val="20"/>
          <w:szCs w:val="20"/>
          <w:lang w:val="de-AT"/>
        </w:rPr>
        <w:t>Lizenzfenster für Streaming-Inhalte als CGTA-Intervalle gespeichert sind zeitzonenneutral — ein Film, der „ab Mitternacht” verfügbar ist, hat einen eindeutigen globalen Startpunkt</w:t>
      </w:r>
    </w:p>
    <w:p w14:paraId="63EE5F49" w14:textId="77777777" w:rsidR="00D1028B" w:rsidRPr="00260DEC" w:rsidRDefault="00892948">
      <w:pPr>
        <w:numPr>
          <w:ilvl w:val="0"/>
          <w:numId w:val="92"/>
        </w:numPr>
        <w:pBdr>
          <w:left w:val="single" w:sz="20" w:space="8" w:color="17A589"/>
        </w:pBdr>
        <w:shd w:val="clear" w:color="auto" w:fill="EAF7F4"/>
        <w:spacing w:before="40" w:after="40"/>
        <w:ind w:left="240"/>
        <w:rPr>
          <w:lang w:val="de-AT"/>
        </w:rPr>
      </w:pPr>
      <w:r>
        <w:rPr>
          <w:i/>
          <w:iCs/>
          <w:color w:val="0D4035"/>
          <w:sz w:val="20"/>
          <w:szCs w:val="20"/>
          <w:lang w:val="de-AT"/>
        </w:rPr>
        <w:t>Geo-basierte Lizenzrestriktionen werden durch CGTA-Zeitpunkte mit CTDDL-Mapping auf regionale Kalender kombinierbar — kein manuelles Offset-Management pro Markt</w:t>
      </w:r>
    </w:p>
    <w:p w14:paraId="63EE5F4A" w14:textId="77777777" w:rsidR="00D1028B" w:rsidRPr="00260DEC" w:rsidRDefault="00892948">
      <w:pPr>
        <w:numPr>
          <w:ilvl w:val="0"/>
          <w:numId w:val="92"/>
        </w:numPr>
        <w:pBdr>
          <w:left w:val="single" w:sz="20" w:space="8" w:color="17A589"/>
        </w:pBdr>
        <w:shd w:val="clear" w:color="auto" w:fill="EAF7F4"/>
        <w:spacing w:before="40" w:after="40"/>
        <w:ind w:left="240"/>
        <w:rPr>
          <w:lang w:val="de-AT"/>
        </w:rPr>
      </w:pPr>
      <w:r>
        <w:rPr>
          <w:i/>
          <w:iCs/>
          <w:color w:val="0D4035"/>
          <w:sz w:val="20"/>
          <w:szCs w:val="20"/>
          <w:lang w:val="de-AT"/>
        </w:rPr>
        <w:t>Anti-Piracy-Zeitstempel für Inhalts-Wasserzeichen als CGTA sind gerichtsfest und manipulationsresistent; die BigInt-Präzision erlaubt Nachweis von Vorab-Leaks auf Sekunden genau</w:t>
      </w:r>
    </w:p>
    <w:p w14:paraId="63EE5F4B" w14:textId="77777777" w:rsidR="00D1028B" w:rsidRDefault="00892948">
      <w:pPr>
        <w:numPr>
          <w:ilvl w:val="0"/>
          <w:numId w:val="92"/>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5F4C" w14:textId="77777777" w:rsidR="00D1028B" w:rsidRDefault="00892948">
      <w:pPr>
        <w:pStyle w:val="berschrift3"/>
      </w:pPr>
      <w:bookmarkStart w:id="132" w:name="X252541005b2365e8852e6d8530a1baf12131ac6"/>
      <w:bookmarkStart w:id="133" w:name="_Toc226451942"/>
      <w:bookmarkEnd w:id="130"/>
      <w:r>
        <w:t>11.2 Social Media: Zeitstempel, Trends und Analyse</w:t>
      </w:r>
      <w:bookmarkEnd w:id="133"/>
    </w:p>
    <w:p w14:paraId="63EE5F4D" w14:textId="77777777" w:rsidR="00D1028B" w:rsidRDefault="00892948">
      <w:pPr>
        <w:numPr>
          <w:ilvl w:val="0"/>
          <w:numId w:val="93"/>
        </w:numPr>
      </w:pPr>
      <w:r>
        <w:rPr>
          <w:lang w:val="de-AT"/>
        </w:rPr>
        <w:t xml:space="preserve">Post-Zeitstempel: X (Twitter), Instagram, TikTok zeigen Zeitstempel in Nutzer-Lokalzeit an. </w:t>
      </w:r>
      <w:r>
        <w:t>Konvertierungsfehler entstehen bei Profil-Zeitzonenwechsel</w:t>
      </w:r>
    </w:p>
    <w:p w14:paraId="63EE5F4E" w14:textId="77777777" w:rsidR="00D1028B" w:rsidRDefault="00892948">
      <w:pPr>
        <w:numPr>
          <w:ilvl w:val="0"/>
          <w:numId w:val="93"/>
        </w:numPr>
      </w:pPr>
      <w:r>
        <w:rPr>
          <w:lang w:val="de-AT"/>
        </w:rPr>
        <w:t xml:space="preserve">Trend-Algorithmen: „Was ist gerade trending?” wird über Zeitfenster definiert. </w:t>
      </w:r>
      <w:r>
        <w:t>Inkonsistente Zeitbasen verfälschen globale Trending-Berechnungen</w:t>
      </w:r>
    </w:p>
    <w:p w14:paraId="63EE5F4F" w14:textId="77777777" w:rsidR="00D1028B" w:rsidRPr="00260DEC" w:rsidRDefault="00892948">
      <w:pPr>
        <w:numPr>
          <w:ilvl w:val="0"/>
          <w:numId w:val="93"/>
        </w:numPr>
        <w:rPr>
          <w:lang w:val="de-AT"/>
        </w:rPr>
      </w:pPr>
      <w:r>
        <w:rPr>
          <w:lang w:val="de-AT"/>
        </w:rPr>
        <w:t>Archivforschung: Journalisten und Forscher analysieren historische Posts — Zeitstempel-Inkonsistenz zwischen Plattformen erschwert Korrelation</w:t>
      </w:r>
    </w:p>
    <w:p w14:paraId="63EE5F50" w14:textId="77777777" w:rsidR="00D1028B" w:rsidRPr="00260DEC" w:rsidRDefault="00892948">
      <w:pPr>
        <w:numPr>
          <w:ilvl w:val="0"/>
          <w:numId w:val="93"/>
        </w:numPr>
        <w:rPr>
          <w:lang w:val="de-AT"/>
        </w:rPr>
      </w:pPr>
      <w:r>
        <w:rPr>
          <w:lang w:val="de-AT"/>
        </w:rPr>
        <w:lastRenderedPageBreak/>
        <w:t>Virality-Analysen: Wachstumskurven von Posts hängen von der genauen Zeitachse ab — plattformübergreifende Vergleiche sind ohne einheitliche Basis unreliable</w:t>
      </w:r>
    </w:p>
    <w:p w14:paraId="63EE5F51" w14:textId="77777777" w:rsidR="00D1028B" w:rsidRPr="00260DEC" w:rsidRDefault="00892948">
      <w:pPr>
        <w:numPr>
          <w:ilvl w:val="0"/>
          <w:numId w:val="93"/>
        </w:numPr>
        <w:rPr>
          <w:lang w:val="de-AT"/>
        </w:rPr>
      </w:pPr>
      <w:r>
        <w:rPr>
          <w:lang w:val="de-AT"/>
        </w:rPr>
        <w:t>Rechtliche Nutzung: Screenshots mit Zeitstempel als Beweismittel — Zeitzonenmehrdeutigkeit kann Beweiskraft schmälern</w:t>
      </w:r>
    </w:p>
    <w:p w14:paraId="63EE5F52"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53" w14:textId="77777777" w:rsidR="00D1028B" w:rsidRPr="00260DEC" w:rsidRDefault="00892948">
      <w:pPr>
        <w:numPr>
          <w:ilvl w:val="0"/>
          <w:numId w:val="94"/>
        </w:numPr>
        <w:pBdr>
          <w:left w:val="single" w:sz="20" w:space="8" w:color="17A589"/>
        </w:pBdr>
        <w:shd w:val="clear" w:color="auto" w:fill="EAF7F4"/>
        <w:spacing w:before="40" w:after="40"/>
        <w:ind w:left="240"/>
        <w:rPr>
          <w:lang w:val="de-AT"/>
        </w:rPr>
      </w:pPr>
      <w:r>
        <w:rPr>
          <w:i/>
          <w:iCs/>
          <w:color w:val="0D4035"/>
          <w:sz w:val="20"/>
          <w:szCs w:val="20"/>
          <w:lang w:val="de-AT"/>
        </w:rPr>
        <w:t>Social-Media-Zeitstempel als CGTA archiviert sind dauerhaft verifizierbar — ein Tweet oder Post behält seinen absoluten Entstehungszeitpunkt auch nach Zeitzonenänderungen der Plattform</w:t>
      </w:r>
    </w:p>
    <w:p w14:paraId="63EE5F54" w14:textId="77777777" w:rsidR="00D1028B" w:rsidRPr="00260DEC" w:rsidRDefault="00892948">
      <w:pPr>
        <w:numPr>
          <w:ilvl w:val="0"/>
          <w:numId w:val="94"/>
        </w:numPr>
        <w:pBdr>
          <w:left w:val="single" w:sz="20" w:space="8" w:color="17A589"/>
        </w:pBdr>
        <w:shd w:val="clear" w:color="auto" w:fill="EAF7F4"/>
        <w:spacing w:before="40" w:after="40"/>
        <w:ind w:left="240"/>
        <w:rPr>
          <w:lang w:val="de-AT"/>
        </w:rPr>
      </w:pPr>
      <w:r>
        <w:rPr>
          <w:i/>
          <w:iCs/>
          <w:color w:val="0D4035"/>
          <w:sz w:val="20"/>
          <w:szCs w:val="20"/>
          <w:lang w:val="de-AT"/>
        </w:rPr>
        <w:t>Trend-Analysen über mehrere Plattformen und Zeitzonen hinweg erhalten eine normierte CGTA-Zeitachse; Korrelationen zwischen Ereignis und Reaktion sind exakt berechenbar</w:t>
      </w:r>
    </w:p>
    <w:p w14:paraId="63EE5F55" w14:textId="77777777" w:rsidR="00D1028B" w:rsidRPr="00260DEC" w:rsidRDefault="00892948">
      <w:pPr>
        <w:numPr>
          <w:ilvl w:val="0"/>
          <w:numId w:val="94"/>
        </w:numPr>
        <w:pBdr>
          <w:left w:val="single" w:sz="20" w:space="8" w:color="17A589"/>
        </w:pBdr>
        <w:shd w:val="clear" w:color="auto" w:fill="EAF7F4"/>
        <w:spacing w:before="40" w:after="40"/>
        <w:ind w:left="240"/>
        <w:rPr>
          <w:lang w:val="de-AT"/>
        </w:rPr>
      </w:pPr>
      <w:r>
        <w:rPr>
          <w:i/>
          <w:iCs/>
          <w:color w:val="0D4035"/>
          <w:sz w:val="20"/>
          <w:szCs w:val="20"/>
          <w:lang w:val="de-AT"/>
        </w:rPr>
        <w:t>Desinformations-Forensik: Der Nachweis, dass Inhalte vor einem Ereignis gepostet wurden, ist mit CGTA eindeutig und manipulationsresistent — relevant für Fact-Checking-Organisationen und Gerichte</w:t>
      </w:r>
    </w:p>
    <w:p w14:paraId="63EE5F56" w14:textId="77777777" w:rsidR="00D1028B" w:rsidRPr="00260DEC" w:rsidRDefault="00892948">
      <w:pPr>
        <w:pStyle w:val="berschrift3"/>
        <w:rPr>
          <w:lang w:val="de-AT"/>
        </w:rPr>
      </w:pPr>
      <w:bookmarkStart w:id="134" w:name="cybersecurity-zeit-als-angriffsfläche"/>
      <w:bookmarkStart w:id="135" w:name="_Toc226451943"/>
      <w:bookmarkEnd w:id="132"/>
      <w:r>
        <w:rPr>
          <w:lang w:val="de-AT"/>
        </w:rPr>
        <w:t>11.3 Cybersecurity: Zeit als Angriffsfläche</w:t>
      </w:r>
      <w:bookmarkEnd w:id="135"/>
    </w:p>
    <w:p w14:paraId="63EE5F57" w14:textId="77777777" w:rsidR="00D1028B" w:rsidRPr="00260DEC" w:rsidRDefault="00892948">
      <w:pPr>
        <w:rPr>
          <w:lang w:val="de-AT"/>
        </w:rPr>
      </w:pPr>
      <w:r>
        <w:rPr>
          <w:lang w:val="de-AT"/>
        </w:rPr>
        <w:t>Zeit ist eine kritische Sicherheitsdimension in nahezu jedem Authentifizierungs- und Autorisierungssystem. Angreifer nutzen Zeitinkonsistenzen systematisch aus:</w:t>
      </w:r>
    </w:p>
    <w:p w14:paraId="63EE5F58" w14:textId="77777777" w:rsidR="00D1028B" w:rsidRDefault="00892948">
      <w:r>
        <w:rPr>
          <w:i/>
          <w:iCs/>
          <w:lang w:val="de-AT"/>
        </w:rPr>
        <w:t xml:space="preserve">JWT (JSON Web Token) Replay-Angriff: Ein Token läuft um 14:00:00 UTC ab. Wenn der Client-Server-Zeitunterschied &gt; 0 ist, kann ein abgelaufener Token noch als gültig akzeptiert werden. </w:t>
      </w:r>
      <w:r>
        <w:rPr>
          <w:i/>
          <w:iCs/>
        </w:rPr>
        <w:t>Dies ist eine bekannte, dokumentierte Sicherheitslücke in vielen Implementierungen.</w:t>
      </w:r>
    </w:p>
    <w:p w14:paraId="63EE5F59" w14:textId="77777777" w:rsidR="00D1028B" w:rsidRDefault="00892948">
      <w:pPr>
        <w:numPr>
          <w:ilvl w:val="0"/>
          <w:numId w:val="95"/>
        </w:numPr>
      </w:pPr>
      <w:r>
        <w:t>TOTP (Time-based One-Time Passwords, z. B. Google Authenticator): Basiert auf 30-Sekunden-Zeitfenstern. Driftendes Gerät erzeugt ungültige Codes</w:t>
      </w:r>
    </w:p>
    <w:p w14:paraId="63EE5F5A" w14:textId="77777777" w:rsidR="00D1028B" w:rsidRDefault="00892948">
      <w:pPr>
        <w:numPr>
          <w:ilvl w:val="0"/>
          <w:numId w:val="95"/>
        </w:numPr>
      </w:pPr>
      <w:r>
        <w:rPr>
          <w:lang w:val="de-AT"/>
        </w:rPr>
        <w:t xml:space="preserve">SSL/TLS-Zertifikate: Gültigkeitszeiträume sind zeitgebunden. </w:t>
      </w:r>
      <w:r>
        <w:t>Falsch eingestellte Systemuhr erzeugt Zertifikatsfehler</w:t>
      </w:r>
    </w:p>
    <w:p w14:paraId="63EE5F5B" w14:textId="77777777" w:rsidR="00D1028B" w:rsidRDefault="00892948">
      <w:pPr>
        <w:numPr>
          <w:ilvl w:val="0"/>
          <w:numId w:val="95"/>
        </w:numPr>
      </w:pPr>
      <w:r>
        <w:rPr>
          <w:lang w:val="de-AT"/>
        </w:rPr>
        <w:t xml:space="preserve">Kerberos-Authentifizierung (Windows Active Directory): Erlaubt maximal 5 Minuten Zeitunterschied zwischen Client und Server. </w:t>
      </w:r>
      <w:r>
        <w:t>Größere Abweichung = Zugang gesperrt</w:t>
      </w:r>
    </w:p>
    <w:p w14:paraId="63EE5F5C" w14:textId="77777777" w:rsidR="00D1028B" w:rsidRPr="00260DEC" w:rsidRDefault="00892948">
      <w:pPr>
        <w:numPr>
          <w:ilvl w:val="0"/>
          <w:numId w:val="95"/>
        </w:numPr>
        <w:rPr>
          <w:lang w:val="de-AT"/>
        </w:rPr>
      </w:pPr>
      <w:r>
        <w:rPr>
          <w:lang w:val="de-AT"/>
        </w:rPr>
        <w:t>Log-Forensik: Zeitinkonsistente Logs verzögern Incident Response und können Angriffsketten verschleiern</w:t>
      </w:r>
    </w:p>
    <w:p w14:paraId="63EE5F5D" w14:textId="77777777" w:rsidR="00D1028B" w:rsidRPr="00260DEC" w:rsidRDefault="00892948">
      <w:pPr>
        <w:numPr>
          <w:ilvl w:val="0"/>
          <w:numId w:val="95"/>
        </w:numPr>
        <w:rPr>
          <w:lang w:val="de-AT"/>
        </w:rPr>
      </w:pPr>
      <w:r>
        <w:rPr>
          <w:lang w:val="de-AT"/>
        </w:rPr>
        <w:t>Compliance-Audits: SIEM-Systeme korrelieren Events zeitlich — inkonsistente Zeitbasen erzeugen False Positives und False Negatives</w:t>
      </w:r>
    </w:p>
    <w:p w14:paraId="63EE5F5E"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5F" w14:textId="77777777" w:rsidR="00D1028B" w:rsidRPr="00260DEC" w:rsidRDefault="00892948">
      <w:pPr>
        <w:numPr>
          <w:ilvl w:val="0"/>
          <w:numId w:val="96"/>
        </w:numPr>
        <w:pBdr>
          <w:left w:val="single" w:sz="20" w:space="8" w:color="17A589"/>
        </w:pBdr>
        <w:shd w:val="clear" w:color="auto" w:fill="EAF7F4"/>
        <w:spacing w:before="40" w:after="40"/>
        <w:ind w:left="240"/>
        <w:rPr>
          <w:lang w:val="de-AT"/>
        </w:rPr>
      </w:pPr>
      <w:r>
        <w:rPr>
          <w:i/>
          <w:iCs/>
          <w:color w:val="0D4035"/>
          <w:sz w:val="20"/>
          <w:szCs w:val="20"/>
          <w:lang w:val="de-AT"/>
        </w:rPr>
        <w:t>Kryptographie-Zertifikate und deren Gültigkeitszeiträume als CGTA-Intervalle in PKI-Infrastrukturen gespeichert sind über Zeitzonenwechsel und Systemmigrationen hinweg konsistent prüfbar</w:t>
      </w:r>
    </w:p>
    <w:p w14:paraId="63EE5F60" w14:textId="77777777" w:rsidR="00D1028B" w:rsidRPr="00260DEC" w:rsidRDefault="00892948">
      <w:pPr>
        <w:numPr>
          <w:ilvl w:val="0"/>
          <w:numId w:val="96"/>
        </w:numPr>
        <w:pBdr>
          <w:left w:val="single" w:sz="20" w:space="8" w:color="17A589"/>
        </w:pBdr>
        <w:shd w:val="clear" w:color="auto" w:fill="EAF7F4"/>
        <w:spacing w:before="40" w:after="40"/>
        <w:ind w:left="240"/>
        <w:rPr>
          <w:lang w:val="de-AT"/>
        </w:rPr>
      </w:pPr>
      <w:r>
        <w:rPr>
          <w:i/>
          <w:iCs/>
          <w:color w:val="0D4035"/>
          <w:sz w:val="20"/>
          <w:szCs w:val="20"/>
          <w:lang w:val="de-AT"/>
        </w:rPr>
        <w:t>Log-Korrelation über heterogene Systeme: CGTA als einheitlicher Zeitstempel in SIEM-Systemen eliminiert die häufigste Quelle von False Negatives bei der Angriffserkennung</w:t>
      </w:r>
    </w:p>
    <w:p w14:paraId="63EE5F61" w14:textId="77777777" w:rsidR="00D1028B" w:rsidRPr="00260DEC" w:rsidRDefault="00892948">
      <w:pPr>
        <w:numPr>
          <w:ilvl w:val="0"/>
          <w:numId w:val="96"/>
        </w:numPr>
        <w:pBdr>
          <w:left w:val="single" w:sz="20" w:space="8" w:color="17A589"/>
        </w:pBdr>
        <w:shd w:val="clear" w:color="auto" w:fill="EAF7F4"/>
        <w:spacing w:before="40" w:after="40"/>
        <w:ind w:left="240"/>
        <w:rPr>
          <w:lang w:val="de-AT"/>
        </w:rPr>
      </w:pPr>
      <w:r>
        <w:rPr>
          <w:i/>
          <w:iCs/>
          <w:color w:val="0D4035"/>
          <w:sz w:val="20"/>
          <w:szCs w:val="20"/>
          <w:lang w:val="de-AT"/>
        </w:rPr>
        <w:t>NTP-Manipulation als Angriffsvektor: ChronoGrid als externe, verifizierbare Zeitreferenz erschwert Time-Spoofing-Angriffe, die auf Zertifikatsgültigkeitsfehler oder Log-Manipulation abzielen</w:t>
      </w:r>
    </w:p>
    <w:p w14:paraId="63EE5F62" w14:textId="77777777" w:rsidR="00D1028B" w:rsidRDefault="00892948">
      <w:pPr>
        <w:pStyle w:val="berschrift3"/>
      </w:pPr>
      <w:bookmarkStart w:id="136" w:name="ticketsysteme-und-sla-management"/>
      <w:bookmarkStart w:id="137" w:name="_Toc226451944"/>
      <w:bookmarkEnd w:id="134"/>
      <w:r>
        <w:t>11.4 Ticketsysteme und SLA-Management</w:t>
      </w:r>
      <w:bookmarkEnd w:id="137"/>
    </w:p>
    <w:p w14:paraId="63EE5F63" w14:textId="77777777" w:rsidR="00D1028B" w:rsidRPr="00260DEC" w:rsidRDefault="00892948">
      <w:pPr>
        <w:numPr>
          <w:ilvl w:val="0"/>
          <w:numId w:val="97"/>
        </w:numPr>
        <w:rPr>
          <w:lang w:val="de-AT"/>
        </w:rPr>
      </w:pPr>
      <w:r>
        <w:rPr>
          <w:lang w:val="de-AT"/>
        </w:rPr>
        <w:t>Jira, ServiceNow, Zendesk: SLA-Berechnungen („Antwort innerhalb 4 Stunden”) über Zeitzonen hinweg sind systematisch fehleranfällig</w:t>
      </w:r>
    </w:p>
    <w:p w14:paraId="63EE5F64" w14:textId="77777777" w:rsidR="00D1028B" w:rsidRDefault="00892948">
      <w:pPr>
        <w:numPr>
          <w:ilvl w:val="0"/>
          <w:numId w:val="97"/>
        </w:numPr>
      </w:pPr>
      <w:r>
        <w:rPr>
          <w:lang w:val="de-AT"/>
        </w:rPr>
        <w:lastRenderedPageBreak/>
        <w:t xml:space="preserve">Business-Hours-Regeln: „Werktags 08:00–18:00 Uhr” — welche Zeitzone? </w:t>
      </w:r>
      <w:r>
        <w:t>Bei globalem Support-Team unklar</w:t>
      </w:r>
    </w:p>
    <w:p w14:paraId="63EE5F65" w14:textId="77777777" w:rsidR="00D1028B" w:rsidRPr="00260DEC" w:rsidRDefault="00892948">
      <w:pPr>
        <w:numPr>
          <w:ilvl w:val="0"/>
          <w:numId w:val="97"/>
        </w:numPr>
        <w:rPr>
          <w:lang w:val="de-AT"/>
        </w:rPr>
      </w:pPr>
      <w:r>
        <w:rPr>
          <w:lang w:val="de-AT"/>
        </w:rPr>
        <w:t>Escalation-Timer: Automatische Eskalation nach definierten Zeiträumen — DST-Übergänge verursachen Sprunge in SLA-Berechnungen</w:t>
      </w:r>
    </w:p>
    <w:p w14:paraId="63EE5F66" w14:textId="77777777" w:rsidR="00D1028B" w:rsidRPr="00260DEC" w:rsidRDefault="00892948">
      <w:pPr>
        <w:numPr>
          <w:ilvl w:val="0"/>
          <w:numId w:val="97"/>
        </w:numPr>
        <w:rPr>
          <w:lang w:val="de-AT"/>
        </w:rPr>
      </w:pPr>
      <w:r>
        <w:rPr>
          <w:lang w:val="de-AT"/>
        </w:rPr>
        <w:t>Audit-Trails in ITSM-Systemen: Für ISO-20000- und ITIL-Compliance müssen Zeitstempel lükenlos und zuverlässig sein</w:t>
      </w:r>
    </w:p>
    <w:p w14:paraId="63EE5F6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68" w14:textId="77777777" w:rsidR="00D1028B" w:rsidRDefault="00892948">
      <w:pPr>
        <w:numPr>
          <w:ilvl w:val="0"/>
          <w:numId w:val="98"/>
        </w:numPr>
        <w:pBdr>
          <w:left w:val="single" w:sz="20" w:space="8" w:color="17A589"/>
        </w:pBdr>
        <w:shd w:val="clear" w:color="auto" w:fill="EAF7F4"/>
        <w:spacing w:before="40" w:after="40"/>
        <w:ind w:left="240"/>
      </w:pPr>
      <w:r>
        <w:rPr>
          <w:i/>
          <w:iCs/>
          <w:color w:val="0D4035"/>
          <w:sz w:val="20"/>
          <w:szCs w:val="20"/>
        </w:rPr>
        <w:t>SLA-Fristen (Response Time, Resolution Time) als CGTA-Intervalle messbar: keine Ambiguität bei Tickets die über DST-Wechsel hinweg offen sind</w:t>
      </w:r>
    </w:p>
    <w:p w14:paraId="63EE5F69" w14:textId="77777777" w:rsidR="00D1028B" w:rsidRPr="00260DEC" w:rsidRDefault="00892948">
      <w:pPr>
        <w:numPr>
          <w:ilvl w:val="0"/>
          <w:numId w:val="98"/>
        </w:numPr>
        <w:pBdr>
          <w:left w:val="single" w:sz="20" w:space="8" w:color="17A589"/>
        </w:pBdr>
        <w:shd w:val="clear" w:color="auto" w:fill="EAF7F4"/>
        <w:spacing w:before="40" w:after="40"/>
        <w:ind w:left="240"/>
        <w:rPr>
          <w:lang w:val="de-AT"/>
        </w:rPr>
      </w:pPr>
      <w:r>
        <w:rPr>
          <w:i/>
          <w:iCs/>
          <w:color w:val="0D4035"/>
          <w:sz w:val="20"/>
          <w:szCs w:val="20"/>
          <w:lang w:val="de-AT"/>
        </w:rPr>
        <w:t>Eskalationsautomatisierung auf CGTA-Basis ist jurisdiktionsübergreifend einheitlich — ein globaler Helpdesk verwendet dieselbe Zeitlogik unabhängig vom Standort des Agenten</w:t>
      </w:r>
    </w:p>
    <w:p w14:paraId="63EE5F6A" w14:textId="77777777" w:rsidR="00D1028B" w:rsidRPr="00260DEC" w:rsidRDefault="00892948">
      <w:pPr>
        <w:numPr>
          <w:ilvl w:val="0"/>
          <w:numId w:val="98"/>
        </w:numPr>
        <w:pBdr>
          <w:left w:val="single" w:sz="20" w:space="8" w:color="17A589"/>
        </w:pBdr>
        <w:shd w:val="clear" w:color="auto" w:fill="EAF7F4"/>
        <w:spacing w:before="40" w:after="40"/>
        <w:ind w:left="240"/>
        <w:rPr>
          <w:lang w:val="de-AT"/>
        </w:rPr>
      </w:pPr>
      <w:r>
        <w:rPr>
          <w:i/>
          <w:iCs/>
          <w:color w:val="0D4035"/>
          <w:sz w:val="20"/>
          <w:szCs w:val="20"/>
          <w:lang w:val="de-AT"/>
        </w:rPr>
        <w:t>Audit-Trails für SLA-Compliance sind mit CGTA-Zeitstempeln gerichtsfest und unveränderlich — relevant für regulierte Branchen (Finanz, Gesundheit, Telekommunikation)</w:t>
      </w:r>
    </w:p>
    <w:p w14:paraId="63EE5F6B" w14:textId="77777777" w:rsidR="00D1028B" w:rsidRPr="00260DEC" w:rsidRDefault="00892948">
      <w:pPr>
        <w:pStyle w:val="berschrift2"/>
        <w:rPr>
          <w:lang w:val="de-AT"/>
        </w:rPr>
      </w:pPr>
      <w:bookmarkStart w:id="138" w:name="weitere-online-anwendungsfelder"/>
      <w:bookmarkStart w:id="139" w:name="_Toc226451945"/>
      <w:bookmarkEnd w:id="128"/>
      <w:bookmarkEnd w:id="136"/>
      <w:r>
        <w:rPr>
          <w:lang w:val="de-AT"/>
        </w:rPr>
        <w:t>12 Weitere Online-Anwendungsfelder</w:t>
      </w:r>
      <w:bookmarkEnd w:id="139"/>
    </w:p>
    <w:p w14:paraId="63EE5F6C" w14:textId="77777777" w:rsidR="00D1028B" w:rsidRPr="00260DEC" w:rsidRDefault="00892948">
      <w:pPr>
        <w:pStyle w:val="berschrift3"/>
        <w:rPr>
          <w:lang w:val="de-AT"/>
        </w:rPr>
      </w:pPr>
      <w:bookmarkStart w:id="140" w:name="digitale-verträge-und-eidas"/>
      <w:bookmarkStart w:id="141" w:name="_Toc226451946"/>
      <w:r>
        <w:rPr>
          <w:lang w:val="de-AT"/>
        </w:rPr>
        <w:t>12.1 Digitale Verträge und eIDAS</w:t>
      </w:r>
      <w:bookmarkEnd w:id="141"/>
    </w:p>
    <w:p w14:paraId="63EE5F6D" w14:textId="77777777" w:rsidR="00D1028B" w:rsidRPr="00260DEC" w:rsidRDefault="00892948">
      <w:pPr>
        <w:rPr>
          <w:lang w:val="de-AT"/>
        </w:rPr>
      </w:pPr>
      <w:r>
        <w:rPr>
          <w:lang w:val="de-AT"/>
        </w:rPr>
        <w:t>Die EU-Verordnung eIDAS (Electronic Identification, Authentication and Trust Services) definiert qualifizierte elektronische Zeitstempel als rechtlich bindend — gleichgestellt mit einem notariellen Datum. Derzeit sind diese Zeitstempel teuer und auf wenige zertifizierte Trust Service Provider (TSPs) beschränkt.</w:t>
      </w:r>
    </w:p>
    <w:p w14:paraId="63EE5F6E" w14:textId="77777777" w:rsidR="00D1028B" w:rsidRPr="00260DEC" w:rsidRDefault="00892948">
      <w:pPr>
        <w:numPr>
          <w:ilvl w:val="0"/>
          <w:numId w:val="99"/>
        </w:numPr>
        <w:rPr>
          <w:lang w:val="de-AT"/>
        </w:rPr>
      </w:pPr>
      <w:r>
        <w:rPr>
          <w:lang w:val="de-AT"/>
        </w:rPr>
        <w:t>DocuSign, Adobe Sign, SignNow: Digitale Signaturen enthalten Zeitstempel — Qualität und Rechtswirkung variieren je nach Anbieter und Zertifizierungsstufe</w:t>
      </w:r>
    </w:p>
    <w:p w14:paraId="63EE5F6F" w14:textId="77777777" w:rsidR="00D1028B" w:rsidRPr="00260DEC" w:rsidRDefault="00892948">
      <w:pPr>
        <w:numPr>
          <w:ilvl w:val="0"/>
          <w:numId w:val="99"/>
        </w:numPr>
        <w:rPr>
          <w:lang w:val="de-AT"/>
        </w:rPr>
      </w:pPr>
      <w:r>
        <w:rPr>
          <w:lang w:val="de-AT"/>
        </w:rPr>
        <w:t>Notarielle Digitalisierung: Österreich hat eine führende Rolle in der digitalen Notariatsinfrastruktur (Notariatskammer) — natürlicher Kooperationspartner</w:t>
      </w:r>
    </w:p>
    <w:p w14:paraId="63EE5F70" w14:textId="77777777" w:rsidR="00D1028B" w:rsidRPr="00260DEC" w:rsidRDefault="00892948">
      <w:pPr>
        <w:numPr>
          <w:ilvl w:val="0"/>
          <w:numId w:val="99"/>
        </w:numPr>
        <w:rPr>
          <w:lang w:val="de-AT"/>
        </w:rPr>
      </w:pPr>
      <w:r>
        <w:rPr>
          <w:lang w:val="de-AT"/>
        </w:rPr>
        <w:t>Smart Legal Contracts: Verträge, die sich bei Zeitbedingungen automatisch ausführen — benötigen vertrauenswürdige externe Zeitreferenz</w:t>
      </w:r>
    </w:p>
    <w:p w14:paraId="63EE5F71"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72" w14:textId="77777777" w:rsidR="00D1028B" w:rsidRPr="00260DEC" w:rsidRDefault="00892948">
      <w:pPr>
        <w:numPr>
          <w:ilvl w:val="0"/>
          <w:numId w:val="100"/>
        </w:numPr>
        <w:pBdr>
          <w:left w:val="single" w:sz="20" w:space="8" w:color="17A589"/>
        </w:pBdr>
        <w:shd w:val="clear" w:color="auto" w:fill="EAF7F4"/>
        <w:spacing w:before="40" w:after="40"/>
        <w:ind w:left="240"/>
        <w:rPr>
          <w:lang w:val="de-AT"/>
        </w:rPr>
      </w:pPr>
      <w:r>
        <w:rPr>
          <w:i/>
          <w:iCs/>
          <w:color w:val="0D4035"/>
          <w:sz w:val="20"/>
          <w:szCs w:val="20"/>
          <w:lang w:val="de-AT"/>
        </w:rPr>
        <w:t>Qualifizierte elektronische Zeitstempel nach eIDAS als CGTA normiert: ChronoGrid kann als offener Standard für Trust Service Provider positioniert werden — Alternative zu proprietären TSP-Lösungen</w:t>
      </w:r>
    </w:p>
    <w:p w14:paraId="63EE5F73" w14:textId="77777777" w:rsidR="00D1028B" w:rsidRPr="00260DEC" w:rsidRDefault="00892948">
      <w:pPr>
        <w:numPr>
          <w:ilvl w:val="0"/>
          <w:numId w:val="100"/>
        </w:numPr>
        <w:pBdr>
          <w:left w:val="single" w:sz="20" w:space="8" w:color="17A589"/>
        </w:pBdr>
        <w:shd w:val="clear" w:color="auto" w:fill="EAF7F4"/>
        <w:spacing w:before="40" w:after="40"/>
        <w:ind w:left="240"/>
        <w:rPr>
          <w:lang w:val="de-AT"/>
        </w:rPr>
      </w:pPr>
      <w:r>
        <w:rPr>
          <w:i/>
          <w:iCs/>
          <w:color w:val="0D4035"/>
          <w:sz w:val="20"/>
          <w:szCs w:val="20"/>
          <w:lang w:val="de-AT"/>
        </w:rPr>
        <w:t>Vertragsfristen (Annahmefristen, Widerruf, Gewährleistung) als CTDDL-Intervalle modelliert sind über Jurisdiktionsgrenzen hinweg eindeutig interpretierbar</w:t>
      </w:r>
    </w:p>
    <w:p w14:paraId="63EE5F74" w14:textId="77777777" w:rsidR="00D1028B" w:rsidRPr="00260DEC" w:rsidRDefault="00892948">
      <w:pPr>
        <w:numPr>
          <w:ilvl w:val="0"/>
          <w:numId w:val="100"/>
        </w:numPr>
        <w:pBdr>
          <w:left w:val="single" w:sz="20" w:space="8" w:color="17A589"/>
        </w:pBdr>
        <w:shd w:val="clear" w:color="auto" w:fill="EAF7F4"/>
        <w:spacing w:before="40" w:after="40"/>
        <w:ind w:left="240"/>
        <w:rPr>
          <w:lang w:val="de-AT"/>
        </w:rPr>
      </w:pPr>
      <w:r>
        <w:rPr>
          <w:i/>
          <w:iCs/>
          <w:color w:val="0D4035"/>
          <w:sz w:val="20"/>
          <w:szCs w:val="20"/>
          <w:lang w:val="de-AT"/>
        </w:rPr>
        <w:t>Smart Contracts mit CGTA-Zeitreferenz für automatische Vertragserfüllung und -auflösung erhalten eine extern verifizierbare, manipulationsresistente Zeitbasis</w:t>
      </w:r>
    </w:p>
    <w:p w14:paraId="63EE5F75" w14:textId="77777777" w:rsidR="00D1028B" w:rsidRPr="00260DEC" w:rsidRDefault="00892948">
      <w:pPr>
        <w:numPr>
          <w:ilvl w:val="0"/>
          <w:numId w:val="10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F76" w14:textId="77777777" w:rsidR="00D1028B" w:rsidRDefault="00892948">
      <w:pPr>
        <w:pStyle w:val="berschrift3"/>
      </w:pPr>
      <w:bookmarkStart w:id="142" w:name="gesundheitswesen-und-telemedizin"/>
      <w:bookmarkStart w:id="143" w:name="_Toc226451947"/>
      <w:bookmarkEnd w:id="140"/>
      <w:r>
        <w:t>12.2 Gesundheitswesen und Telemedizin</w:t>
      </w:r>
      <w:bookmarkEnd w:id="143"/>
    </w:p>
    <w:p w14:paraId="63EE5F77" w14:textId="77777777" w:rsidR="00D1028B" w:rsidRPr="00260DEC" w:rsidRDefault="00892948">
      <w:pPr>
        <w:numPr>
          <w:ilvl w:val="0"/>
          <w:numId w:val="101"/>
        </w:numPr>
        <w:rPr>
          <w:lang w:val="de-AT"/>
        </w:rPr>
      </w:pPr>
      <w:r>
        <w:rPr>
          <w:lang w:val="de-AT"/>
        </w:rPr>
        <w:t>Patientendaten (HL7 FHIR): Medikamenteneinnahme-Zeitpunkte, Vitalwert-Messungen, Diagnose-Zeitpunkte — Missverständnisse durch Zeitzonenambiguität können klinisch kritisch sein</w:t>
      </w:r>
    </w:p>
    <w:p w14:paraId="63EE5F78" w14:textId="77777777" w:rsidR="00D1028B" w:rsidRPr="00260DEC" w:rsidRDefault="00892948">
      <w:pPr>
        <w:numPr>
          <w:ilvl w:val="0"/>
          <w:numId w:val="101"/>
        </w:numPr>
        <w:rPr>
          <w:lang w:val="de-AT"/>
        </w:rPr>
      </w:pPr>
      <w:r>
        <w:rPr>
          <w:lang w:val="de-AT"/>
        </w:rPr>
        <w:t>Telemedizin-Termine: Plattformen wie Doctolib, KRY, TeleClinic operieren international — Zeitzonenfehler bei Terminen sind dokumentiert</w:t>
      </w:r>
    </w:p>
    <w:p w14:paraId="63EE5F79" w14:textId="77777777" w:rsidR="00D1028B" w:rsidRPr="00260DEC" w:rsidRDefault="00892948">
      <w:pPr>
        <w:numPr>
          <w:ilvl w:val="0"/>
          <w:numId w:val="101"/>
        </w:numPr>
        <w:rPr>
          <w:lang w:val="de-AT"/>
        </w:rPr>
      </w:pPr>
      <w:r>
        <w:rPr>
          <w:lang w:val="de-AT"/>
        </w:rPr>
        <w:lastRenderedPageBreak/>
        <w:t>Medikamenten-Reminder-Apps: „Nehmen Sie die Pille alle 12 Stunden” — bei Reisen über Zeitzonen hinweg ist die korrekte lokale Zeit unklar</w:t>
      </w:r>
    </w:p>
    <w:p w14:paraId="63EE5F7A" w14:textId="77777777" w:rsidR="00D1028B" w:rsidRPr="00260DEC" w:rsidRDefault="00892948">
      <w:pPr>
        <w:numPr>
          <w:ilvl w:val="0"/>
          <w:numId w:val="101"/>
        </w:numPr>
        <w:rPr>
          <w:lang w:val="de-AT"/>
        </w:rPr>
      </w:pPr>
      <w:r>
        <w:rPr>
          <w:lang w:val="de-AT"/>
        </w:rPr>
        <w:t>Klinische Studien: Zeitpunkte von Messungen müssen präzise und reproduzierbar dokumentiert sein — FDA- und EMA-Anforderungen</w:t>
      </w:r>
    </w:p>
    <w:p w14:paraId="63EE5F7B" w14:textId="77777777" w:rsidR="00D1028B" w:rsidRPr="00260DEC" w:rsidRDefault="00892948">
      <w:pPr>
        <w:numPr>
          <w:ilvl w:val="0"/>
          <w:numId w:val="101"/>
        </w:numPr>
        <w:rPr>
          <w:lang w:val="de-AT"/>
        </w:rPr>
      </w:pPr>
      <w:r>
        <w:rPr>
          <w:lang w:val="de-AT"/>
        </w:rPr>
        <w:t>Intensivpflege-Monitoring: Continuous-Monitoring-Systeme verschiedener Hersteller haben oft unterschiedliche Zeitbasen — kritisch bei Ereigniskorrelation</w:t>
      </w:r>
    </w:p>
    <w:p w14:paraId="63EE5F7C"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7D" w14:textId="77777777" w:rsidR="00D1028B" w:rsidRPr="00260DEC" w:rsidRDefault="00892948">
      <w:pPr>
        <w:numPr>
          <w:ilvl w:val="0"/>
          <w:numId w:val="102"/>
        </w:numPr>
        <w:pBdr>
          <w:left w:val="single" w:sz="20" w:space="8" w:color="17A589"/>
        </w:pBdr>
        <w:shd w:val="clear" w:color="auto" w:fill="EAF7F4"/>
        <w:spacing w:before="40" w:after="40"/>
        <w:ind w:left="240"/>
        <w:rPr>
          <w:lang w:val="de-AT"/>
        </w:rPr>
      </w:pPr>
      <w:r>
        <w:rPr>
          <w:i/>
          <w:iCs/>
          <w:color w:val="0D4035"/>
          <w:sz w:val="20"/>
          <w:szCs w:val="20"/>
          <w:lang w:val="de-AT"/>
        </w:rPr>
        <w:t>Patientenakten-Zeitstempel (Diagnosen, Medikamentengaben, Befunde) als CGTA normiert sind über Krankenhausgrenzen, Systemwechsel und Jahrzehnte hinweg konsistent</w:t>
      </w:r>
    </w:p>
    <w:p w14:paraId="63EE5F7E" w14:textId="77777777" w:rsidR="00D1028B" w:rsidRPr="00260DEC" w:rsidRDefault="00892948">
      <w:pPr>
        <w:numPr>
          <w:ilvl w:val="0"/>
          <w:numId w:val="102"/>
        </w:numPr>
        <w:pBdr>
          <w:left w:val="single" w:sz="20" w:space="8" w:color="17A589"/>
        </w:pBdr>
        <w:shd w:val="clear" w:color="auto" w:fill="EAF7F4"/>
        <w:spacing w:before="40" w:after="40"/>
        <w:ind w:left="240"/>
        <w:rPr>
          <w:lang w:val="de-AT"/>
        </w:rPr>
      </w:pPr>
      <w:r>
        <w:rPr>
          <w:i/>
          <w:iCs/>
          <w:color w:val="0D4035"/>
          <w:sz w:val="20"/>
          <w:szCs w:val="20"/>
          <w:lang w:val="de-AT"/>
        </w:rPr>
        <w:t>Telemedizin-Konsultationen über Zeitzonen: Terminbuchung und Aufzeichnung mit CGTA eliminiert DST-bedingte Doppelbuchungen und Zeitverschiebungsfehler</w:t>
      </w:r>
    </w:p>
    <w:p w14:paraId="63EE5F7F" w14:textId="77777777" w:rsidR="00D1028B" w:rsidRPr="00260DEC" w:rsidRDefault="00892948">
      <w:pPr>
        <w:numPr>
          <w:ilvl w:val="0"/>
          <w:numId w:val="102"/>
        </w:numPr>
        <w:pBdr>
          <w:left w:val="single" w:sz="20" w:space="8" w:color="17A589"/>
        </w:pBdr>
        <w:shd w:val="clear" w:color="auto" w:fill="EAF7F4"/>
        <w:spacing w:before="40" w:after="40"/>
        <w:ind w:left="240"/>
        <w:rPr>
          <w:lang w:val="de-AT"/>
        </w:rPr>
      </w:pPr>
      <w:r>
        <w:rPr>
          <w:i/>
          <w:iCs/>
          <w:color w:val="0D4035"/>
          <w:sz w:val="20"/>
          <w:szCs w:val="20"/>
          <w:lang w:val="de-AT"/>
        </w:rPr>
        <w:t>Klinische Studien (z. B. Medikamentengabe-Zeitpunkte, Follow-Up-Intervalle) erhalten durch CGTA eine normierte Zeitachse — reproduzierbar für Zulassungsbehörden (EMA, FDA)</w:t>
      </w:r>
    </w:p>
    <w:p w14:paraId="63EE5F80" w14:textId="77777777" w:rsidR="00D1028B" w:rsidRDefault="00892948">
      <w:pPr>
        <w:numPr>
          <w:ilvl w:val="0"/>
          <w:numId w:val="102"/>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5F81" w14:textId="77777777" w:rsidR="00D1028B" w:rsidRDefault="00892948">
      <w:pPr>
        <w:pStyle w:val="berschrift3"/>
      </w:pPr>
      <w:bookmarkStart w:id="144" w:name="transport-und-logistik"/>
      <w:bookmarkStart w:id="145" w:name="_Toc226451948"/>
      <w:bookmarkEnd w:id="142"/>
      <w:r>
        <w:t>12.3 Transport und Logistik</w:t>
      </w:r>
      <w:bookmarkEnd w:id="145"/>
    </w:p>
    <w:p w14:paraId="63EE5F82" w14:textId="77777777" w:rsidR="00D1028B" w:rsidRPr="00260DEC" w:rsidRDefault="00892948">
      <w:pPr>
        <w:numPr>
          <w:ilvl w:val="0"/>
          <w:numId w:val="103"/>
        </w:numPr>
        <w:rPr>
          <w:lang w:val="de-AT"/>
        </w:rPr>
      </w:pPr>
      <w:r>
        <w:rPr>
          <w:lang w:val="de-AT"/>
        </w:rPr>
        <w:t>Flugbuchungssysteme (Amadeus, Sabre): IATA-Zeitangaben für Abflug/Ankunft sind lokal — „Ankunft 06:00 Uhr” am nächsten Tag ohne Zeitzone ist mehrdeutig bei Übernacht-Flügen</w:t>
      </w:r>
    </w:p>
    <w:p w14:paraId="63EE5F83" w14:textId="77777777" w:rsidR="00D1028B" w:rsidRPr="00260DEC" w:rsidRDefault="00892948">
      <w:pPr>
        <w:numPr>
          <w:ilvl w:val="0"/>
          <w:numId w:val="103"/>
        </w:numPr>
        <w:rPr>
          <w:lang w:val="de-AT"/>
        </w:rPr>
      </w:pPr>
      <w:r>
        <w:rPr>
          <w:lang w:val="de-AT"/>
        </w:rPr>
        <w:t>Eisenbahn (RailML, GTFS): Fahrplandaten verschiedener europäischer Bahnen haben unterschiedliche Zeitzonendarstellungen — grenzüberschreitende Verbindungen sind fehleranfällig</w:t>
      </w:r>
    </w:p>
    <w:p w14:paraId="63EE5F84" w14:textId="77777777" w:rsidR="00D1028B" w:rsidRPr="00260DEC" w:rsidRDefault="00892948">
      <w:pPr>
        <w:numPr>
          <w:ilvl w:val="0"/>
          <w:numId w:val="103"/>
        </w:numPr>
        <w:rPr>
          <w:lang w:val="de-AT"/>
        </w:rPr>
      </w:pPr>
      <w:r>
        <w:rPr>
          <w:lang w:val="de-AT"/>
        </w:rPr>
        <w:t>Supply-Chain-Tracking: Sendungsverfolgung über Kontinente hinweg — Zeitstempel von Handscannern, Grenzkontrollen und Hafensystemen sind inkompatibel</w:t>
      </w:r>
    </w:p>
    <w:p w14:paraId="63EE5F85" w14:textId="77777777" w:rsidR="00D1028B" w:rsidRPr="00260DEC" w:rsidRDefault="00892948">
      <w:pPr>
        <w:numPr>
          <w:ilvl w:val="0"/>
          <w:numId w:val="103"/>
        </w:numPr>
        <w:rPr>
          <w:lang w:val="de-AT"/>
        </w:rPr>
      </w:pPr>
      <w:r>
        <w:rPr>
          <w:lang w:val="de-AT"/>
        </w:rPr>
        <w:t>Autonomes Fahren: Fahrzeuge benötigen präzise Zeitreferenz für V2X-Kommunikation (Vehicle-to-Everything) — Millisekunden-Präzision erforderlich</w:t>
      </w:r>
    </w:p>
    <w:p w14:paraId="63EE5F86"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87" w14:textId="77777777" w:rsidR="00D1028B" w:rsidRPr="00260DEC" w:rsidRDefault="00892948">
      <w:pPr>
        <w:numPr>
          <w:ilvl w:val="0"/>
          <w:numId w:val="104"/>
        </w:numPr>
        <w:pBdr>
          <w:left w:val="single" w:sz="20" w:space="8" w:color="17A589"/>
        </w:pBdr>
        <w:shd w:val="clear" w:color="auto" w:fill="EAF7F4"/>
        <w:spacing w:before="40" w:after="40"/>
        <w:ind w:left="240"/>
        <w:rPr>
          <w:lang w:val="de-AT"/>
        </w:rPr>
      </w:pPr>
      <w:r>
        <w:rPr>
          <w:i/>
          <w:iCs/>
          <w:color w:val="0D4035"/>
          <w:sz w:val="20"/>
          <w:szCs w:val="20"/>
          <w:lang w:val="de-AT"/>
        </w:rPr>
        <w:t>Lieferketten-Ereignisse (Abholung, Grenzübertritt, Ankunft) als CGTA-Zeitstempel erfasst sind über alle Zeitzonen und Transportmittel hinweg eindeutig verknüpfbar</w:t>
      </w:r>
    </w:p>
    <w:p w14:paraId="63EE5F88" w14:textId="77777777" w:rsidR="00D1028B" w:rsidRPr="00260DEC" w:rsidRDefault="00892948">
      <w:pPr>
        <w:numPr>
          <w:ilvl w:val="0"/>
          <w:numId w:val="104"/>
        </w:numPr>
        <w:pBdr>
          <w:left w:val="single" w:sz="20" w:space="8" w:color="17A589"/>
        </w:pBdr>
        <w:shd w:val="clear" w:color="auto" w:fill="EAF7F4"/>
        <w:spacing w:before="40" w:after="40"/>
        <w:ind w:left="240"/>
        <w:rPr>
          <w:lang w:val="de-AT"/>
        </w:rPr>
      </w:pPr>
      <w:r>
        <w:rPr>
          <w:i/>
          <w:iCs/>
          <w:color w:val="0D4035"/>
          <w:sz w:val="20"/>
          <w:szCs w:val="20"/>
          <w:lang w:val="de-AT"/>
        </w:rPr>
        <w:t>Frachtbriefe und Zolldokumente mit CGTA-Zeitstempeln erfüllen international einheitliche Nachweisanforderungen — keine manuelle Zeitzonenkonvertierung bei Streitigkeiten</w:t>
      </w:r>
    </w:p>
    <w:p w14:paraId="63EE5F89" w14:textId="77777777" w:rsidR="00D1028B" w:rsidRPr="00260DEC" w:rsidRDefault="00892948">
      <w:pPr>
        <w:numPr>
          <w:ilvl w:val="0"/>
          <w:numId w:val="104"/>
        </w:numPr>
        <w:pBdr>
          <w:left w:val="single" w:sz="20" w:space="8" w:color="17A589"/>
        </w:pBdr>
        <w:shd w:val="clear" w:color="auto" w:fill="EAF7F4"/>
        <w:spacing w:before="40" w:after="40"/>
        <w:ind w:left="240"/>
        <w:rPr>
          <w:lang w:val="de-AT"/>
        </w:rPr>
      </w:pPr>
      <w:r>
        <w:rPr>
          <w:i/>
          <w:iCs/>
          <w:color w:val="0D4035"/>
          <w:sz w:val="20"/>
          <w:szCs w:val="20"/>
          <w:lang w:val="de-AT"/>
        </w:rPr>
        <w:t>Predictive-Logistics-Algorithmen erhalten eine normierte Zeitachse für Ankunftsprognosen: CGTA-basierte Zeitdifferenzen eliminieren DST-Fehler in Routing-Kalkulationen</w:t>
      </w:r>
    </w:p>
    <w:p w14:paraId="63EE5F8A" w14:textId="77777777" w:rsidR="00D1028B" w:rsidRDefault="00892948">
      <w:pPr>
        <w:pStyle w:val="berschrift3"/>
      </w:pPr>
      <w:bookmarkStart w:id="146" w:name="öffentliche-verwaltung-und-e-government"/>
      <w:bookmarkStart w:id="147" w:name="_Toc226451949"/>
      <w:bookmarkEnd w:id="144"/>
      <w:r>
        <w:t>12.4 Öffentliche Verwaltung und E-Government</w:t>
      </w:r>
      <w:bookmarkEnd w:id="147"/>
    </w:p>
    <w:p w14:paraId="63EE5F8B" w14:textId="77777777" w:rsidR="00D1028B" w:rsidRPr="00260DEC" w:rsidRDefault="00892948">
      <w:pPr>
        <w:numPr>
          <w:ilvl w:val="0"/>
          <w:numId w:val="105"/>
        </w:numPr>
        <w:rPr>
          <w:lang w:val="de-AT"/>
        </w:rPr>
      </w:pPr>
      <w:r>
        <w:rPr>
          <w:lang w:val="de-AT"/>
        </w:rPr>
        <w:t>Österreichisches Unternehmensserviceportal (USP): Fristen für Steuermäldungen, Behördeneingänge sind zeitkritisch — Serverzeit vs. Nutzerzeit ist juristisch relevant</w:t>
      </w:r>
    </w:p>
    <w:p w14:paraId="63EE5F8C" w14:textId="77777777" w:rsidR="00D1028B" w:rsidRPr="00260DEC" w:rsidRDefault="00892948">
      <w:pPr>
        <w:numPr>
          <w:ilvl w:val="0"/>
          <w:numId w:val="105"/>
        </w:numPr>
        <w:rPr>
          <w:lang w:val="de-AT"/>
        </w:rPr>
      </w:pPr>
      <w:r>
        <w:rPr>
          <w:lang w:val="de-AT"/>
        </w:rPr>
        <w:t>EU-weite Beschaffungsplattformen (TED, PEPPOL): Angebotsfristen müssen zeitlich eindeutig sein — Zeitzonenmehrdeutigkeit kann zur Anfechtbarkeit führen</w:t>
      </w:r>
    </w:p>
    <w:p w14:paraId="63EE5F8D" w14:textId="77777777" w:rsidR="00D1028B" w:rsidRPr="00260DEC" w:rsidRDefault="00892948">
      <w:pPr>
        <w:numPr>
          <w:ilvl w:val="0"/>
          <w:numId w:val="105"/>
        </w:numPr>
        <w:rPr>
          <w:lang w:val="de-AT"/>
        </w:rPr>
      </w:pPr>
      <w:r>
        <w:rPr>
          <w:lang w:val="de-AT"/>
        </w:rPr>
        <w:t>Grundbuch und Kataster: Zeitpunkte von Eigentumsveränderungen sind rechtlich verbindlich — präzise und manipulationssichere Zeitstempel sind Voraussetzung</w:t>
      </w:r>
    </w:p>
    <w:p w14:paraId="63EE5F8E" w14:textId="77777777" w:rsidR="00D1028B" w:rsidRPr="00260DEC" w:rsidRDefault="00892948">
      <w:pPr>
        <w:numPr>
          <w:ilvl w:val="0"/>
          <w:numId w:val="105"/>
        </w:numPr>
        <w:rPr>
          <w:lang w:val="de-AT"/>
        </w:rPr>
      </w:pPr>
      <w:r>
        <w:rPr>
          <w:lang w:val="de-AT"/>
        </w:rPr>
        <w:lastRenderedPageBreak/>
        <w:t>Wahlen und Abstimmungen: Online-Abstimmungsfristen müssen zeitlich eindeutig und nachweisbar sein</w:t>
      </w:r>
    </w:p>
    <w:p w14:paraId="63EE5F8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90" w14:textId="77777777" w:rsidR="00D1028B" w:rsidRPr="00260DEC" w:rsidRDefault="00892948">
      <w:pPr>
        <w:numPr>
          <w:ilvl w:val="0"/>
          <w:numId w:val="106"/>
        </w:numPr>
        <w:pBdr>
          <w:left w:val="single" w:sz="20" w:space="8" w:color="17A589"/>
        </w:pBdr>
        <w:shd w:val="clear" w:color="auto" w:fill="EAF7F4"/>
        <w:spacing w:before="40" w:after="40"/>
        <w:ind w:left="240"/>
        <w:rPr>
          <w:lang w:val="de-AT"/>
        </w:rPr>
      </w:pPr>
      <w:r>
        <w:rPr>
          <w:i/>
          <w:iCs/>
          <w:color w:val="0D4035"/>
          <w:sz w:val="20"/>
          <w:szCs w:val="20"/>
          <w:lang w:val="de-AT"/>
        </w:rPr>
        <w:t>Verwaltungsfristen (Einspruchsfristen, Antragsfristen, Bescheidwirkungen) als CTDDL-Intervalle modelliert sind eindeutig und revisionsresistent — relevant für eGovernment-Plattformen und Bürgerportale</w:t>
      </w:r>
    </w:p>
    <w:p w14:paraId="63EE5F91" w14:textId="77777777" w:rsidR="00D1028B" w:rsidRPr="00260DEC" w:rsidRDefault="00892948">
      <w:pPr>
        <w:numPr>
          <w:ilvl w:val="0"/>
          <w:numId w:val="106"/>
        </w:numPr>
        <w:pBdr>
          <w:left w:val="single" w:sz="20" w:space="8" w:color="17A589"/>
        </w:pBdr>
        <w:shd w:val="clear" w:color="auto" w:fill="EAF7F4"/>
        <w:spacing w:before="40" w:after="40"/>
        <w:ind w:left="240"/>
        <w:rPr>
          <w:lang w:val="de-AT"/>
        </w:rPr>
      </w:pPr>
      <w:r>
        <w:rPr>
          <w:i/>
          <w:iCs/>
          <w:color w:val="0D4035"/>
          <w:sz w:val="20"/>
          <w:szCs w:val="20"/>
          <w:lang w:val="de-AT"/>
        </w:rPr>
        <w:t>Cross-Border-Services der EU (SDG-Verordnung, Once-Only-Prinzip) erhalten durch CGTA einen jurisdiktionsübergreifenden Zeitstandard — Fristen aus verschiedenen Mitgliedsstaaten werden vergleichbar</w:t>
      </w:r>
    </w:p>
    <w:p w14:paraId="63EE5F92" w14:textId="77777777" w:rsidR="00D1028B" w:rsidRPr="00260DEC" w:rsidRDefault="00892948">
      <w:pPr>
        <w:numPr>
          <w:ilvl w:val="0"/>
          <w:numId w:val="106"/>
        </w:numPr>
        <w:pBdr>
          <w:left w:val="single" w:sz="20" w:space="8" w:color="17A589"/>
        </w:pBdr>
        <w:shd w:val="clear" w:color="auto" w:fill="EAF7F4"/>
        <w:spacing w:before="40" w:after="40"/>
        <w:ind w:left="240"/>
        <w:rPr>
          <w:lang w:val="de-AT"/>
        </w:rPr>
      </w:pPr>
      <w:r>
        <w:rPr>
          <w:i/>
          <w:iCs/>
          <w:color w:val="0D4035"/>
          <w:sz w:val="20"/>
          <w:szCs w:val="20"/>
          <w:lang w:val="de-AT"/>
        </w:rPr>
        <w:t>Öffentliche Register (Grundbuch, Handelsregister, Patentamt) mit CGTA-Zeitstempeln sind langzeitarchivierbar und für Jahrzehnte ohne Konversionsverlust reproduzierbar</w:t>
      </w:r>
    </w:p>
    <w:p w14:paraId="63EE5F93" w14:textId="77777777" w:rsidR="00D1028B" w:rsidRPr="00260DEC" w:rsidRDefault="00892948">
      <w:pPr>
        <w:numPr>
          <w:ilvl w:val="0"/>
          <w:numId w:val="106"/>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F94" w14:textId="77777777" w:rsidR="00D1028B" w:rsidRPr="00260DEC" w:rsidRDefault="00892948">
      <w:pPr>
        <w:pStyle w:val="berschrift1"/>
        <w:rPr>
          <w:lang w:val="de-AT"/>
        </w:rPr>
      </w:pPr>
      <w:bookmarkStart w:id="148" w:name="X2cda8bcbc3ede66698c3fbbcc7c57252ecbdff7"/>
      <w:bookmarkStart w:id="149" w:name="_Toc226451950"/>
      <w:bookmarkEnd w:id="96"/>
      <w:bookmarkEnd w:id="138"/>
      <w:bookmarkEnd w:id="146"/>
      <w:r>
        <w:rPr>
          <w:lang w:val="de-AT"/>
        </w:rPr>
        <w:t>Teil V: Energiewirtschaft, Smart Grid und Telekommunikation</w:t>
      </w:r>
      <w:bookmarkEnd w:id="149"/>
    </w:p>
    <w:p w14:paraId="63EE5F95" w14:textId="77777777" w:rsidR="00D1028B" w:rsidRPr="00260DEC" w:rsidRDefault="00892948">
      <w:pPr>
        <w:pStyle w:val="berschrift2"/>
        <w:rPr>
          <w:lang w:val="de-AT"/>
        </w:rPr>
      </w:pPr>
      <w:bookmarkStart w:id="150" w:name="energie-smart-grid"/>
      <w:bookmarkStart w:id="151" w:name="_Toc226451951"/>
      <w:r>
        <w:rPr>
          <w:lang w:val="de-AT"/>
        </w:rPr>
        <w:t>13 Energie &amp; Smart Grid</w:t>
      </w:r>
      <w:bookmarkEnd w:id="151"/>
    </w:p>
    <w:p w14:paraId="63EE5F96" w14:textId="77777777" w:rsidR="00D1028B" w:rsidRPr="00260DEC" w:rsidRDefault="00892948">
      <w:pPr>
        <w:rPr>
          <w:lang w:val="de-AT"/>
        </w:rPr>
      </w:pPr>
      <w:r>
        <w:rPr>
          <w:lang w:val="de-AT"/>
        </w:rPr>
        <w:t>Die Energiewirtschaft gehört zu den zeitkritischsten Branchen überhaupt. Strom kann nicht gelagert werden — Erzeugung und Verbrauch müssen sekundengenau ausgeglichen sein. Gleichzeitig wird die Abrechnung von Energie und Netznutzung auf Basis von Zeitstempeln durchgeführt, deren Inkonsistenz direkte finanzielle und regulatorische Konsequenzen hat.</w:t>
      </w:r>
    </w:p>
    <w:p w14:paraId="63EE5F97" w14:textId="77777777" w:rsidR="00D1028B" w:rsidRPr="00260DEC" w:rsidRDefault="00892948">
      <w:pPr>
        <w:pStyle w:val="berschrift3"/>
        <w:rPr>
          <w:lang w:val="de-AT"/>
        </w:rPr>
      </w:pPr>
      <w:bookmarkStart w:id="152" w:name="strombörsen-und-energiemärkte"/>
      <w:bookmarkStart w:id="153" w:name="_Toc226451952"/>
      <w:r>
        <w:rPr>
          <w:lang w:val="de-AT"/>
        </w:rPr>
        <w:t>13.1 Strombörsen und Energiemärkte</w:t>
      </w:r>
      <w:bookmarkEnd w:id="153"/>
    </w:p>
    <w:p w14:paraId="63EE5F98" w14:textId="77777777" w:rsidR="00D1028B" w:rsidRPr="00260DEC" w:rsidRDefault="00892948">
      <w:pPr>
        <w:rPr>
          <w:lang w:val="de-AT"/>
        </w:rPr>
      </w:pPr>
      <w:r>
        <w:rPr>
          <w:lang w:val="de-AT"/>
        </w:rPr>
        <w:t>Der europäische Stromgroßhandel (EPEX Spot, Nord Pool) handelt Strom in stündlichen und viertelstündlichen Zeitscheiben. Preise ändern sich jede Stunde — der genaue Zeitpunkt eines Vertragsabschlusses oder einer Abrechnung hat direkte finanzielle Auswirkungen in Millionenbereich.</w:t>
      </w:r>
    </w:p>
    <w:p w14:paraId="63EE5F99" w14:textId="77777777" w:rsidR="00D1028B" w:rsidRPr="00260DEC" w:rsidRDefault="00892948">
      <w:pPr>
        <w:rPr>
          <w:lang w:val="de-AT"/>
        </w:rPr>
      </w:pPr>
      <w:r>
        <w:rPr>
          <w:i/>
          <w:iCs/>
          <w:lang w:val="de-AT"/>
        </w:rPr>
        <w:t>DST-Problem im Energiemarkt: Am Umstellungstag im Frühjahr gibt es nur 23 Stunden — die Stunde von 02:00 bis 03:00 Uhr existiert nicht. Im Herbst gibt es 25 Stunden — die Stunde 02:00 bis 03:00 Uhr existiert zweimal. Energiehändler, Netzabrechnungssysteme und Smart Meter müssen diesen Sonderfall je gesondert behandeln — mit bekannten Fehlerquellen.</w:t>
      </w:r>
    </w:p>
    <w:p w14:paraId="63EE5F9A" w14:textId="77777777" w:rsidR="00D1028B" w:rsidRDefault="00892948">
      <w:pPr>
        <w:numPr>
          <w:ilvl w:val="0"/>
          <w:numId w:val="107"/>
        </w:numPr>
      </w:pPr>
      <w:r>
        <w:rPr>
          <w:lang w:val="de-AT"/>
        </w:rPr>
        <w:t xml:space="preserve">Day-Ahead-Markt: Gebote für den nächsten Tag werden täglich bis 12:00 Uhr (Mitteleuropäische Zeit) eingereicht. </w:t>
      </w:r>
      <w:r>
        <w:t>Präzise Zeitdefinition ist Handelsbedingung</w:t>
      </w:r>
    </w:p>
    <w:p w14:paraId="63EE5F9B" w14:textId="77777777" w:rsidR="00D1028B" w:rsidRPr="00260DEC" w:rsidRDefault="00892948">
      <w:pPr>
        <w:numPr>
          <w:ilvl w:val="0"/>
          <w:numId w:val="107"/>
        </w:numPr>
        <w:rPr>
          <w:lang w:val="de-AT"/>
        </w:rPr>
      </w:pPr>
      <w:r>
        <w:rPr>
          <w:lang w:val="de-AT"/>
        </w:rPr>
        <w:t>Intraday-Handel: Fortlaufender Handel bis 5 Minuten vor Lieferbeginn — Millisekunden entscheiden über Auftragsausführung</w:t>
      </w:r>
    </w:p>
    <w:p w14:paraId="63EE5F9C" w14:textId="77777777" w:rsidR="00D1028B" w:rsidRPr="00260DEC" w:rsidRDefault="00892948">
      <w:pPr>
        <w:numPr>
          <w:ilvl w:val="0"/>
          <w:numId w:val="107"/>
        </w:numPr>
        <w:rPr>
          <w:lang w:val="de-AT"/>
        </w:rPr>
      </w:pPr>
      <w:r>
        <w:rPr>
          <w:lang w:val="de-AT"/>
        </w:rPr>
        <w:t>Bilanzkreisabrechnung: Abweichungen zwischen geplanter und tatsächlicher Einspeisung werden in 15-Minuten-Intervallen abgerechnet — Zeitstempel-Fehler = falsche Ausgleichsenergie-Kosten</w:t>
      </w:r>
    </w:p>
    <w:p w14:paraId="63EE5F9D" w14:textId="77777777" w:rsidR="00D1028B" w:rsidRPr="00260DEC" w:rsidRDefault="00892948">
      <w:pPr>
        <w:numPr>
          <w:ilvl w:val="0"/>
          <w:numId w:val="107"/>
        </w:numPr>
        <w:rPr>
          <w:lang w:val="de-AT"/>
        </w:rPr>
      </w:pPr>
      <w:r>
        <w:rPr>
          <w:lang w:val="de-AT"/>
        </w:rPr>
        <w:t>Cross-Border-Handel: Übertragungskapazitäten zwischen Preiszonen (z. B. Österreich–Deutschland) sind zeitgebunden zugeteilt</w:t>
      </w:r>
    </w:p>
    <w:p w14:paraId="63EE5F9E"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9F" w14:textId="77777777" w:rsidR="00D1028B" w:rsidRPr="00260DEC" w:rsidRDefault="00892948">
      <w:pPr>
        <w:numPr>
          <w:ilvl w:val="0"/>
          <w:numId w:val="108"/>
        </w:numPr>
        <w:pBdr>
          <w:left w:val="single" w:sz="20" w:space="8" w:color="17A589"/>
        </w:pBdr>
        <w:shd w:val="clear" w:color="auto" w:fill="EAF7F4"/>
        <w:spacing w:before="40" w:after="40"/>
        <w:ind w:left="240"/>
        <w:rPr>
          <w:lang w:val="de-AT"/>
        </w:rPr>
      </w:pPr>
      <w:r>
        <w:rPr>
          <w:i/>
          <w:iCs/>
          <w:color w:val="0D4035"/>
          <w:sz w:val="20"/>
          <w:szCs w:val="20"/>
          <w:lang w:val="de-AT"/>
        </w:rPr>
        <w:lastRenderedPageBreak/>
        <w:t>Strombörsen-Preiszeitreihen (Day-Ahead, Intraday) als CGTA normiert ermöglichen plattformübergreifende Preisvergleiche ohne manuelle Zeitzonenkonvertierung — relevant für ENTSO-E und europäische Kopplung</w:t>
      </w:r>
    </w:p>
    <w:p w14:paraId="63EE5FA0" w14:textId="77777777" w:rsidR="00D1028B" w:rsidRPr="00260DEC" w:rsidRDefault="00892948">
      <w:pPr>
        <w:numPr>
          <w:ilvl w:val="0"/>
          <w:numId w:val="108"/>
        </w:numPr>
        <w:pBdr>
          <w:left w:val="single" w:sz="20" w:space="8" w:color="17A589"/>
        </w:pBdr>
        <w:shd w:val="clear" w:color="auto" w:fill="EAF7F4"/>
        <w:spacing w:before="40" w:after="40"/>
        <w:ind w:left="240"/>
        <w:rPr>
          <w:lang w:val="de-AT"/>
        </w:rPr>
      </w:pPr>
      <w:r>
        <w:rPr>
          <w:i/>
          <w:iCs/>
          <w:color w:val="0D4035"/>
          <w:sz w:val="20"/>
          <w:szCs w:val="20"/>
          <w:lang w:val="de-AT"/>
        </w:rPr>
        <w:t>Abrechnungsperiodengrenzen (Viertelstunden-Slots, Stundenprodukte) als CTDDL-Domains modelliert sind über DST-Wechsel konsistent — das bekannte Problem des 23h/25h-Tages entfällt strukturell</w:t>
      </w:r>
    </w:p>
    <w:p w14:paraId="63EE5FA1" w14:textId="77777777" w:rsidR="00D1028B" w:rsidRPr="00260DEC" w:rsidRDefault="00892948">
      <w:pPr>
        <w:numPr>
          <w:ilvl w:val="0"/>
          <w:numId w:val="108"/>
        </w:numPr>
        <w:pBdr>
          <w:left w:val="single" w:sz="20" w:space="8" w:color="17A589"/>
        </w:pBdr>
        <w:shd w:val="clear" w:color="auto" w:fill="EAF7F4"/>
        <w:spacing w:before="40" w:after="40"/>
        <w:ind w:left="240"/>
        <w:rPr>
          <w:lang w:val="de-AT"/>
        </w:rPr>
      </w:pPr>
      <w:r>
        <w:rPr>
          <w:i/>
          <w:iCs/>
          <w:color w:val="0D4035"/>
          <w:sz w:val="20"/>
          <w:szCs w:val="20"/>
          <w:lang w:val="de-AT"/>
        </w:rPr>
        <w:t>CGTA als Referenzzeitpunkt für Ausschreibungs- und Zuschlagsfristen macht Energiemarkt-Transaktionen gerichtsfest und manipulationsresistent</w:t>
      </w:r>
    </w:p>
    <w:p w14:paraId="63EE5FA2" w14:textId="77777777" w:rsidR="00D1028B" w:rsidRPr="00260DEC" w:rsidRDefault="00892948">
      <w:pPr>
        <w:pStyle w:val="berschrift3"/>
        <w:rPr>
          <w:lang w:val="de-AT"/>
        </w:rPr>
      </w:pPr>
      <w:bookmarkStart w:id="154" w:name="smart-meter-und-haushaltsmessung"/>
      <w:bookmarkStart w:id="155" w:name="_Toc226451953"/>
      <w:bookmarkEnd w:id="152"/>
      <w:r>
        <w:rPr>
          <w:lang w:val="de-AT"/>
        </w:rPr>
        <w:t>13.2 Smart Meter und Haushaltsmessung</w:t>
      </w:r>
      <w:bookmarkEnd w:id="155"/>
    </w:p>
    <w:p w14:paraId="63EE5FA3" w14:textId="77777777" w:rsidR="00D1028B" w:rsidRDefault="00892948">
      <w:r>
        <w:rPr>
          <w:lang w:val="de-AT"/>
        </w:rPr>
        <w:t xml:space="preserve">Österreich und die EU schreiben den flächendeckenden Rollout von Smart Metern vor. Diese Geräte messen Stromverbrauch in 15-Minuten-Intervallen und übermitteln die Daten an Netzbetreiber. </w:t>
      </w:r>
      <w:r>
        <w:t>Zeitstempel sind der Kern dieser Daten:</w:t>
      </w:r>
    </w:p>
    <w:p w14:paraId="63EE5FA4" w14:textId="77777777" w:rsidR="00D1028B" w:rsidRDefault="00892948">
      <w:pPr>
        <w:numPr>
          <w:ilvl w:val="0"/>
          <w:numId w:val="109"/>
        </w:numPr>
      </w:pPr>
      <w:r>
        <w:rPr>
          <w:lang w:val="de-AT"/>
        </w:rPr>
        <w:t xml:space="preserve">Hochtarif/Niedertarif-Abrechnung: Verbrauch während bestimmter Tageszeiten wird unterschiedlich bepreist. </w:t>
      </w:r>
      <w:r>
        <w:t>Zeitstempel-Fehler führen zu falschen Rechnungen</w:t>
      </w:r>
    </w:p>
    <w:p w14:paraId="63EE5FA5" w14:textId="77777777" w:rsidR="00D1028B" w:rsidRDefault="00892948">
      <w:pPr>
        <w:numPr>
          <w:ilvl w:val="0"/>
          <w:numId w:val="109"/>
        </w:numPr>
      </w:pPr>
      <w:r>
        <w:rPr>
          <w:lang w:val="de-AT"/>
        </w:rPr>
        <w:t xml:space="preserve">Eigenverbrauchsoptimierung: Photovoltaik-Anlagen speisen zu bestimmten Zeiten ein. </w:t>
      </w:r>
      <w:r>
        <w:t>Einspeisvergütung hängt vom genauen Zeitpunkt ab</w:t>
      </w:r>
    </w:p>
    <w:p w14:paraId="63EE5FA6" w14:textId="77777777" w:rsidR="00D1028B" w:rsidRPr="00260DEC" w:rsidRDefault="00892948">
      <w:pPr>
        <w:numPr>
          <w:ilvl w:val="0"/>
          <w:numId w:val="109"/>
        </w:numPr>
        <w:rPr>
          <w:lang w:val="de-AT"/>
        </w:rPr>
      </w:pPr>
      <w:r>
        <w:rPr>
          <w:lang w:val="de-AT"/>
        </w:rPr>
        <w:t>Lastprofilzuordnung: Haushalte ohne Smart Meter werden Standardlastprofilen zugeordnet — zeitbasierte Zuordnung</w:t>
      </w:r>
    </w:p>
    <w:p w14:paraId="63EE5FA7" w14:textId="77777777" w:rsidR="00D1028B" w:rsidRDefault="00892948">
      <w:pPr>
        <w:numPr>
          <w:ilvl w:val="0"/>
          <w:numId w:val="109"/>
        </w:numPr>
      </w:pPr>
      <w:r>
        <w:rPr>
          <w:lang w:val="de-AT"/>
        </w:rPr>
        <w:t xml:space="preserve">Demand-Response: Abschaltbare Lasten (Wärmepumpen, E-Auto-Ladung) werden zeitgesteuert aktiviert/deaktiviert. </w:t>
      </w:r>
      <w:r>
        <w:t>Präzise Zeitreferenz ist Voraussetzung</w:t>
      </w:r>
    </w:p>
    <w:p w14:paraId="63EE5FA8" w14:textId="77777777" w:rsidR="00D1028B" w:rsidRPr="00260DEC" w:rsidRDefault="00892948">
      <w:pPr>
        <w:numPr>
          <w:ilvl w:val="0"/>
          <w:numId w:val="109"/>
        </w:numPr>
        <w:rPr>
          <w:lang w:val="de-AT"/>
        </w:rPr>
      </w:pPr>
      <w:r>
        <w:rPr>
          <w:lang w:val="de-AT"/>
        </w:rPr>
        <w:t>Datenschutz: Granulare Verbrauchsdaten erlauben Rückschlüsse auf Verhalten — DSGVO-Aufbewahrungsfristen sind zeitgebunden</w:t>
      </w:r>
    </w:p>
    <w:p w14:paraId="63EE5FA9"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AA" w14:textId="77777777" w:rsidR="00D1028B" w:rsidRPr="00260DEC" w:rsidRDefault="00892948">
      <w:pPr>
        <w:numPr>
          <w:ilvl w:val="0"/>
          <w:numId w:val="110"/>
        </w:numPr>
        <w:pBdr>
          <w:left w:val="single" w:sz="20" w:space="8" w:color="17A589"/>
        </w:pBdr>
        <w:shd w:val="clear" w:color="auto" w:fill="EAF7F4"/>
        <w:spacing w:before="40" w:after="40"/>
        <w:ind w:left="240"/>
        <w:rPr>
          <w:lang w:val="de-AT"/>
        </w:rPr>
      </w:pPr>
      <w:r>
        <w:rPr>
          <w:i/>
          <w:iCs/>
          <w:color w:val="0D4035"/>
          <w:sz w:val="20"/>
          <w:szCs w:val="20"/>
          <w:lang w:val="de-AT"/>
        </w:rPr>
        <w:t>Smart-Meter-Zeitreihen mit CGTA-Zeitstempeln sind über Gerätewechsel, Firmware-Updates und Jahrzehnte hinweg konsistent auswertbar — keine Lücken durch DST-Umstellung</w:t>
      </w:r>
    </w:p>
    <w:p w14:paraId="63EE5FAB" w14:textId="77777777" w:rsidR="00D1028B" w:rsidRPr="00260DEC" w:rsidRDefault="00892948">
      <w:pPr>
        <w:numPr>
          <w:ilvl w:val="0"/>
          <w:numId w:val="110"/>
        </w:numPr>
        <w:pBdr>
          <w:left w:val="single" w:sz="20" w:space="8" w:color="17A589"/>
        </w:pBdr>
        <w:shd w:val="clear" w:color="auto" w:fill="EAF7F4"/>
        <w:spacing w:before="40" w:after="40"/>
        <w:ind w:left="240"/>
        <w:rPr>
          <w:lang w:val="de-AT"/>
        </w:rPr>
      </w:pPr>
      <w:r>
        <w:rPr>
          <w:i/>
          <w:iCs/>
          <w:color w:val="0D4035"/>
          <w:sz w:val="20"/>
          <w:szCs w:val="20"/>
          <w:lang w:val="de-AT"/>
        </w:rPr>
        <w:t>Netzentgelt-Abrechnungsperioden als CTDDL-Intervalle: CGTA löst das 23h/25h-Tag-Problem bei der Verbrauchsberechnung strukturell — Endkunden-Abrechnungsfehler zweimal jährlich entfallen</w:t>
      </w:r>
    </w:p>
    <w:p w14:paraId="63EE5FAC" w14:textId="77777777" w:rsidR="00D1028B" w:rsidRPr="00260DEC" w:rsidRDefault="00892948">
      <w:pPr>
        <w:numPr>
          <w:ilvl w:val="0"/>
          <w:numId w:val="110"/>
        </w:numPr>
        <w:pBdr>
          <w:left w:val="single" w:sz="20" w:space="8" w:color="17A589"/>
        </w:pBdr>
        <w:shd w:val="clear" w:color="auto" w:fill="EAF7F4"/>
        <w:spacing w:before="40" w:after="40"/>
        <w:ind w:left="240"/>
        <w:rPr>
          <w:lang w:val="de-AT"/>
        </w:rPr>
      </w:pPr>
      <w:r>
        <w:rPr>
          <w:i/>
          <w:iCs/>
          <w:color w:val="0D4035"/>
          <w:sz w:val="20"/>
          <w:szCs w:val="20"/>
          <w:lang w:val="de-AT"/>
        </w:rPr>
        <w:t>Lastprofilanalysen für Netzbetreiber erhalten eine normierte Zeitachse; CGTA-basierte Aggregation über unterschiedliche Messpunkte (verschiedene Gerätetypen, Protokolle) wird deterministisch</w:t>
      </w:r>
    </w:p>
    <w:p w14:paraId="63EE5FAD" w14:textId="77777777" w:rsidR="00D1028B" w:rsidRPr="00260DEC" w:rsidRDefault="00892948">
      <w:pPr>
        <w:numPr>
          <w:ilvl w:val="0"/>
          <w:numId w:val="11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FAE" w14:textId="77777777" w:rsidR="00D1028B" w:rsidRPr="00260DEC" w:rsidRDefault="00892948">
      <w:pPr>
        <w:pStyle w:val="berschrift3"/>
        <w:rPr>
          <w:lang w:val="de-AT"/>
        </w:rPr>
      </w:pPr>
      <w:bookmarkStart w:id="156" w:name="stromnetz-synchronisation"/>
      <w:bookmarkStart w:id="157" w:name="_Toc226451954"/>
      <w:bookmarkEnd w:id="154"/>
      <w:r>
        <w:rPr>
          <w:lang w:val="de-AT"/>
        </w:rPr>
        <w:t>13.3 Stromnetz-Synchronisation</w:t>
      </w:r>
      <w:bookmarkEnd w:id="157"/>
    </w:p>
    <w:p w14:paraId="63EE5FAF" w14:textId="77777777" w:rsidR="00D1028B" w:rsidRDefault="00892948">
      <w:r>
        <w:rPr>
          <w:lang w:val="de-AT"/>
        </w:rPr>
        <w:t xml:space="preserve">Das europäische Verbundnetz (ENTSO-E) ist eines der größten synchronen Wechselstromnetze der Welt. Alle angeschlossenen Kraftwerke und Netzelemente müssen exakt auf 50 Hz synchronisiert sein. </w:t>
      </w:r>
      <w:r>
        <w:t>Zeit ist dabei buchstäblich eine physikalische Notwendigkeit:</w:t>
      </w:r>
    </w:p>
    <w:p w14:paraId="63EE5FB0" w14:textId="77777777" w:rsidR="00D1028B" w:rsidRDefault="00892948">
      <w:pPr>
        <w:numPr>
          <w:ilvl w:val="0"/>
          <w:numId w:val="111"/>
        </w:numPr>
      </w:pPr>
      <w:r>
        <w:rPr>
          <w:lang w:val="de-AT"/>
        </w:rPr>
        <w:t xml:space="preserve">Phasensynchronisation: Generatoren müssen vor der Zuschaltung ins Netz phasengleich sein. </w:t>
      </w:r>
      <w:r>
        <w:t>Zeitdifferenz von Millisekunden kann zu Maschinenschäden führen</w:t>
      </w:r>
    </w:p>
    <w:p w14:paraId="63EE5FB1" w14:textId="77777777" w:rsidR="00D1028B" w:rsidRDefault="00892948">
      <w:pPr>
        <w:numPr>
          <w:ilvl w:val="0"/>
          <w:numId w:val="111"/>
        </w:numPr>
      </w:pPr>
      <w:r>
        <w:t>PMU (Phasor Measurement Units): Messen Netzparameter mit GPS-Zeit-Synchronisation auf Mikrosekunden. Ausfall der Zeitreferenz = Ausfall der Messung</w:t>
      </w:r>
    </w:p>
    <w:p w14:paraId="63EE5FB2" w14:textId="77777777" w:rsidR="00D1028B" w:rsidRPr="00260DEC" w:rsidRDefault="00892948">
      <w:pPr>
        <w:numPr>
          <w:ilvl w:val="0"/>
          <w:numId w:val="111"/>
        </w:numPr>
        <w:rPr>
          <w:lang w:val="de-AT"/>
        </w:rPr>
      </w:pPr>
      <w:r>
        <w:rPr>
          <w:lang w:val="de-AT"/>
        </w:rPr>
        <w:t>Frequency Containment Reserve (FCR): Automatische Regelleistung muss innerhalb von 30 Sekunden aktivierbar sein — Zeitstempel sind Abrechnungsgrundlage</w:t>
      </w:r>
    </w:p>
    <w:p w14:paraId="63EE5FB3" w14:textId="77777777" w:rsidR="00D1028B" w:rsidRDefault="00892948">
      <w:pPr>
        <w:numPr>
          <w:ilvl w:val="0"/>
          <w:numId w:val="111"/>
        </w:numPr>
      </w:pPr>
      <w:r>
        <w:rPr>
          <w:lang w:val="de-AT"/>
        </w:rPr>
        <w:lastRenderedPageBreak/>
        <w:t xml:space="preserve">Blackout-Analyse: Nach Netzstörungen werden Ereignisse rekonstruiert. </w:t>
      </w:r>
      <w:r>
        <w:t>Inkonsistente Zeitstempel verschiedener Netzbetreiber erschweren die Fehleranalyse</w:t>
      </w:r>
    </w:p>
    <w:p w14:paraId="63EE5FB4" w14:textId="77777777" w:rsidR="00D1028B" w:rsidRPr="00260DEC" w:rsidRDefault="00892948">
      <w:pPr>
        <w:numPr>
          <w:ilvl w:val="0"/>
          <w:numId w:val="111"/>
        </w:numPr>
        <w:rPr>
          <w:lang w:val="de-AT"/>
        </w:rPr>
      </w:pPr>
      <w:r>
        <w:rPr>
          <w:lang w:val="de-AT"/>
        </w:rPr>
        <w:t>Kontinentale Zeitabweichung: Das europäische Netz hatte 2018 eine Frequenzabweichung, die Netzuhren um 6 Minuten verzögerte — ein reales, öffentlich dokumentiertes Ereignis</w:t>
      </w:r>
    </w:p>
    <w:p w14:paraId="63EE5FB5"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B6" w14:textId="77777777" w:rsidR="00D1028B" w:rsidRDefault="00892948">
      <w:pPr>
        <w:numPr>
          <w:ilvl w:val="0"/>
          <w:numId w:val="112"/>
        </w:numPr>
        <w:pBdr>
          <w:left w:val="single" w:sz="20" w:space="8" w:color="17A589"/>
        </w:pBdr>
        <w:shd w:val="clear" w:color="auto" w:fill="EAF7F4"/>
        <w:spacing w:before="40" w:after="40"/>
        <w:ind w:left="240"/>
      </w:pPr>
      <w:r>
        <w:rPr>
          <w:i/>
          <w:iCs/>
          <w:color w:val="0D4035"/>
          <w:sz w:val="20"/>
          <w:szCs w:val="20"/>
        </w:rPr>
        <w:t>UTC-basierte Netz-Synchronisation (IEEE 1588/PTP) kann durch CGTA als übergeordnete Zeitreferenz ergänzt werden — ChronoGrid beschreibt die Synchronisations-Domain formal in CTDDL</w:t>
      </w:r>
    </w:p>
    <w:p w14:paraId="63EE5FB7" w14:textId="77777777" w:rsidR="00D1028B" w:rsidRDefault="00892948">
      <w:pPr>
        <w:numPr>
          <w:ilvl w:val="0"/>
          <w:numId w:val="112"/>
        </w:numPr>
        <w:pBdr>
          <w:left w:val="single" w:sz="20" w:space="8" w:color="17A589"/>
        </w:pBdr>
        <w:shd w:val="clear" w:color="auto" w:fill="EAF7F4"/>
        <w:spacing w:before="40" w:after="40"/>
        <w:ind w:left="240"/>
      </w:pPr>
      <w:r>
        <w:rPr>
          <w:i/>
          <w:iCs/>
          <w:color w:val="0D4035"/>
          <w:sz w:val="20"/>
          <w:szCs w:val="20"/>
        </w:rPr>
        <w:t>Fehlerortung in Hochspannungsnetzen (travelling wave protection) erfordert Nanosekundengenauigkeit; CGTA mit BigInt-Granularität ist formal präziser als aktuelle UTC-Implementierungen</w:t>
      </w:r>
    </w:p>
    <w:p w14:paraId="63EE5FB8" w14:textId="77777777" w:rsidR="00D1028B" w:rsidRPr="00260DEC" w:rsidRDefault="00892948">
      <w:pPr>
        <w:numPr>
          <w:ilvl w:val="0"/>
          <w:numId w:val="112"/>
        </w:numPr>
        <w:pBdr>
          <w:left w:val="single" w:sz="20" w:space="8" w:color="17A589"/>
        </w:pBdr>
        <w:shd w:val="clear" w:color="auto" w:fill="EAF7F4"/>
        <w:spacing w:before="40" w:after="40"/>
        <w:ind w:left="240"/>
        <w:rPr>
          <w:lang w:val="de-AT"/>
        </w:rPr>
      </w:pPr>
      <w:r>
        <w:rPr>
          <w:i/>
          <w:iCs/>
          <w:color w:val="0D4035"/>
          <w:sz w:val="20"/>
          <w:szCs w:val="20"/>
          <w:lang w:val="de-AT"/>
        </w:rPr>
        <w:t>Internationale Netzverbundgrenzen (z. B. Österreich–Deutschland–Schweiz) mit unterschiedlichen Zeitsystemen erhalten durch CGTA einen normierenden Konversionslayer ohne Präzisionsverlust</w:t>
      </w:r>
    </w:p>
    <w:p w14:paraId="63EE5FB9" w14:textId="77777777" w:rsidR="00D1028B" w:rsidRPr="00260DEC" w:rsidRDefault="00892948">
      <w:pPr>
        <w:numPr>
          <w:ilvl w:val="0"/>
          <w:numId w:val="112"/>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5FBA" w14:textId="77777777" w:rsidR="00D1028B" w:rsidRDefault="00892948">
      <w:pPr>
        <w:pStyle w:val="berschrift3"/>
      </w:pPr>
      <w:bookmarkStart w:id="158" w:name="erneuerbare-energien-und-wetterprognosen"/>
      <w:bookmarkStart w:id="159" w:name="_Toc226451955"/>
      <w:bookmarkEnd w:id="156"/>
      <w:r>
        <w:t>13.4 Erneuerbare Energien und Wetterprognosen</w:t>
      </w:r>
      <w:bookmarkEnd w:id="159"/>
    </w:p>
    <w:p w14:paraId="63EE5FBB" w14:textId="77777777" w:rsidR="00D1028B" w:rsidRDefault="00892948">
      <w:pPr>
        <w:numPr>
          <w:ilvl w:val="0"/>
          <w:numId w:val="113"/>
        </w:numPr>
      </w:pPr>
      <w:r>
        <w:rPr>
          <w:lang w:val="de-AT"/>
        </w:rPr>
        <w:t xml:space="preserve">Wind- und Solarprognosen: Erzeugungsvorhersagen werden in stündlichen Intervallen erstellt und aktualisiert. </w:t>
      </w:r>
      <w:r>
        <w:t>Zeitstempel-Konsistenz zwischen Wetterdaten und Marktdaten ist kritisch</w:t>
      </w:r>
    </w:p>
    <w:p w14:paraId="63EE5FBC" w14:textId="77777777" w:rsidR="00D1028B" w:rsidRDefault="00892948">
      <w:pPr>
        <w:numPr>
          <w:ilvl w:val="0"/>
          <w:numId w:val="113"/>
        </w:numPr>
      </w:pPr>
      <w:r>
        <w:rPr>
          <w:lang w:val="de-AT"/>
        </w:rPr>
        <w:t xml:space="preserve">Direktvermarktung: Photovoltaik- und Windanlagenbetreiber handeln Strom direkt. </w:t>
      </w:r>
      <w:r>
        <w:t>Abrechnung auf Basis von Viertelstunden-Zeitstempeln</w:t>
      </w:r>
    </w:p>
    <w:p w14:paraId="63EE5FBD" w14:textId="77777777" w:rsidR="00D1028B" w:rsidRDefault="00892948">
      <w:pPr>
        <w:numPr>
          <w:ilvl w:val="0"/>
          <w:numId w:val="113"/>
        </w:numPr>
      </w:pPr>
      <w:r>
        <w:rPr>
          <w:lang w:val="de-AT"/>
        </w:rPr>
        <w:t xml:space="preserve">Händler-Aggregatoren: Bündeln viele kleine Anlagen zu virtuellen Kraftwerken. </w:t>
      </w:r>
      <w:r>
        <w:t>Zeitsynchronisation aller Einheiten ist Voraussetzung</w:t>
      </w:r>
    </w:p>
    <w:p w14:paraId="63EE5FBE" w14:textId="77777777" w:rsidR="00D1028B" w:rsidRPr="00260DEC" w:rsidRDefault="00892948">
      <w:pPr>
        <w:numPr>
          <w:ilvl w:val="0"/>
          <w:numId w:val="113"/>
        </w:numPr>
        <w:rPr>
          <w:lang w:val="de-AT"/>
        </w:rPr>
      </w:pPr>
      <w:r>
        <w:rPr>
          <w:lang w:val="de-AT"/>
        </w:rPr>
        <w:t>Herkunftsnachweise (HKN): Grüner Strom wird durch zeitlich gebundene Zertifikate nachgewiesen — Zeitstempel sind Kern des Zertifikats</w:t>
      </w:r>
    </w:p>
    <w:p w14:paraId="63EE5FB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C0" w14:textId="77777777" w:rsidR="00D1028B" w:rsidRPr="00260DEC" w:rsidRDefault="00892948">
      <w:pPr>
        <w:numPr>
          <w:ilvl w:val="0"/>
          <w:numId w:val="114"/>
        </w:numPr>
        <w:pBdr>
          <w:left w:val="single" w:sz="20" w:space="8" w:color="17A589"/>
        </w:pBdr>
        <w:shd w:val="clear" w:color="auto" w:fill="EAF7F4"/>
        <w:spacing w:before="40" w:after="40"/>
        <w:ind w:left="240"/>
        <w:rPr>
          <w:lang w:val="de-AT"/>
        </w:rPr>
      </w:pPr>
      <w:r>
        <w:rPr>
          <w:i/>
          <w:iCs/>
          <w:color w:val="0D4035"/>
          <w:sz w:val="20"/>
          <w:szCs w:val="20"/>
          <w:lang w:val="de-AT"/>
        </w:rPr>
        <w:t>Wetterprognose-Zeitreihen und Einspeiseprognosen für Solar/Wind als CGTA normiert sind plattformübergreifend kombinierbar — keine Konversionsfehler bei Fusion von ECMWF-, GFS- und lokalen Wetterdaten</w:t>
      </w:r>
    </w:p>
    <w:p w14:paraId="63EE5FC1" w14:textId="77777777" w:rsidR="00D1028B" w:rsidRPr="00260DEC" w:rsidRDefault="00892948">
      <w:pPr>
        <w:numPr>
          <w:ilvl w:val="0"/>
          <w:numId w:val="114"/>
        </w:numPr>
        <w:pBdr>
          <w:left w:val="single" w:sz="20" w:space="8" w:color="17A589"/>
        </w:pBdr>
        <w:shd w:val="clear" w:color="auto" w:fill="EAF7F4"/>
        <w:spacing w:before="40" w:after="40"/>
        <w:ind w:left="240"/>
        <w:rPr>
          <w:lang w:val="de-AT"/>
        </w:rPr>
      </w:pPr>
      <w:r>
        <w:rPr>
          <w:i/>
          <w:iCs/>
          <w:color w:val="0D4035"/>
          <w:sz w:val="20"/>
          <w:szCs w:val="20"/>
          <w:lang w:val="de-AT"/>
        </w:rPr>
        <w:t>Einspeise-Vorhersage-APIs verschiedener Anbieter erhalten durch CGTA einen gemeinsamen Zeittyp — Energiemanagementsysteme können Prognosen ohne Zeitachsen-Normierungsaufwand verarbeiten</w:t>
      </w:r>
    </w:p>
    <w:p w14:paraId="63EE5FC2" w14:textId="77777777" w:rsidR="00D1028B" w:rsidRPr="00260DEC" w:rsidRDefault="00892948">
      <w:pPr>
        <w:numPr>
          <w:ilvl w:val="0"/>
          <w:numId w:val="114"/>
        </w:numPr>
        <w:pBdr>
          <w:left w:val="single" w:sz="20" w:space="8" w:color="17A589"/>
        </w:pBdr>
        <w:shd w:val="clear" w:color="auto" w:fill="EAF7F4"/>
        <w:spacing w:before="40" w:after="40"/>
        <w:ind w:left="240"/>
        <w:rPr>
          <w:lang w:val="de-AT"/>
        </w:rPr>
      </w:pPr>
      <w:r>
        <w:rPr>
          <w:i/>
          <w:iCs/>
          <w:color w:val="0D4035"/>
          <w:sz w:val="20"/>
          <w:szCs w:val="20"/>
          <w:lang w:val="de-AT"/>
        </w:rPr>
        <w:t>CTDDL kann Solar- und Windproduktions-Domains formal beschreiben (Granularität, Horizont, Unsicherheitsintervalle) — Grundlage für standardisierte Energiedaten-APIs</w:t>
      </w:r>
    </w:p>
    <w:p w14:paraId="63EE5FC3" w14:textId="77777777" w:rsidR="00D1028B" w:rsidRPr="00260DEC" w:rsidRDefault="00892948">
      <w:pPr>
        <w:pStyle w:val="berschrift2"/>
        <w:rPr>
          <w:lang w:val="de-AT"/>
        </w:rPr>
      </w:pPr>
      <w:bookmarkStart w:id="160" w:name="telekommunikation-und-netzinfrastruktur"/>
      <w:bookmarkStart w:id="161" w:name="_Toc226451956"/>
      <w:bookmarkEnd w:id="150"/>
      <w:bookmarkEnd w:id="158"/>
      <w:r>
        <w:rPr>
          <w:lang w:val="de-AT"/>
        </w:rPr>
        <w:t>14 Telekommunikation und Netzinfrastruktur</w:t>
      </w:r>
      <w:bookmarkEnd w:id="161"/>
    </w:p>
    <w:p w14:paraId="63EE5FC4" w14:textId="77777777" w:rsidR="00D1028B" w:rsidRPr="00260DEC" w:rsidRDefault="00892948">
      <w:pPr>
        <w:rPr>
          <w:lang w:val="de-AT"/>
        </w:rPr>
      </w:pPr>
      <w:r>
        <w:rPr>
          <w:lang w:val="de-AT"/>
        </w:rPr>
        <w:t>Telekommunikationsnetze sind die Zeithalter des Internets. GPS-Zeit, NTP und PTP synchronisieren Milliarden von Geräten — aber auf Anwendungsebene fehlt ein universeller Standard.</w:t>
      </w:r>
    </w:p>
    <w:p w14:paraId="63EE5FC5" w14:textId="77777777" w:rsidR="00D1028B" w:rsidRPr="00260DEC" w:rsidRDefault="00892948">
      <w:pPr>
        <w:pStyle w:val="berschrift3"/>
        <w:rPr>
          <w:lang w:val="de-AT"/>
        </w:rPr>
      </w:pPr>
      <w:bookmarkStart w:id="162" w:name="g-und-präzisionszeitprotokolle"/>
      <w:bookmarkStart w:id="163" w:name="_Toc226451957"/>
      <w:r>
        <w:rPr>
          <w:lang w:val="de-AT"/>
        </w:rPr>
        <w:t>14.1 5G und Präzisionszeitprotokolle</w:t>
      </w:r>
      <w:bookmarkEnd w:id="163"/>
    </w:p>
    <w:p w14:paraId="63EE5FC6" w14:textId="77777777" w:rsidR="00D1028B" w:rsidRPr="00260DEC" w:rsidRDefault="00892948">
      <w:pPr>
        <w:rPr>
          <w:lang w:val="de-AT"/>
        </w:rPr>
      </w:pPr>
      <w:r>
        <w:rPr>
          <w:lang w:val="de-AT"/>
        </w:rPr>
        <w:t>5G-Netzwerke stellen die höchsten Anforderungen an Zeitsynchronisation aller bisherigen Mobilfunkgenerationen. Besonders für industrielle Anwendungen (5G-URLLC — Ultra-Reliable Low-Latency Communication) ist Zeitpräzision eine technische Grundvoraussetzung:</w:t>
      </w:r>
    </w:p>
    <w:p w14:paraId="63EE5FC7" w14:textId="77777777" w:rsidR="00D1028B" w:rsidRPr="00260DEC" w:rsidRDefault="00892948">
      <w:pPr>
        <w:numPr>
          <w:ilvl w:val="0"/>
          <w:numId w:val="115"/>
        </w:numPr>
        <w:rPr>
          <w:lang w:val="de-AT"/>
        </w:rPr>
      </w:pPr>
      <w:r>
        <w:rPr>
          <w:lang w:val="de-AT"/>
        </w:rPr>
        <w:lastRenderedPageBreak/>
        <w:t>MIMO-Antennen-Arrays: Mehrere Antennen müssen nanosekunden-synchron senden. IEEE 1588v2 (PTP) wird verwendet — aber nur für Netzwerkschicht, nicht für Anwendungsschicht</w:t>
      </w:r>
    </w:p>
    <w:p w14:paraId="63EE5FC8" w14:textId="77777777" w:rsidR="00D1028B" w:rsidRPr="00260DEC" w:rsidRDefault="00892948">
      <w:pPr>
        <w:numPr>
          <w:ilvl w:val="0"/>
          <w:numId w:val="115"/>
        </w:numPr>
        <w:rPr>
          <w:lang w:val="de-AT"/>
        </w:rPr>
      </w:pPr>
      <w:r>
        <w:rPr>
          <w:lang w:val="de-AT"/>
        </w:rPr>
        <w:t>Network Slicing: Virtuelle Netzwerksegmente für verschiedene Dienste (z. B. autonomes Fahren vs. Streaming) haben unterschiedliche Latenz- und Zeitanforderungen</w:t>
      </w:r>
    </w:p>
    <w:p w14:paraId="63EE5FC9" w14:textId="77777777" w:rsidR="00D1028B" w:rsidRDefault="00892948">
      <w:pPr>
        <w:numPr>
          <w:ilvl w:val="0"/>
          <w:numId w:val="115"/>
        </w:numPr>
      </w:pPr>
      <w:r>
        <w:rPr>
          <w:lang w:val="de-AT"/>
        </w:rPr>
        <w:t xml:space="preserve">Time-Sensitive Networking (TSN): IEEE-Standard für deterministisches Ethernet in Industrienetzwerken. </w:t>
      </w:r>
      <w:r>
        <w:t>Braucht einheitliche Zeitreferenz über das gesamte Netz</w:t>
      </w:r>
    </w:p>
    <w:p w14:paraId="63EE5FCA" w14:textId="77777777" w:rsidR="00D1028B" w:rsidRDefault="00892948">
      <w:pPr>
        <w:numPr>
          <w:ilvl w:val="0"/>
          <w:numId w:val="115"/>
        </w:numPr>
      </w:pPr>
      <w:r>
        <w:t>O-RAN (Open Radio Access Network): Offene 5G-Architektur mit strengen Synchronisationsanforderungen zwischen verschiedenen Herstellerkomponenten</w:t>
      </w:r>
    </w:p>
    <w:p w14:paraId="63EE5FCB"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CC" w14:textId="77777777" w:rsidR="00D1028B" w:rsidRDefault="00892948">
      <w:pPr>
        <w:numPr>
          <w:ilvl w:val="0"/>
          <w:numId w:val="116"/>
        </w:numPr>
        <w:pBdr>
          <w:left w:val="single" w:sz="20" w:space="8" w:color="17A589"/>
        </w:pBdr>
        <w:shd w:val="clear" w:color="auto" w:fill="EAF7F4"/>
        <w:spacing w:before="40" w:after="40"/>
        <w:ind w:left="240"/>
      </w:pPr>
      <w:r>
        <w:rPr>
          <w:i/>
          <w:iCs/>
          <w:color w:val="0D4035"/>
          <w:sz w:val="20"/>
          <w:szCs w:val="20"/>
        </w:rPr>
        <w:t>IEEE 1588v2/PTP und SyncE als Zeitdomänen in CTDDL formal modellierbar; ChronoGrid ermöglicht die normierte Beschreibung von 5G-Präzisionszeitanforderungen (&lt; 1 µs Synchronisation) in maschinenlesbarer Form</w:t>
      </w:r>
    </w:p>
    <w:p w14:paraId="63EE5FCD" w14:textId="77777777" w:rsidR="00D1028B" w:rsidRPr="00260DEC" w:rsidRDefault="00892948">
      <w:pPr>
        <w:numPr>
          <w:ilvl w:val="0"/>
          <w:numId w:val="116"/>
        </w:numPr>
        <w:pBdr>
          <w:left w:val="single" w:sz="20" w:space="8" w:color="17A589"/>
        </w:pBdr>
        <w:shd w:val="clear" w:color="auto" w:fill="EAF7F4"/>
        <w:spacing w:before="40" w:after="40"/>
        <w:ind w:left="240"/>
        <w:rPr>
          <w:lang w:val="de-AT"/>
        </w:rPr>
      </w:pPr>
      <w:r>
        <w:rPr>
          <w:i/>
          <w:iCs/>
          <w:color w:val="0D4035"/>
          <w:sz w:val="20"/>
          <w:szCs w:val="20"/>
          <w:lang w:val="de-AT"/>
        </w:rPr>
        <w:t>3GPP-Zeitreferenzen (GPS-Zeit, TAI) als CGTA-Mappings: Konvertierung zwischen Funkzellen-Zeitdomänen und Anwendungsschicht wird deterministisch und auditierbar</w:t>
      </w:r>
    </w:p>
    <w:p w14:paraId="63EE5FCE" w14:textId="77777777" w:rsidR="00D1028B" w:rsidRPr="00260DEC" w:rsidRDefault="00892948">
      <w:pPr>
        <w:numPr>
          <w:ilvl w:val="0"/>
          <w:numId w:val="116"/>
        </w:numPr>
        <w:pBdr>
          <w:left w:val="single" w:sz="20" w:space="8" w:color="17A589"/>
        </w:pBdr>
        <w:shd w:val="clear" w:color="auto" w:fill="EAF7F4"/>
        <w:spacing w:before="40" w:after="40"/>
        <w:ind w:left="240"/>
        <w:rPr>
          <w:lang w:val="de-AT"/>
        </w:rPr>
      </w:pPr>
      <w:r>
        <w:rPr>
          <w:i/>
          <w:iCs/>
          <w:color w:val="0D4035"/>
          <w:sz w:val="20"/>
          <w:szCs w:val="20"/>
          <w:lang w:val="de-AT"/>
        </w:rPr>
        <w:t>TSN (Time-Sensitive Networking) für Industrie-5G-Anwendungen erhält durch CGTA eine formal definierte Zeitreferenz, die über Netzgrenzen und Hersteller hinweg konsistent ist</w:t>
      </w:r>
    </w:p>
    <w:p w14:paraId="63EE5FCF" w14:textId="77777777" w:rsidR="00D1028B" w:rsidRDefault="00892948">
      <w:pPr>
        <w:pStyle w:val="berschrift3"/>
      </w:pPr>
      <w:bookmarkStart w:id="164" w:name="cdn-und-web-infrastruktur"/>
      <w:bookmarkStart w:id="165" w:name="_Toc226451958"/>
      <w:bookmarkEnd w:id="162"/>
      <w:r>
        <w:t>14.2 CDN und Web-Infrastruktur</w:t>
      </w:r>
      <w:bookmarkEnd w:id="165"/>
    </w:p>
    <w:p w14:paraId="63EE5FD0" w14:textId="77777777" w:rsidR="00D1028B" w:rsidRDefault="00892948">
      <w:pPr>
        <w:numPr>
          <w:ilvl w:val="0"/>
          <w:numId w:val="117"/>
        </w:numPr>
      </w:pPr>
      <w:r>
        <w:t>Cache-TTL (Time-to-Live): Jedes Objekt in einem CDN (Cloudflare, Akamai, AWS CloudFront) hat eine Ablaufzeit. HTTP Cache-Control-Header definieren diese — ohne Zeitzonensemantik</w:t>
      </w:r>
    </w:p>
    <w:p w14:paraId="63EE5FD1" w14:textId="77777777" w:rsidR="00D1028B" w:rsidRDefault="00892948">
      <w:pPr>
        <w:numPr>
          <w:ilvl w:val="0"/>
          <w:numId w:val="117"/>
        </w:numPr>
      </w:pPr>
      <w:r>
        <w:rPr>
          <w:lang w:val="de-AT"/>
        </w:rPr>
        <w:t xml:space="preserve">Stale-While-Revalidate: Inhalte werden nach Ablauf noch kurz ausgeliefert während sie neu geladen werden. </w:t>
      </w:r>
      <w:r>
        <w:t>Zeitfenster-Definition ist systemabhängig</w:t>
      </w:r>
    </w:p>
    <w:p w14:paraId="63EE5FD2" w14:textId="77777777" w:rsidR="00D1028B" w:rsidRPr="00260DEC" w:rsidRDefault="00892948">
      <w:pPr>
        <w:numPr>
          <w:ilvl w:val="0"/>
          <w:numId w:val="117"/>
        </w:numPr>
        <w:rPr>
          <w:lang w:val="de-AT"/>
        </w:rPr>
      </w:pPr>
      <w:r>
        <w:rPr>
          <w:lang w:val="de-AT"/>
        </w:rPr>
        <w:t>HTTP-Datum-Header (Date, Last-Modified, Expires): RFC 7231 schreibt GMT vor, aber Implementierungen weichen ab</w:t>
      </w:r>
    </w:p>
    <w:p w14:paraId="63EE5FD3" w14:textId="77777777" w:rsidR="00D1028B" w:rsidRPr="00260DEC" w:rsidRDefault="00892948">
      <w:pPr>
        <w:numPr>
          <w:ilvl w:val="0"/>
          <w:numId w:val="117"/>
        </w:numPr>
        <w:rPr>
          <w:lang w:val="de-AT"/>
        </w:rPr>
      </w:pPr>
      <w:r>
        <w:rPr>
          <w:lang w:val="de-AT"/>
        </w:rPr>
        <w:t>Edge-Computing-Zeitstempel: Berechnungen an 300+ Edge-Standorten weltweit — Zeitstempel der Ergebnisse sind ohne einheitliche Referenz nicht vergleichbar</w:t>
      </w:r>
    </w:p>
    <w:p w14:paraId="63EE5FD4"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D5" w14:textId="77777777" w:rsidR="00D1028B" w:rsidRDefault="00892948">
      <w:pPr>
        <w:numPr>
          <w:ilvl w:val="0"/>
          <w:numId w:val="118"/>
        </w:numPr>
        <w:pBdr>
          <w:left w:val="single" w:sz="20" w:space="8" w:color="17A589"/>
        </w:pBdr>
        <w:shd w:val="clear" w:color="auto" w:fill="EAF7F4"/>
        <w:spacing w:before="40" w:after="40"/>
        <w:ind w:left="240"/>
      </w:pPr>
      <w:r>
        <w:rPr>
          <w:i/>
          <w:iCs/>
          <w:color w:val="0D4035"/>
          <w:sz w:val="20"/>
          <w:szCs w:val="20"/>
        </w:rPr>
        <w:t>CDN-Cache-Expiry und Content-Freshness-Regeln als CTDDL-Intervalle modelliert sind zeitzonenneutral — kein Cache-Fehlverhalten durch DST-Übergänge in Server-Clustern</w:t>
      </w:r>
    </w:p>
    <w:p w14:paraId="63EE5FD6" w14:textId="77777777" w:rsidR="00D1028B" w:rsidRDefault="00892948">
      <w:pPr>
        <w:numPr>
          <w:ilvl w:val="0"/>
          <w:numId w:val="118"/>
        </w:numPr>
        <w:pBdr>
          <w:left w:val="single" w:sz="20" w:space="8" w:color="17A589"/>
        </w:pBdr>
        <w:shd w:val="clear" w:color="auto" w:fill="EAF7F4"/>
        <w:spacing w:before="40" w:after="40"/>
        <w:ind w:left="240"/>
      </w:pPr>
      <w:r>
        <w:rPr>
          <w:i/>
          <w:iCs/>
          <w:color w:val="0D4035"/>
          <w:sz w:val="20"/>
          <w:szCs w:val="20"/>
        </w:rPr>
        <w:t>HTTP-Caching-Header (Cache-Control, Expires, Last-Modified) könnten CGTA als erweitertes Zeitformat übernehmen — rückwärtskompatibel via IETF RFC-Erweiterung</w:t>
      </w:r>
    </w:p>
    <w:p w14:paraId="63EE5FD7" w14:textId="77777777" w:rsidR="00D1028B" w:rsidRPr="00260DEC" w:rsidRDefault="00892948">
      <w:pPr>
        <w:numPr>
          <w:ilvl w:val="0"/>
          <w:numId w:val="118"/>
        </w:numPr>
        <w:pBdr>
          <w:left w:val="single" w:sz="20" w:space="8" w:color="17A589"/>
        </w:pBdr>
        <w:shd w:val="clear" w:color="auto" w:fill="EAF7F4"/>
        <w:spacing w:before="40" w:after="40"/>
        <w:ind w:left="240"/>
        <w:rPr>
          <w:lang w:val="de-AT"/>
        </w:rPr>
      </w:pPr>
      <w:r>
        <w:rPr>
          <w:i/>
          <w:iCs/>
          <w:color w:val="0D4035"/>
          <w:sz w:val="20"/>
          <w:szCs w:val="20"/>
          <w:lang w:val="de-AT"/>
        </w:rPr>
        <w:t>Log-Korrelation über globale CDN-PoPs (Points of Presence) erhält mit CGTA eine einheitliche Zeitachse — Debugging von Cache-Inkonsistenzen wird deterministisch</w:t>
      </w:r>
    </w:p>
    <w:p w14:paraId="63EE5FD8" w14:textId="77777777" w:rsidR="00D1028B" w:rsidRPr="00260DEC" w:rsidRDefault="00892948">
      <w:pPr>
        <w:numPr>
          <w:ilvl w:val="0"/>
          <w:numId w:val="118"/>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5FD9" w14:textId="77777777" w:rsidR="00D1028B" w:rsidRPr="00260DEC" w:rsidRDefault="00892948">
      <w:pPr>
        <w:pStyle w:val="berschrift3"/>
        <w:rPr>
          <w:lang w:val="de-AT"/>
        </w:rPr>
      </w:pPr>
      <w:bookmarkStart w:id="166" w:name="dns-und-netzwerksicherheit"/>
      <w:bookmarkStart w:id="167" w:name="_Toc226451959"/>
      <w:bookmarkEnd w:id="164"/>
      <w:r>
        <w:rPr>
          <w:lang w:val="de-AT"/>
        </w:rPr>
        <w:t>14.3 DNS und Netzwerksicherheit</w:t>
      </w:r>
      <w:bookmarkEnd w:id="167"/>
    </w:p>
    <w:p w14:paraId="63EE5FDA" w14:textId="77777777" w:rsidR="00D1028B" w:rsidRPr="00260DEC" w:rsidRDefault="00892948">
      <w:pPr>
        <w:rPr>
          <w:lang w:val="de-AT"/>
        </w:rPr>
      </w:pPr>
      <w:r>
        <w:rPr>
          <w:i/>
          <w:iCs/>
          <w:lang w:val="de-AT"/>
        </w:rPr>
        <w:t>DNS-TTL als Sicherheitsfaktor: Wenn ein DNS-Eintrag abläuft, muss er neu abgefragt werden. Angreifer nutzen kurze TTLs für Fast-Flux-Angriffe (schnell wechselnde IP-Adressen). Die Zeitfenster zwischen DNS-Änderung und globaler Propagation sind ohne einheitliche Zeitbasis schwer zu verifizieren.</w:t>
      </w:r>
    </w:p>
    <w:p w14:paraId="63EE5FDB" w14:textId="77777777" w:rsidR="00D1028B" w:rsidRDefault="00892948">
      <w:pPr>
        <w:numPr>
          <w:ilvl w:val="0"/>
          <w:numId w:val="119"/>
        </w:numPr>
      </w:pPr>
      <w:r>
        <w:rPr>
          <w:lang w:val="de-AT"/>
        </w:rPr>
        <w:lastRenderedPageBreak/>
        <w:t xml:space="preserve">DNSSEC (DNS Security Extensions): Signaturen haben Ablaufzeiten. </w:t>
      </w:r>
      <w:r>
        <w:t>Zeitfenster-Behandlung ist sicherheitskritisch</w:t>
      </w:r>
    </w:p>
    <w:p w14:paraId="63EE5FDC" w14:textId="77777777" w:rsidR="00D1028B" w:rsidRDefault="00892948">
      <w:pPr>
        <w:numPr>
          <w:ilvl w:val="0"/>
          <w:numId w:val="119"/>
        </w:numPr>
      </w:pPr>
      <w:r>
        <w:t>OCSP (Online Certificate Status Protocol): Zertifikatsstatus hat Ablaufzeiten. Zeitinkonsistenz zwischen Client und OCSP-Server führt zu Sicherheitsproblemen</w:t>
      </w:r>
    </w:p>
    <w:p w14:paraId="63EE5FDD" w14:textId="77777777" w:rsidR="00D1028B" w:rsidRPr="00260DEC" w:rsidRDefault="00892948">
      <w:pPr>
        <w:numPr>
          <w:ilvl w:val="0"/>
          <w:numId w:val="119"/>
        </w:numPr>
        <w:rPr>
          <w:lang w:val="de-AT"/>
        </w:rPr>
      </w:pPr>
      <w:r>
        <w:rPr>
          <w:lang w:val="de-AT"/>
        </w:rPr>
        <w:t>BGP Route Hijacking: Analyse von Routing-Angriffen erfordert präzise zeitliche Rekonstruktion über multiple NOC-Systeme hinweg</w:t>
      </w:r>
    </w:p>
    <w:p w14:paraId="63EE5FDE" w14:textId="77777777" w:rsidR="00D1028B" w:rsidRPr="00260DEC" w:rsidRDefault="00892948">
      <w:pPr>
        <w:numPr>
          <w:ilvl w:val="0"/>
          <w:numId w:val="119"/>
        </w:numPr>
        <w:rPr>
          <w:lang w:val="de-AT"/>
        </w:rPr>
      </w:pPr>
      <w:r>
        <w:rPr>
          <w:lang w:val="de-AT"/>
        </w:rPr>
        <w:t>DDoS-Analyse: Angriffsmuster über Zeitachsen erkennen — inkonsistente Log-Zeitstempel verschiedener Netzknoten erschweren Real-Time-Detection</w:t>
      </w:r>
    </w:p>
    <w:p w14:paraId="63EE5FD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E0" w14:textId="77777777" w:rsidR="00D1028B" w:rsidRPr="00260DEC" w:rsidRDefault="00892948">
      <w:pPr>
        <w:numPr>
          <w:ilvl w:val="0"/>
          <w:numId w:val="120"/>
        </w:numPr>
        <w:pBdr>
          <w:left w:val="single" w:sz="20" w:space="8" w:color="17A589"/>
        </w:pBdr>
        <w:shd w:val="clear" w:color="auto" w:fill="EAF7F4"/>
        <w:spacing w:before="40" w:after="40"/>
        <w:ind w:left="240"/>
        <w:rPr>
          <w:lang w:val="de-AT"/>
        </w:rPr>
      </w:pPr>
      <w:r>
        <w:rPr>
          <w:i/>
          <w:iCs/>
          <w:color w:val="0D4035"/>
          <w:sz w:val="20"/>
          <w:szCs w:val="20"/>
          <w:lang w:val="de-AT"/>
        </w:rPr>
        <w:t>DNSSEC-Signaturgültigkeiten als CGTA-Intervalle: Ablaufzeiten sind über Systemmigrationen und Zeitzonenwechsel hinweg konsistent prüfbar — kein Zertifikatsablauf durch Konfigurationsfehler bei DST</w:t>
      </w:r>
    </w:p>
    <w:p w14:paraId="63EE5FE1" w14:textId="77777777" w:rsidR="00D1028B" w:rsidRPr="00260DEC" w:rsidRDefault="00892948">
      <w:pPr>
        <w:numPr>
          <w:ilvl w:val="0"/>
          <w:numId w:val="120"/>
        </w:numPr>
        <w:pBdr>
          <w:left w:val="single" w:sz="20" w:space="8" w:color="17A589"/>
        </w:pBdr>
        <w:shd w:val="clear" w:color="auto" w:fill="EAF7F4"/>
        <w:spacing w:before="40" w:after="40"/>
        <w:ind w:left="240"/>
        <w:rPr>
          <w:lang w:val="de-AT"/>
        </w:rPr>
      </w:pPr>
      <w:r>
        <w:rPr>
          <w:i/>
          <w:iCs/>
          <w:color w:val="0D4035"/>
          <w:sz w:val="20"/>
          <w:szCs w:val="20"/>
          <w:lang w:val="de-AT"/>
        </w:rPr>
        <w:t>NTP-Poisoning-Angriffe werden durch ChronoGrid als externe, verifizierbare Zeitreferenz erkennbar — Abweichungen vom CGTA-Referenzwert sind messbar und auditierbar</w:t>
      </w:r>
    </w:p>
    <w:p w14:paraId="63EE5FE2" w14:textId="77777777" w:rsidR="00D1028B" w:rsidRPr="00260DEC" w:rsidRDefault="00892948">
      <w:pPr>
        <w:numPr>
          <w:ilvl w:val="0"/>
          <w:numId w:val="120"/>
        </w:numPr>
        <w:pBdr>
          <w:left w:val="single" w:sz="20" w:space="8" w:color="17A589"/>
        </w:pBdr>
        <w:shd w:val="clear" w:color="auto" w:fill="EAF7F4"/>
        <w:spacing w:before="40" w:after="40"/>
        <w:ind w:left="240"/>
        <w:rPr>
          <w:lang w:val="de-AT"/>
        </w:rPr>
      </w:pPr>
      <w:r>
        <w:rPr>
          <w:i/>
          <w:iCs/>
          <w:color w:val="0D4035"/>
          <w:sz w:val="20"/>
          <w:szCs w:val="20"/>
          <w:lang w:val="de-AT"/>
        </w:rPr>
        <w:t>BGP-Routing-Zeitstempel (Route-Announcements, Withdrawals) als CGTA normiert verbessern die forensische Analyse von Routing-Anomalien und BGP-Hijacking-Ereignissen</w:t>
      </w:r>
    </w:p>
    <w:p w14:paraId="63EE5FE3" w14:textId="77777777" w:rsidR="00D1028B" w:rsidRPr="00260DEC" w:rsidRDefault="00892948">
      <w:pPr>
        <w:numPr>
          <w:ilvl w:val="0"/>
          <w:numId w:val="12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Log-Forensik → </w:t>
      </w:r>
      <w:r>
        <w:rPr>
          <w:b/>
          <w:bCs/>
          <w:i/>
          <w:iCs/>
          <w:color w:val="0D4035"/>
          <w:sz w:val="20"/>
          <w:szCs w:val="20"/>
          <w:lang w:val="de-AT"/>
        </w:rPr>
        <w:t>Anhang B.5</w:t>
      </w:r>
    </w:p>
    <w:p w14:paraId="63EE5FE4" w14:textId="77777777" w:rsidR="00D1028B" w:rsidRDefault="00892948">
      <w:pPr>
        <w:pStyle w:val="berschrift3"/>
      </w:pPr>
      <w:bookmarkStart w:id="168" w:name="mobilfunk-und-roaming"/>
      <w:bookmarkStart w:id="169" w:name="_Toc226451960"/>
      <w:bookmarkEnd w:id="166"/>
      <w:r>
        <w:t>14.4 Mobilfunk und Roaming</w:t>
      </w:r>
      <w:bookmarkEnd w:id="169"/>
    </w:p>
    <w:p w14:paraId="63EE5FE5" w14:textId="77777777" w:rsidR="00D1028B" w:rsidRDefault="00892948">
      <w:pPr>
        <w:numPr>
          <w:ilvl w:val="0"/>
          <w:numId w:val="121"/>
        </w:numPr>
      </w:pPr>
      <w:r>
        <w:rPr>
          <w:lang w:val="de-AT"/>
        </w:rPr>
        <w:t xml:space="preserve">CDR (Call Detail Records): Verbindungsdatensätze für Abrechnung und Behördenauskunft. </w:t>
      </w:r>
      <w:r>
        <w:t>Zeitstempel müssen rechtskonform und präzise sein (ETSI-Standards)</w:t>
      </w:r>
    </w:p>
    <w:p w14:paraId="63EE5FE6" w14:textId="77777777" w:rsidR="00D1028B" w:rsidRDefault="00892948">
      <w:pPr>
        <w:numPr>
          <w:ilvl w:val="0"/>
          <w:numId w:val="121"/>
        </w:numPr>
      </w:pPr>
      <w:r>
        <w:rPr>
          <w:lang w:val="de-AT"/>
        </w:rPr>
        <w:t xml:space="preserve">Internationales Roaming: Gespräche über Ländergrenzen — welches Netz verwendet welche Zeitbasis? </w:t>
      </w:r>
      <w:r>
        <w:t>Abrechnungsdifferenzen entstehen durch Zeitzoneninkonsistenz</w:t>
      </w:r>
    </w:p>
    <w:p w14:paraId="63EE5FE7" w14:textId="77777777" w:rsidR="00D1028B" w:rsidRDefault="00892948">
      <w:pPr>
        <w:numPr>
          <w:ilvl w:val="0"/>
          <w:numId w:val="121"/>
        </w:numPr>
      </w:pPr>
      <w:r>
        <w:rPr>
          <w:lang w:val="de-AT"/>
        </w:rPr>
        <w:t xml:space="preserve">LI (Lawful Interception): Strafverfolgungsbehörden fordern Überwachungsdaten mit rechtssicheren Zeitstempeln. </w:t>
      </w:r>
      <w:r>
        <w:t>Inkonsistenz zwischen Betreibern ist ein bekanntes Problem</w:t>
      </w:r>
    </w:p>
    <w:p w14:paraId="63EE5FE8" w14:textId="77777777" w:rsidR="00D1028B" w:rsidRPr="00260DEC" w:rsidRDefault="00892948">
      <w:pPr>
        <w:numPr>
          <w:ilvl w:val="0"/>
          <w:numId w:val="121"/>
        </w:numPr>
        <w:rPr>
          <w:lang w:val="de-AT"/>
        </w:rPr>
      </w:pPr>
      <w:r>
        <w:rPr>
          <w:lang w:val="de-AT"/>
        </w:rPr>
        <w:t>SMS-Zeitstempel: Zeitpunkt des Eingangs vs. Zeitpunkt der Zustellung — rechtlich relevant bei Vertragsabschlüssen per SMS</w:t>
      </w:r>
    </w:p>
    <w:p w14:paraId="63EE5FE9"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EA" w14:textId="77777777" w:rsidR="00D1028B" w:rsidRPr="00260DEC" w:rsidRDefault="00892948">
      <w:pPr>
        <w:numPr>
          <w:ilvl w:val="0"/>
          <w:numId w:val="122"/>
        </w:numPr>
        <w:pBdr>
          <w:left w:val="single" w:sz="20" w:space="8" w:color="17A589"/>
        </w:pBdr>
        <w:shd w:val="clear" w:color="auto" w:fill="EAF7F4"/>
        <w:spacing w:before="40" w:after="40"/>
        <w:ind w:left="240"/>
        <w:rPr>
          <w:lang w:val="de-AT"/>
        </w:rPr>
      </w:pPr>
      <w:r>
        <w:rPr>
          <w:i/>
          <w:iCs/>
          <w:color w:val="0D4035"/>
          <w:sz w:val="20"/>
          <w:szCs w:val="20"/>
          <w:lang w:val="de-AT"/>
        </w:rPr>
        <w:t>Roaming-Verbindungszeitstempel über Ländergrenzen als CGTA normiert: Abrechnungsstreitigkeiten zwischen Heimnetz und Besuchnetz werden durch eindeutige Zeitreferenzen reduziert</w:t>
      </w:r>
    </w:p>
    <w:p w14:paraId="63EE5FEB" w14:textId="77777777" w:rsidR="00D1028B" w:rsidRPr="00260DEC" w:rsidRDefault="00892948">
      <w:pPr>
        <w:numPr>
          <w:ilvl w:val="0"/>
          <w:numId w:val="122"/>
        </w:numPr>
        <w:pBdr>
          <w:left w:val="single" w:sz="20" w:space="8" w:color="17A589"/>
        </w:pBdr>
        <w:shd w:val="clear" w:color="auto" w:fill="EAF7F4"/>
        <w:spacing w:before="40" w:after="40"/>
        <w:ind w:left="240"/>
        <w:rPr>
          <w:lang w:val="de-AT"/>
        </w:rPr>
      </w:pPr>
      <w:r>
        <w:rPr>
          <w:i/>
          <w:iCs/>
          <w:color w:val="0D4035"/>
          <w:sz w:val="20"/>
          <w:szCs w:val="20"/>
          <w:lang w:val="de-AT"/>
        </w:rPr>
        <w:t>Handover-Zeitpunkte zwischen Funkzellen als CGTA erfasst ermöglichen präzise Netzqualitätsanalysen unabhängig von lokalen Systemuhren der Basisstationen</w:t>
      </w:r>
    </w:p>
    <w:p w14:paraId="63EE5FEC" w14:textId="77777777" w:rsidR="00D1028B" w:rsidRPr="00260DEC" w:rsidRDefault="00892948">
      <w:pPr>
        <w:numPr>
          <w:ilvl w:val="0"/>
          <w:numId w:val="122"/>
        </w:numPr>
        <w:pBdr>
          <w:left w:val="single" w:sz="20" w:space="8" w:color="17A589"/>
        </w:pBdr>
        <w:shd w:val="clear" w:color="auto" w:fill="EAF7F4"/>
        <w:spacing w:before="40" w:after="40"/>
        <w:ind w:left="240"/>
        <w:rPr>
          <w:lang w:val="de-AT"/>
        </w:rPr>
      </w:pPr>
      <w:r>
        <w:rPr>
          <w:i/>
          <w:iCs/>
          <w:color w:val="0D4035"/>
          <w:sz w:val="20"/>
          <w:szCs w:val="20"/>
          <w:lang w:val="de-AT"/>
        </w:rPr>
        <w:t>MVNO-Abrechnungsschnittstellen (Mobile Virtual Network Operators) erhalten durch CGTA einen normierten Zeittyp — Cross-Carrier-Reconciliation ohne manuelle Zeitoffset-Korrekturen</w:t>
      </w:r>
    </w:p>
    <w:p w14:paraId="63EE5FED" w14:textId="77777777" w:rsidR="00D1028B" w:rsidRDefault="00892948">
      <w:pPr>
        <w:pStyle w:val="berschrift3"/>
      </w:pPr>
      <w:bookmarkStart w:id="170" w:name="satellitentelekommunikation"/>
      <w:bookmarkStart w:id="171" w:name="_Toc226451961"/>
      <w:bookmarkEnd w:id="168"/>
      <w:r>
        <w:t>14.5 Satellitentelekommunikation</w:t>
      </w:r>
      <w:bookmarkEnd w:id="171"/>
    </w:p>
    <w:p w14:paraId="63EE5FEE" w14:textId="77777777" w:rsidR="00D1028B" w:rsidRPr="00260DEC" w:rsidRDefault="00892948">
      <w:pPr>
        <w:numPr>
          <w:ilvl w:val="0"/>
          <w:numId w:val="123"/>
        </w:numPr>
        <w:rPr>
          <w:lang w:val="de-AT"/>
        </w:rPr>
      </w:pPr>
      <w:r>
        <w:rPr>
          <w:lang w:val="de-AT"/>
        </w:rPr>
        <w:t>LEO-Satelliten (Starlink, OneWeb): Sehr hohe Relativgeschwindigkeit erfordert relativistische Zeitkorrektur für Präzisionsanwendungen</w:t>
      </w:r>
    </w:p>
    <w:p w14:paraId="63EE5FEF" w14:textId="77777777" w:rsidR="00D1028B" w:rsidRPr="00260DEC" w:rsidRDefault="00892948">
      <w:pPr>
        <w:numPr>
          <w:ilvl w:val="0"/>
          <w:numId w:val="123"/>
        </w:numPr>
        <w:rPr>
          <w:lang w:val="de-AT"/>
        </w:rPr>
      </w:pPr>
      <w:r>
        <w:rPr>
          <w:lang w:val="de-AT"/>
        </w:rPr>
        <w:t>Geostationäre Satelliten: Signallaufzeit von ~240ms — muss in Zeitstempeln von Übertragungen berücksichtigt werden</w:t>
      </w:r>
    </w:p>
    <w:p w14:paraId="63EE5FF0" w14:textId="77777777" w:rsidR="00D1028B" w:rsidRPr="00260DEC" w:rsidRDefault="00892948">
      <w:pPr>
        <w:numPr>
          <w:ilvl w:val="0"/>
          <w:numId w:val="123"/>
        </w:numPr>
        <w:rPr>
          <w:lang w:val="de-AT"/>
        </w:rPr>
      </w:pPr>
      <w:r>
        <w:rPr>
          <w:lang w:val="de-AT"/>
        </w:rPr>
        <w:lastRenderedPageBreak/>
        <w:t>Satelliten-Breitband für Avionik: Bordsysteme synchronisieren Zeit über Satellit — ohne universellen Applikationsstandard</w:t>
      </w:r>
    </w:p>
    <w:p w14:paraId="63EE5FF1"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F2" w14:textId="77777777" w:rsidR="00D1028B" w:rsidRDefault="00892948">
      <w:pPr>
        <w:numPr>
          <w:ilvl w:val="0"/>
          <w:numId w:val="124"/>
        </w:numPr>
        <w:pBdr>
          <w:left w:val="single" w:sz="20" w:space="8" w:color="17A589"/>
        </w:pBdr>
        <w:shd w:val="clear" w:color="auto" w:fill="EAF7F4"/>
        <w:spacing w:before="40" w:after="40"/>
        <w:ind w:left="240"/>
      </w:pPr>
      <w:r>
        <w:rPr>
          <w:i/>
          <w:iCs/>
          <w:color w:val="0D4035"/>
          <w:sz w:val="20"/>
          <w:szCs w:val="20"/>
        </w:rPr>
        <w:t>Satelliten-Telekommunikation operiert mit GPS-Zeit, TT (Terrestrial Time) und UTC — CTDDL modelliert diese Domains formal; CGTA-Konvertierung ist deterministisch und verlustfrei</w:t>
      </w:r>
    </w:p>
    <w:p w14:paraId="63EE5FF3" w14:textId="77777777" w:rsidR="00D1028B" w:rsidRDefault="00892948">
      <w:pPr>
        <w:numPr>
          <w:ilvl w:val="0"/>
          <w:numId w:val="124"/>
        </w:numPr>
        <w:pBdr>
          <w:left w:val="single" w:sz="20" w:space="8" w:color="17A589"/>
        </w:pBdr>
        <w:shd w:val="clear" w:color="auto" w:fill="EAF7F4"/>
        <w:spacing w:before="40" w:after="40"/>
        <w:ind w:left="240"/>
      </w:pPr>
      <w:r>
        <w:rPr>
          <w:i/>
          <w:iCs/>
          <w:color w:val="0D4035"/>
          <w:sz w:val="20"/>
          <w:szCs w:val="20"/>
        </w:rPr>
        <w:t>Doppler-kompensierte Zeitstempel für LEO-Satelliten (Starlink, OneWeb) als CGTA: relativistische Korrekturen werden durch das ChronoGrid-Klasse-B-Mapping (Lorentz-Faktor) formal beschrieben</w:t>
      </w:r>
    </w:p>
    <w:p w14:paraId="63EE5FF4" w14:textId="77777777" w:rsidR="00D1028B" w:rsidRPr="00260DEC" w:rsidRDefault="00892948">
      <w:pPr>
        <w:numPr>
          <w:ilvl w:val="0"/>
          <w:numId w:val="124"/>
        </w:numPr>
        <w:pBdr>
          <w:left w:val="single" w:sz="20" w:space="8" w:color="17A589"/>
        </w:pBdr>
        <w:shd w:val="clear" w:color="auto" w:fill="EAF7F4"/>
        <w:spacing w:before="40" w:after="40"/>
        <w:ind w:left="240"/>
        <w:rPr>
          <w:lang w:val="de-AT"/>
        </w:rPr>
      </w:pPr>
      <w:r>
        <w:rPr>
          <w:i/>
          <w:iCs/>
          <w:color w:val="0D4035"/>
          <w:sz w:val="20"/>
          <w:szCs w:val="20"/>
          <w:lang w:val="de-AT"/>
        </w:rPr>
        <w:t>Gateways zwischen Satellitennetz und terrestrischem Internet erhalten eine normierte Zeitübersetzungsschicht — Latenzmessungen und QoS-Metriken werden über Segmente hinweg vergleichbar</w:t>
      </w:r>
    </w:p>
    <w:p w14:paraId="63EE5FF5" w14:textId="77777777" w:rsidR="00D1028B" w:rsidRPr="00260DEC" w:rsidRDefault="00892948">
      <w:pPr>
        <w:pStyle w:val="berschrift1"/>
        <w:rPr>
          <w:lang w:val="de-AT"/>
        </w:rPr>
      </w:pPr>
      <w:bookmarkStart w:id="172" w:name="X9b5ba93445043e2f68bce27ca939c632018de16"/>
      <w:bookmarkStart w:id="173" w:name="_Toc226451962"/>
      <w:bookmarkEnd w:id="148"/>
      <w:bookmarkEnd w:id="160"/>
      <w:bookmarkEnd w:id="170"/>
      <w:r>
        <w:rPr>
          <w:lang w:val="de-AT"/>
        </w:rPr>
        <w:t>Teil VI: Rechtswesen, Personalverwaltung und Versicherung</w:t>
      </w:r>
      <w:bookmarkEnd w:id="173"/>
    </w:p>
    <w:p w14:paraId="63EE5FF6" w14:textId="77777777" w:rsidR="00D1028B" w:rsidRPr="00260DEC" w:rsidRDefault="00892948">
      <w:pPr>
        <w:pStyle w:val="berschrift2"/>
        <w:rPr>
          <w:lang w:val="de-AT"/>
        </w:rPr>
      </w:pPr>
      <w:bookmarkStart w:id="174" w:name="recht-justiz"/>
      <w:bookmarkStart w:id="175" w:name="_Toc226451963"/>
      <w:r>
        <w:rPr>
          <w:lang w:val="de-AT"/>
        </w:rPr>
        <w:t>15 Recht &amp; Justiz</w:t>
      </w:r>
      <w:bookmarkEnd w:id="175"/>
    </w:p>
    <w:p w14:paraId="63EE5FF7" w14:textId="77777777" w:rsidR="00D1028B" w:rsidRPr="00260DEC" w:rsidRDefault="00892948">
      <w:pPr>
        <w:rPr>
          <w:lang w:val="de-AT"/>
        </w:rPr>
      </w:pPr>
      <w:r>
        <w:rPr>
          <w:lang w:val="de-AT"/>
        </w:rPr>
        <w:t>Das Rechtssystem ist in seiner Grundstruktur zeitabhängig: Fristen, Verjährungszeiten, Vertragsmomente und Beweismittel sind allesamt zeitgebunden. Die Digitalisierung hat die Komplexität massiv erhöht, ohne den Zeitstandard zu modernisieren.</w:t>
      </w:r>
    </w:p>
    <w:p w14:paraId="63EE5FF8" w14:textId="77777777" w:rsidR="00D1028B" w:rsidRPr="00260DEC" w:rsidRDefault="00892948">
      <w:pPr>
        <w:pStyle w:val="berschrift3"/>
        <w:rPr>
          <w:lang w:val="de-AT"/>
        </w:rPr>
      </w:pPr>
      <w:bookmarkStart w:id="176" w:name="Xc3da4740fb29a9dbaee58a6e3203d5cc41930fd"/>
      <w:bookmarkStart w:id="177" w:name="_Toc226451964"/>
      <w:r>
        <w:rPr>
          <w:lang w:val="de-AT"/>
        </w:rPr>
        <w:t>15.1 Patentrecht: First-to-File und Prioritätszeitpunkte</w:t>
      </w:r>
      <w:bookmarkEnd w:id="177"/>
    </w:p>
    <w:p w14:paraId="63EE5FF9" w14:textId="77777777" w:rsidR="00D1028B" w:rsidRPr="00260DEC" w:rsidRDefault="00892948">
      <w:pPr>
        <w:rPr>
          <w:lang w:val="de-AT"/>
        </w:rPr>
      </w:pPr>
      <w:r>
        <w:rPr>
          <w:i/>
          <w:iCs/>
          <w:lang w:val="de-AT"/>
        </w:rPr>
        <w:t>Im modernen Patentrecht (seit America Invents Act 2013 auch in den USA) gilt das First-to-File-Prinzip: Wer die Patentanmeldung eine Sekunde früher einreicht, erhält das Patent. Bei Simultaneumeldungen in verschiedenen Ländern ist der exakte Zeitstempel der Einreichung rechtsentscheidend — und es gibt keinen universellen Standard, wie dieser zu definieren ist.</w:t>
      </w:r>
    </w:p>
    <w:p w14:paraId="63EE5FFA" w14:textId="77777777" w:rsidR="00D1028B" w:rsidRPr="00260DEC" w:rsidRDefault="00892948">
      <w:pPr>
        <w:numPr>
          <w:ilvl w:val="0"/>
          <w:numId w:val="125"/>
        </w:numPr>
        <w:rPr>
          <w:lang w:val="de-AT"/>
        </w:rPr>
      </w:pPr>
      <w:r>
        <w:rPr>
          <w:lang w:val="de-AT"/>
        </w:rPr>
        <w:t>Prioritätsdatum (Pariser Übereinkommen): Wer zuerst in einem Mitgliedsstaat einreicht, hat 12 Monate Priorität für internationale Anmeldungen — der genaue Zeitpunkt der Ersteinreichung ist entscheidend</w:t>
      </w:r>
    </w:p>
    <w:p w14:paraId="63EE5FFB" w14:textId="77777777" w:rsidR="00D1028B" w:rsidRPr="00260DEC" w:rsidRDefault="00892948">
      <w:pPr>
        <w:numPr>
          <w:ilvl w:val="0"/>
          <w:numId w:val="125"/>
        </w:numPr>
        <w:rPr>
          <w:lang w:val="de-AT"/>
        </w:rPr>
      </w:pPr>
      <w:r>
        <w:rPr>
          <w:lang w:val="de-AT"/>
        </w:rPr>
        <w:t>PCT-Anmeldungen (Patent Cooperation Treaty): Internationale Einreichung über WIPO — Zeitstempel der nationalen Ämter (EPA, USPTO, JPO) sind nicht vollständig synchronisiert</w:t>
      </w:r>
    </w:p>
    <w:p w14:paraId="63EE5FFC" w14:textId="77777777" w:rsidR="00D1028B" w:rsidRPr="00260DEC" w:rsidRDefault="00892948">
      <w:pPr>
        <w:numPr>
          <w:ilvl w:val="0"/>
          <w:numId w:val="125"/>
        </w:numPr>
        <w:rPr>
          <w:lang w:val="de-AT"/>
        </w:rPr>
      </w:pPr>
      <w:r>
        <w:rPr>
          <w:lang w:val="de-AT"/>
        </w:rPr>
        <w:t>Österreichisches Patentamt und EPA: Digitale Einreichungssysteme mit eigenen Zeitzonendefinitionen — Grenzfälle bei Mitternacht-Einreichungen dokumentiert</w:t>
      </w:r>
    </w:p>
    <w:p w14:paraId="63EE5FFD" w14:textId="77777777" w:rsidR="00D1028B" w:rsidRDefault="00892948">
      <w:pPr>
        <w:numPr>
          <w:ilvl w:val="0"/>
          <w:numId w:val="125"/>
        </w:numPr>
      </w:pPr>
      <w:r>
        <w:rPr>
          <w:lang w:val="de-AT"/>
        </w:rPr>
        <w:t xml:space="preserve">Prior Art (Stand der Technik): Datum der Veröffentlichung bestimmt, ob etwas als Prior Art gilt. </w:t>
      </w:r>
      <w:r>
        <w:t>Zeitstempel von Online-Veröffentlichungen sind oft ambig</w:t>
      </w:r>
    </w:p>
    <w:p w14:paraId="63EE5FFE"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5FFF" w14:textId="77777777" w:rsidR="00D1028B" w:rsidRDefault="00892948">
      <w:pPr>
        <w:numPr>
          <w:ilvl w:val="0"/>
          <w:numId w:val="126"/>
        </w:numPr>
        <w:pBdr>
          <w:left w:val="single" w:sz="20" w:space="8" w:color="17A589"/>
        </w:pBdr>
        <w:shd w:val="clear" w:color="auto" w:fill="EAF7F4"/>
        <w:spacing w:before="40" w:after="40"/>
        <w:ind w:left="240"/>
      </w:pPr>
      <w:r>
        <w:rPr>
          <w:i/>
          <w:iCs/>
          <w:color w:val="0D4035"/>
          <w:sz w:val="20"/>
          <w:szCs w:val="20"/>
        </w:rPr>
        <w:t>First-to-File-Prioritätszeitpunkte als CGTA sind gerichtsfest und manipulationsresistent — der absolute Einreichungszeitpunkt (TAI-basiert) ist jurisdiktionsübergreifend eindeutig, ohne Abhängigkeit von Patentamts-Lokalzeit</w:t>
      </w:r>
    </w:p>
    <w:p w14:paraId="63EE6000" w14:textId="77777777" w:rsidR="00D1028B" w:rsidRPr="00260DEC" w:rsidRDefault="00892948">
      <w:pPr>
        <w:numPr>
          <w:ilvl w:val="0"/>
          <w:numId w:val="126"/>
        </w:numPr>
        <w:pBdr>
          <w:left w:val="single" w:sz="20" w:space="8" w:color="17A589"/>
        </w:pBdr>
        <w:shd w:val="clear" w:color="auto" w:fill="EAF7F4"/>
        <w:spacing w:before="40" w:after="40"/>
        <w:ind w:left="240"/>
        <w:rPr>
          <w:lang w:val="de-AT"/>
        </w:rPr>
      </w:pPr>
      <w:r>
        <w:rPr>
          <w:i/>
          <w:iCs/>
          <w:color w:val="0D4035"/>
          <w:sz w:val="20"/>
          <w:szCs w:val="20"/>
          <w:lang w:val="de-AT"/>
        </w:rPr>
        <w:t>Pariser Verbandsübereinkunft-Prioritätsfristen (12 Monate) als CTDDL-Intervalle modelliert: Fristende ist deterministisch berechenbar, unabhängig von Feiertagen und DST-Wechseln der Zieljurisdiktion</w:t>
      </w:r>
    </w:p>
    <w:p w14:paraId="63EE6001" w14:textId="77777777" w:rsidR="00D1028B" w:rsidRPr="00260DEC" w:rsidRDefault="00892948">
      <w:pPr>
        <w:numPr>
          <w:ilvl w:val="0"/>
          <w:numId w:val="126"/>
        </w:numPr>
        <w:pBdr>
          <w:left w:val="single" w:sz="20" w:space="8" w:color="17A589"/>
        </w:pBdr>
        <w:shd w:val="clear" w:color="auto" w:fill="EAF7F4"/>
        <w:spacing w:before="40" w:after="40"/>
        <w:ind w:left="240"/>
        <w:rPr>
          <w:lang w:val="de-AT"/>
        </w:rPr>
      </w:pPr>
      <w:r>
        <w:rPr>
          <w:i/>
          <w:iCs/>
          <w:color w:val="0D4035"/>
          <w:sz w:val="20"/>
          <w:szCs w:val="20"/>
          <w:lang w:val="de-AT"/>
        </w:rPr>
        <w:t>CGTA als Zeitstandard für digitale Patenteinreichungssysteme (EPO, USPTO, WIPO) ermöglicht maschinenlesbare, unveränderliche Einreichungsnachweise ohne Trust-Service-Provider</w:t>
      </w:r>
    </w:p>
    <w:p w14:paraId="63EE6002" w14:textId="77777777" w:rsidR="00D1028B" w:rsidRPr="00260DEC" w:rsidRDefault="00892948">
      <w:pPr>
        <w:numPr>
          <w:ilvl w:val="0"/>
          <w:numId w:val="126"/>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03" w14:textId="77777777" w:rsidR="00D1028B" w:rsidRPr="00260DEC" w:rsidRDefault="00892948">
      <w:pPr>
        <w:pStyle w:val="berschrift3"/>
        <w:rPr>
          <w:lang w:val="de-AT"/>
        </w:rPr>
      </w:pPr>
      <w:bookmarkStart w:id="178" w:name="digitale-beweismittel"/>
      <w:bookmarkStart w:id="179" w:name="_Toc226451965"/>
      <w:bookmarkEnd w:id="176"/>
      <w:r>
        <w:rPr>
          <w:lang w:val="de-AT"/>
        </w:rPr>
        <w:lastRenderedPageBreak/>
        <w:t>15.2 Digitale Beweismittel</w:t>
      </w:r>
      <w:bookmarkEnd w:id="179"/>
    </w:p>
    <w:p w14:paraId="63EE6004" w14:textId="77777777" w:rsidR="00D1028B" w:rsidRPr="00260DEC" w:rsidRDefault="00892948">
      <w:pPr>
        <w:rPr>
          <w:lang w:val="de-AT"/>
        </w:rPr>
      </w:pPr>
      <w:r>
        <w:rPr>
          <w:lang w:val="de-AT"/>
        </w:rPr>
        <w:t>Die Verwertung digitaler Beweismittel in Gerichtsverfahren nimmt massiv zu — E-Mails, Chat-Verläufe, Social-Media-Posts, Dokumenten-Metadaten, Systemlogs. All diese Beweismittel tragen Zeitstempel, deren Zuverlässigkeit und Manipulationsfreiheit vor Gericht geprüft werden muss:</w:t>
      </w:r>
    </w:p>
    <w:p w14:paraId="63EE6005" w14:textId="77777777" w:rsidR="00D1028B" w:rsidRDefault="00892948">
      <w:pPr>
        <w:numPr>
          <w:ilvl w:val="0"/>
          <w:numId w:val="127"/>
        </w:numPr>
      </w:pPr>
      <w:r>
        <w:rPr>
          <w:lang w:val="de-AT"/>
        </w:rPr>
        <w:t xml:space="preserve">EXIF-Metadaten von Fotos: Aufnahmezeitpunkt ist in der Kamera-Systemzeit gespeichert. </w:t>
      </w:r>
      <w:r>
        <w:t>Diese kann manuell verändert werden — Nachweis der Unverändertheit schwierig</w:t>
      </w:r>
    </w:p>
    <w:p w14:paraId="63EE6006" w14:textId="77777777" w:rsidR="00D1028B" w:rsidRDefault="00892948">
      <w:pPr>
        <w:numPr>
          <w:ilvl w:val="0"/>
          <w:numId w:val="127"/>
        </w:numPr>
      </w:pPr>
      <w:r>
        <w:rPr>
          <w:lang w:val="de-AT"/>
        </w:rPr>
        <w:t xml:space="preserve">E-Mail-Header-Zeitstempel: Jeder Mail-Server fügt eigene Zeitstempel hinzu. </w:t>
      </w:r>
      <w:r>
        <w:t>Manipulation möglich, Nachweis komplex</w:t>
      </w:r>
    </w:p>
    <w:p w14:paraId="63EE6007" w14:textId="77777777" w:rsidR="00D1028B" w:rsidRPr="00260DEC" w:rsidRDefault="00892948">
      <w:pPr>
        <w:numPr>
          <w:ilvl w:val="0"/>
          <w:numId w:val="127"/>
        </w:numPr>
        <w:rPr>
          <w:lang w:val="de-AT"/>
        </w:rPr>
      </w:pPr>
      <w:r>
        <w:rPr>
          <w:lang w:val="de-AT"/>
        </w:rPr>
        <w:t>Chat-Protokolle (WhatsApp, Signal, Telegram): Zeitstempel im Export sind abhängig von Geräte-Systemzeit und Backup-Zeitpunkt</w:t>
      </w:r>
    </w:p>
    <w:p w14:paraId="63EE6008" w14:textId="77777777" w:rsidR="00D1028B" w:rsidRPr="00260DEC" w:rsidRDefault="00892948">
      <w:pPr>
        <w:numPr>
          <w:ilvl w:val="0"/>
          <w:numId w:val="127"/>
        </w:numPr>
        <w:rPr>
          <w:lang w:val="de-AT"/>
        </w:rPr>
      </w:pPr>
      <w:r>
        <w:rPr>
          <w:lang w:val="de-AT"/>
        </w:rPr>
        <w:t>Systemlog-Forensik: NTFS-Dateisystem speichert Created/Modified/Accessed-Zeiten — alle manipulierbar ohne Spurenhinweise</w:t>
      </w:r>
    </w:p>
    <w:p w14:paraId="63EE6009" w14:textId="77777777" w:rsidR="00D1028B" w:rsidRPr="00260DEC" w:rsidRDefault="00892948">
      <w:pPr>
        <w:numPr>
          <w:ilvl w:val="0"/>
          <w:numId w:val="127"/>
        </w:numPr>
        <w:rPr>
          <w:lang w:val="de-AT"/>
        </w:rPr>
      </w:pPr>
      <w:r>
        <w:rPr>
          <w:lang w:val="de-AT"/>
        </w:rPr>
        <w:t>Blockchain-Zeitstempel: Werden oft für Beweissicherung verwendet — aber Block Timestamps sind manipulierbar (s. Kapitel Gaming-Dokument)</w:t>
      </w:r>
    </w:p>
    <w:p w14:paraId="63EE600A"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0B" w14:textId="77777777" w:rsidR="00D1028B" w:rsidRPr="00260DEC" w:rsidRDefault="00892948">
      <w:pPr>
        <w:numPr>
          <w:ilvl w:val="0"/>
          <w:numId w:val="128"/>
        </w:numPr>
        <w:pBdr>
          <w:left w:val="single" w:sz="20" w:space="8" w:color="17A589"/>
        </w:pBdr>
        <w:shd w:val="clear" w:color="auto" w:fill="EAF7F4"/>
        <w:spacing w:before="40" w:after="40"/>
        <w:ind w:left="240"/>
        <w:rPr>
          <w:lang w:val="de-AT"/>
        </w:rPr>
      </w:pPr>
      <w:r>
        <w:rPr>
          <w:i/>
          <w:iCs/>
          <w:color w:val="0D4035"/>
          <w:sz w:val="20"/>
          <w:szCs w:val="20"/>
          <w:lang w:val="de-AT"/>
        </w:rPr>
        <w:t>Digitale Beweismittel (Logs, E-Mails, Metadaten) mit CGTA-Zeitstempeln sind gerichtsfest: der absolute Entstehungszeitpunkt ist von Systemkonfigurationsfehlern und Zeitzonenmanipulationen unabhängig</w:t>
      </w:r>
    </w:p>
    <w:p w14:paraId="63EE600C" w14:textId="77777777" w:rsidR="00D1028B" w:rsidRPr="00260DEC" w:rsidRDefault="00892948">
      <w:pPr>
        <w:numPr>
          <w:ilvl w:val="0"/>
          <w:numId w:val="128"/>
        </w:numPr>
        <w:pBdr>
          <w:left w:val="single" w:sz="20" w:space="8" w:color="17A589"/>
        </w:pBdr>
        <w:shd w:val="clear" w:color="auto" w:fill="EAF7F4"/>
        <w:spacing w:before="40" w:after="40"/>
        <w:ind w:left="240"/>
        <w:rPr>
          <w:lang w:val="de-AT"/>
        </w:rPr>
      </w:pPr>
      <w:r>
        <w:rPr>
          <w:i/>
          <w:iCs/>
          <w:color w:val="0D4035"/>
          <w:sz w:val="20"/>
          <w:szCs w:val="20"/>
          <w:lang w:val="de-AT"/>
        </w:rPr>
        <w:t>Kettenbeweisführung (Chain of Custody) für digitale Artefakte wird durch CGTA-Zeitstempel lückenlos — jede Bearbeitung, Übertragung und Sicherung erhält einen unveränderlichen CGTA-Eintrag</w:t>
      </w:r>
    </w:p>
    <w:p w14:paraId="63EE600D" w14:textId="77777777" w:rsidR="00D1028B" w:rsidRPr="00260DEC" w:rsidRDefault="00892948">
      <w:pPr>
        <w:numPr>
          <w:ilvl w:val="0"/>
          <w:numId w:val="128"/>
        </w:numPr>
        <w:pBdr>
          <w:left w:val="single" w:sz="20" w:space="8" w:color="17A589"/>
        </w:pBdr>
        <w:shd w:val="clear" w:color="auto" w:fill="EAF7F4"/>
        <w:spacing w:before="40" w:after="40"/>
        <w:ind w:left="240"/>
        <w:rPr>
          <w:lang w:val="de-AT"/>
        </w:rPr>
      </w:pPr>
      <w:r>
        <w:rPr>
          <w:i/>
          <w:iCs/>
          <w:color w:val="0D4035"/>
          <w:sz w:val="20"/>
          <w:szCs w:val="20"/>
          <w:lang w:val="de-AT"/>
        </w:rPr>
        <w:t>Forensische Korrelation über heterogene Systeme (Windows-Event-Logs, Linux-syslog, Netzwerk-Captures): CGTA als gemeinsame Zeitreferenz eliminiert die häufigste Quelle forensischer Fehler</w:t>
      </w:r>
    </w:p>
    <w:p w14:paraId="63EE600E" w14:textId="77777777" w:rsidR="00D1028B" w:rsidRPr="00260DEC" w:rsidRDefault="00892948">
      <w:pPr>
        <w:numPr>
          <w:ilvl w:val="0"/>
          <w:numId w:val="128"/>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Log-Forensik → </w:t>
      </w:r>
      <w:r>
        <w:rPr>
          <w:b/>
          <w:bCs/>
          <w:i/>
          <w:iCs/>
          <w:color w:val="0D4035"/>
          <w:sz w:val="20"/>
          <w:szCs w:val="20"/>
          <w:lang w:val="de-AT"/>
        </w:rPr>
        <w:t>Anhang B.5</w:t>
      </w:r>
    </w:p>
    <w:p w14:paraId="63EE600F" w14:textId="77777777" w:rsidR="00D1028B" w:rsidRDefault="00892948">
      <w:pPr>
        <w:pStyle w:val="berschrift3"/>
      </w:pPr>
      <w:bookmarkStart w:id="180" w:name="gerichtsfristen-und-verfahrensrecht"/>
      <w:bookmarkStart w:id="181" w:name="_Toc226451966"/>
      <w:bookmarkEnd w:id="178"/>
      <w:r>
        <w:t>15.3 Gerichtsfristen und Verfahrensrecht</w:t>
      </w:r>
      <w:bookmarkEnd w:id="181"/>
    </w:p>
    <w:p w14:paraId="63EE6010" w14:textId="77777777" w:rsidR="00D1028B" w:rsidRDefault="00892948">
      <w:pPr>
        <w:numPr>
          <w:ilvl w:val="0"/>
          <w:numId w:val="129"/>
        </w:numPr>
      </w:pPr>
      <w:r>
        <w:rPr>
          <w:lang w:val="de-AT"/>
        </w:rPr>
        <w:t xml:space="preserve">Klagseinreichungsfristen: „Die Klage muss bis Mitternacht eingereicht werden” — Zeitzone des Gerichtsstandorts oder des Klägers? </w:t>
      </w:r>
      <w:r>
        <w:t>Österreich: Mitternacht Wien. Bei EU-Gerichten: unklar</w:t>
      </w:r>
    </w:p>
    <w:p w14:paraId="63EE6011" w14:textId="77777777" w:rsidR="00D1028B" w:rsidRPr="00260DEC" w:rsidRDefault="00892948">
      <w:pPr>
        <w:numPr>
          <w:ilvl w:val="0"/>
          <w:numId w:val="129"/>
        </w:numPr>
        <w:rPr>
          <w:lang w:val="de-AT"/>
        </w:rPr>
      </w:pPr>
      <w:r>
        <w:rPr>
          <w:lang w:val="de-AT"/>
        </w:rPr>
        <w:t>Verjährungsfristen: Berechnung über Jahre und Jahrzehnte — Schaltjahre, DST-Übergänge und Kalenderänderungen können zu Differenzen von Tagen führen</w:t>
      </w:r>
    </w:p>
    <w:p w14:paraId="63EE6012" w14:textId="77777777" w:rsidR="00D1028B" w:rsidRPr="00260DEC" w:rsidRDefault="00892948">
      <w:pPr>
        <w:numPr>
          <w:ilvl w:val="0"/>
          <w:numId w:val="129"/>
        </w:numPr>
        <w:rPr>
          <w:lang w:val="de-AT"/>
        </w:rPr>
      </w:pPr>
      <w:r>
        <w:rPr>
          <w:lang w:val="de-AT"/>
        </w:rPr>
        <w:t>Zustellungsnachweis: „Zugestellt am...” — bei elektronischer Zustellung (ERV in Österreich) ist der exakte Zeitpunkt Fristbeginn</w:t>
      </w:r>
    </w:p>
    <w:p w14:paraId="63EE6013" w14:textId="77777777" w:rsidR="00D1028B" w:rsidRDefault="00892948">
      <w:pPr>
        <w:numPr>
          <w:ilvl w:val="0"/>
          <w:numId w:val="129"/>
        </w:numPr>
      </w:pPr>
      <w:r>
        <w:rPr>
          <w:lang w:val="de-AT"/>
        </w:rPr>
        <w:t xml:space="preserve">Verhandlungsprotokoll: Beginn und Ende von Verhandlungen sind juristisch relevant. </w:t>
      </w:r>
      <w:r>
        <w:t>Systemuhren verschiedener Gerichtscomputer sind nicht synchronisiert</w:t>
      </w:r>
    </w:p>
    <w:p w14:paraId="63EE6014" w14:textId="77777777" w:rsidR="00D1028B" w:rsidRPr="00260DEC" w:rsidRDefault="00892948">
      <w:pPr>
        <w:numPr>
          <w:ilvl w:val="0"/>
          <w:numId w:val="129"/>
        </w:numPr>
        <w:rPr>
          <w:lang w:val="de-AT"/>
        </w:rPr>
      </w:pPr>
      <w:r>
        <w:rPr>
          <w:lang w:val="de-AT"/>
        </w:rPr>
        <w:t>Internationale Rechtshilfe: Fristen in Auslieferungsverfahren, Verkündung von Urteilen — über Zeitzonen hinweg ohne universellen Standard</w:t>
      </w:r>
    </w:p>
    <w:p w14:paraId="63EE6015"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16" w14:textId="77777777" w:rsidR="00D1028B" w:rsidRPr="00260DEC" w:rsidRDefault="00892948">
      <w:pPr>
        <w:numPr>
          <w:ilvl w:val="0"/>
          <w:numId w:val="130"/>
        </w:numPr>
        <w:pBdr>
          <w:left w:val="single" w:sz="20" w:space="8" w:color="17A589"/>
        </w:pBdr>
        <w:shd w:val="clear" w:color="auto" w:fill="EAF7F4"/>
        <w:spacing w:before="40" w:after="40"/>
        <w:ind w:left="240"/>
        <w:rPr>
          <w:lang w:val="de-AT"/>
        </w:rPr>
      </w:pPr>
      <w:r>
        <w:rPr>
          <w:i/>
          <w:iCs/>
          <w:color w:val="0D4035"/>
          <w:sz w:val="20"/>
          <w:szCs w:val="20"/>
          <w:lang w:val="de-AT"/>
        </w:rPr>
        <w:t>Gerichtsfristen (Einspruchsfristen, Berufungsfristen, Verjährungsfristen) als CTDDL-Intervalle modelliert: Fristende ist deterministisch berechenbar, auch über Feiertage, Gerichtsferien und Zeitzonenänderungen</w:t>
      </w:r>
    </w:p>
    <w:p w14:paraId="63EE6017" w14:textId="77777777" w:rsidR="00D1028B" w:rsidRPr="00260DEC" w:rsidRDefault="00892948">
      <w:pPr>
        <w:numPr>
          <w:ilvl w:val="0"/>
          <w:numId w:val="130"/>
        </w:numPr>
        <w:pBdr>
          <w:left w:val="single" w:sz="20" w:space="8" w:color="17A589"/>
        </w:pBdr>
        <w:shd w:val="clear" w:color="auto" w:fill="EAF7F4"/>
        <w:spacing w:before="40" w:after="40"/>
        <w:ind w:left="240"/>
        <w:rPr>
          <w:lang w:val="de-AT"/>
        </w:rPr>
      </w:pPr>
      <w:r>
        <w:rPr>
          <w:i/>
          <w:iCs/>
          <w:color w:val="0D4035"/>
          <w:sz w:val="20"/>
          <w:szCs w:val="20"/>
          <w:lang w:val="de-AT"/>
        </w:rPr>
        <w:lastRenderedPageBreak/>
        <w:t>Elektronische Zustellungszeitpunkte als CGTA archiviert sind unveränderlich und revisionssicher — CGTA ersetzt proprietäre Zeitstempellösungen von Gerichten und Behörden</w:t>
      </w:r>
    </w:p>
    <w:p w14:paraId="63EE6018" w14:textId="77777777" w:rsidR="00D1028B" w:rsidRPr="00260DEC" w:rsidRDefault="00892948">
      <w:pPr>
        <w:numPr>
          <w:ilvl w:val="0"/>
          <w:numId w:val="130"/>
        </w:numPr>
        <w:pBdr>
          <w:left w:val="single" w:sz="20" w:space="8" w:color="17A589"/>
        </w:pBdr>
        <w:shd w:val="clear" w:color="auto" w:fill="EAF7F4"/>
        <w:spacing w:before="40" w:after="40"/>
        <w:ind w:left="240"/>
        <w:rPr>
          <w:lang w:val="de-AT"/>
        </w:rPr>
      </w:pPr>
      <w:r>
        <w:rPr>
          <w:i/>
          <w:iCs/>
          <w:color w:val="0D4035"/>
          <w:sz w:val="20"/>
          <w:szCs w:val="20"/>
          <w:lang w:val="de-AT"/>
        </w:rPr>
        <w:t>Internationale Rechtshilfe: Fristen aus unterschiedlichen Jurisdiktionen werden durch CGTA auf eine gemeinsame Zeitreferenz normiert — Missverständnisse bei grenzüberschreitenden Verfahren reduzieren sich strukturell</w:t>
      </w:r>
    </w:p>
    <w:p w14:paraId="63EE6019" w14:textId="77777777" w:rsidR="00D1028B" w:rsidRPr="00260DEC" w:rsidRDefault="00892948">
      <w:pPr>
        <w:numPr>
          <w:ilvl w:val="0"/>
          <w:numId w:val="13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1A" w14:textId="77777777" w:rsidR="00D1028B" w:rsidRDefault="00892948">
      <w:pPr>
        <w:pStyle w:val="berschrift3"/>
      </w:pPr>
      <w:bookmarkStart w:id="182" w:name="vertragsrecht-und-elektronische-signatur"/>
      <w:bookmarkStart w:id="183" w:name="_Toc226451967"/>
      <w:bookmarkEnd w:id="180"/>
      <w:r>
        <w:t>15.4 Vertragsrecht und elektronische Signatur</w:t>
      </w:r>
      <w:bookmarkEnd w:id="183"/>
    </w:p>
    <w:p w14:paraId="63EE601B" w14:textId="77777777" w:rsidR="00D1028B" w:rsidRDefault="00892948">
      <w:pPr>
        <w:numPr>
          <w:ilvl w:val="0"/>
          <w:numId w:val="131"/>
        </w:numPr>
      </w:pPr>
      <w:r>
        <w:rPr>
          <w:lang w:val="de-AT"/>
        </w:rPr>
        <w:t xml:space="preserve">Vertragsschluss im Internet: Angebot und Annahme — nach österreichischem ABGB ist der Zeitpunkt des Zugangs der Annahmerklärung maßgeblich. </w:t>
      </w:r>
      <w:r>
        <w:t>Digital: welcher Server-Zeitstempel gilt?</w:t>
      </w:r>
    </w:p>
    <w:p w14:paraId="63EE601C" w14:textId="77777777" w:rsidR="00D1028B" w:rsidRPr="00260DEC" w:rsidRDefault="00892948">
      <w:pPr>
        <w:numPr>
          <w:ilvl w:val="0"/>
          <w:numId w:val="131"/>
        </w:numPr>
        <w:rPr>
          <w:lang w:val="de-AT"/>
        </w:rPr>
      </w:pPr>
      <w:r>
        <w:rPr>
          <w:lang w:val="de-AT"/>
        </w:rPr>
        <w:t>AGBs (Allgemeine Geschäftsbedingungen): Gültig ab wann? Änderungen mit Ankündigungsfrist — Zeitpunkt der Bekanntmachung ist rechtlich relevant</w:t>
      </w:r>
    </w:p>
    <w:p w14:paraId="63EE601D" w14:textId="77777777" w:rsidR="00D1028B" w:rsidRDefault="00892948">
      <w:pPr>
        <w:numPr>
          <w:ilvl w:val="0"/>
          <w:numId w:val="131"/>
        </w:numPr>
      </w:pPr>
      <w:r>
        <w:rPr>
          <w:lang w:val="de-AT"/>
        </w:rPr>
        <w:t xml:space="preserve">DSGVO-Einwilligung: Muss nachweisbar zu einem bestimmten Zeitpunkt erteilt worden sein. </w:t>
      </w:r>
      <w:r>
        <w:t>Zeitstempel des Consent-Management-Systems muss zuverlässig sein</w:t>
      </w:r>
    </w:p>
    <w:p w14:paraId="63EE601E" w14:textId="77777777" w:rsidR="00D1028B" w:rsidRPr="00260DEC" w:rsidRDefault="00892948">
      <w:pPr>
        <w:numPr>
          <w:ilvl w:val="0"/>
          <w:numId w:val="131"/>
        </w:numPr>
        <w:rPr>
          <w:lang w:val="de-AT"/>
        </w:rPr>
      </w:pPr>
      <w:r>
        <w:rPr>
          <w:lang w:val="de-AT"/>
        </w:rPr>
        <w:t>Widerrufsrecht (14 Tage): Beginn der Frist ab Vertragsschluss — welcher Zeitpunkt gilt bei asynchronen digitalen Vertragsabschlüssen?</w:t>
      </w:r>
    </w:p>
    <w:p w14:paraId="63EE601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20" w14:textId="77777777" w:rsidR="00D1028B" w:rsidRPr="00260DEC" w:rsidRDefault="00892948">
      <w:pPr>
        <w:numPr>
          <w:ilvl w:val="0"/>
          <w:numId w:val="132"/>
        </w:numPr>
        <w:pBdr>
          <w:left w:val="single" w:sz="20" w:space="8" w:color="17A589"/>
        </w:pBdr>
        <w:shd w:val="clear" w:color="auto" w:fill="EAF7F4"/>
        <w:spacing w:before="40" w:after="40"/>
        <w:ind w:left="240"/>
        <w:rPr>
          <w:lang w:val="de-AT"/>
        </w:rPr>
      </w:pPr>
      <w:r>
        <w:rPr>
          <w:i/>
          <w:iCs/>
          <w:color w:val="0D4035"/>
          <w:sz w:val="20"/>
          <w:szCs w:val="20"/>
          <w:lang w:val="de-AT"/>
        </w:rPr>
        <w:t>Elektronische Signaturen nach eIDAS mit CGTA-Zeitstempel: ChronoGrid kann als offener Zeitstandard für qualifizierte elektronische Zeitstempel (QTS) eingesetzt werden — kein proprietärer TSP erforderlich</w:t>
      </w:r>
    </w:p>
    <w:p w14:paraId="63EE6021" w14:textId="77777777" w:rsidR="00D1028B" w:rsidRPr="00260DEC" w:rsidRDefault="00892948">
      <w:pPr>
        <w:numPr>
          <w:ilvl w:val="0"/>
          <w:numId w:val="132"/>
        </w:numPr>
        <w:pBdr>
          <w:left w:val="single" w:sz="20" w:space="8" w:color="17A589"/>
        </w:pBdr>
        <w:shd w:val="clear" w:color="auto" w:fill="EAF7F4"/>
        <w:spacing w:before="40" w:after="40"/>
        <w:ind w:left="240"/>
        <w:rPr>
          <w:lang w:val="de-AT"/>
        </w:rPr>
      </w:pPr>
      <w:r>
        <w:rPr>
          <w:i/>
          <w:iCs/>
          <w:color w:val="0D4035"/>
          <w:sz w:val="20"/>
          <w:szCs w:val="20"/>
          <w:lang w:val="de-AT"/>
        </w:rPr>
        <w:t>Vertragserfüllungszeitpunkte als CGTA: bei automatisierten Verträgen (EDI, automatische Bestellprozesse) ist der Leistungszeitpunkt exakt und unveränderlich dokumentiert</w:t>
      </w:r>
    </w:p>
    <w:p w14:paraId="63EE6022" w14:textId="77777777" w:rsidR="00D1028B" w:rsidRPr="00260DEC" w:rsidRDefault="00892948">
      <w:pPr>
        <w:numPr>
          <w:ilvl w:val="0"/>
          <w:numId w:val="132"/>
        </w:numPr>
        <w:pBdr>
          <w:left w:val="single" w:sz="20" w:space="8" w:color="17A589"/>
        </w:pBdr>
        <w:shd w:val="clear" w:color="auto" w:fill="EAF7F4"/>
        <w:spacing w:before="40" w:after="40"/>
        <w:ind w:left="240"/>
        <w:rPr>
          <w:lang w:val="de-AT"/>
        </w:rPr>
      </w:pPr>
      <w:r>
        <w:rPr>
          <w:i/>
          <w:iCs/>
          <w:color w:val="0D4035"/>
          <w:sz w:val="20"/>
          <w:szCs w:val="20"/>
          <w:lang w:val="de-AT"/>
        </w:rPr>
        <w:t>Gewährleistungsfristen, Liefertermine und Zahlungsfristen als CTDDL-Intervalle sind über Jurisdiktionsgrenzen und Sprachversionen von Verträgen hinweg eindeutig interpretierbar</w:t>
      </w:r>
    </w:p>
    <w:p w14:paraId="63EE6023" w14:textId="77777777" w:rsidR="00D1028B" w:rsidRPr="00260DEC" w:rsidRDefault="00892948">
      <w:pPr>
        <w:numPr>
          <w:ilvl w:val="0"/>
          <w:numId w:val="132"/>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24" w14:textId="77777777" w:rsidR="00D1028B" w:rsidRPr="00260DEC" w:rsidRDefault="00892948">
      <w:pPr>
        <w:pStyle w:val="berschrift2"/>
        <w:rPr>
          <w:lang w:val="de-AT"/>
        </w:rPr>
      </w:pPr>
      <w:bookmarkStart w:id="184" w:name="personalwesen-hr"/>
      <w:bookmarkStart w:id="185" w:name="_Toc226451968"/>
      <w:bookmarkEnd w:id="174"/>
      <w:bookmarkEnd w:id="182"/>
      <w:r>
        <w:rPr>
          <w:lang w:val="de-AT"/>
        </w:rPr>
        <w:t>16 Personalwesen (HR)</w:t>
      </w:r>
      <w:bookmarkEnd w:id="185"/>
    </w:p>
    <w:p w14:paraId="63EE6025" w14:textId="77777777" w:rsidR="00D1028B" w:rsidRPr="00260DEC" w:rsidRDefault="00892948">
      <w:pPr>
        <w:rPr>
          <w:lang w:val="de-AT"/>
        </w:rPr>
      </w:pPr>
      <w:r>
        <w:rPr>
          <w:lang w:val="de-AT"/>
        </w:rPr>
        <w:t>Internationale Konzerne, Remote-Work-Modelle und globale Lieferketten haben das Personalwesen zu einer der zeitkritischsten Verwaltungsdomänen gemacht. Arbeitszeit, Löhne und Compliance hängen direkt von präzisen Zeitdefinitionen ab.</w:t>
      </w:r>
    </w:p>
    <w:p w14:paraId="63EE6026" w14:textId="77777777" w:rsidR="00D1028B" w:rsidRPr="00260DEC" w:rsidRDefault="00892948">
      <w:pPr>
        <w:pStyle w:val="berschrift3"/>
        <w:rPr>
          <w:lang w:val="de-AT"/>
        </w:rPr>
      </w:pPr>
      <w:bookmarkStart w:id="186" w:name="arbeitszeiterfassung-und-überstunden"/>
      <w:bookmarkStart w:id="187" w:name="_Toc226451969"/>
      <w:r>
        <w:rPr>
          <w:lang w:val="de-AT"/>
        </w:rPr>
        <w:t>16.1 Arbeitszeiterfassung und Überstunden</w:t>
      </w:r>
      <w:bookmarkEnd w:id="187"/>
    </w:p>
    <w:p w14:paraId="63EE6027" w14:textId="77777777" w:rsidR="00D1028B" w:rsidRPr="00260DEC" w:rsidRDefault="00892948">
      <w:pPr>
        <w:rPr>
          <w:lang w:val="de-AT"/>
        </w:rPr>
      </w:pPr>
      <w:r>
        <w:rPr>
          <w:i/>
          <w:iCs/>
          <w:lang w:val="de-AT"/>
        </w:rPr>
        <w:t>EuGH-Urteil 2019 (C-55/18): Arbeitgeber in der EU sind verpflichtet, Arbeitszeiten aller Mitarbeiter systematisch zu erfassen. Dieses Urteil hat den Bedarf an präzisen, rechtssicheren Zeitstempeln in HR-Systemen massiv erhöht.</w:t>
      </w:r>
    </w:p>
    <w:p w14:paraId="63EE6028" w14:textId="77777777" w:rsidR="00D1028B" w:rsidRDefault="00892948">
      <w:pPr>
        <w:numPr>
          <w:ilvl w:val="0"/>
          <w:numId w:val="133"/>
        </w:numPr>
      </w:pPr>
      <w:r>
        <w:rPr>
          <w:lang w:val="de-AT"/>
        </w:rPr>
        <w:t xml:space="preserve">Überstundenberechnung: „Mehr als 8 Stunden am Tag” — bei Nachtschichten, die über Mitternacht gehen, ist der „Tag” unklar definiert. </w:t>
      </w:r>
      <w:r>
        <w:t>Systeme berechnen falsch</w:t>
      </w:r>
    </w:p>
    <w:p w14:paraId="63EE6029" w14:textId="77777777" w:rsidR="00D1028B" w:rsidRDefault="00892948">
      <w:pPr>
        <w:numPr>
          <w:ilvl w:val="0"/>
          <w:numId w:val="133"/>
        </w:numPr>
      </w:pPr>
      <w:r>
        <w:rPr>
          <w:lang w:val="de-AT"/>
        </w:rPr>
        <w:t xml:space="preserve">Schichtwechsel über DST: Eine Nachtschicht von 22:00 bis 06:00 Uhr hat in der Nacht der Zeitumstellung entweder 7 oder 9 Stunden. </w:t>
      </w:r>
      <w:r>
        <w:t>Welches gilt für die Lohnberechnung?</w:t>
      </w:r>
    </w:p>
    <w:p w14:paraId="63EE602A" w14:textId="77777777" w:rsidR="00D1028B" w:rsidRPr="00260DEC" w:rsidRDefault="00892948">
      <w:pPr>
        <w:numPr>
          <w:ilvl w:val="0"/>
          <w:numId w:val="133"/>
        </w:numPr>
        <w:rPr>
          <w:lang w:val="de-AT"/>
        </w:rPr>
      </w:pPr>
      <w:r>
        <w:rPr>
          <w:lang w:val="de-AT"/>
        </w:rPr>
        <w:t>Gleitzeit-Systeme: Kernarbeitszeit „von 09:00 bis 15:00 Uhr” — für Remote-Mitarbeiter in verschiedenen Zeitzonen: lokale Zeit oder Firmenzeit?</w:t>
      </w:r>
    </w:p>
    <w:p w14:paraId="63EE602B" w14:textId="77777777" w:rsidR="00D1028B" w:rsidRPr="00260DEC" w:rsidRDefault="00892948">
      <w:pPr>
        <w:numPr>
          <w:ilvl w:val="0"/>
          <w:numId w:val="133"/>
        </w:numPr>
        <w:rPr>
          <w:lang w:val="de-AT"/>
        </w:rPr>
      </w:pPr>
      <w:r>
        <w:rPr>
          <w:lang w:val="de-AT"/>
        </w:rPr>
        <w:lastRenderedPageBreak/>
        <w:t>Reisezeiterfassung: Arbeitszeit während Geschäftsreisen über Zeitzonen — gesetzlich komplexe Regelungen, technisch kaum korrekt implementiert</w:t>
      </w:r>
    </w:p>
    <w:p w14:paraId="63EE602C" w14:textId="77777777" w:rsidR="00D1028B" w:rsidRPr="00260DEC" w:rsidRDefault="00892948">
      <w:pPr>
        <w:numPr>
          <w:ilvl w:val="0"/>
          <w:numId w:val="133"/>
        </w:numPr>
        <w:rPr>
          <w:lang w:val="de-AT"/>
        </w:rPr>
      </w:pPr>
      <w:r>
        <w:rPr>
          <w:lang w:val="de-AT"/>
        </w:rPr>
        <w:t>Homeoffice-Protokollierung: Einlogg- und Auslogg-Zeiten in VPN-Systemen — Server-Zeitzone vs. Mitarbeiter-Zeitzone</w:t>
      </w:r>
    </w:p>
    <w:p w14:paraId="63EE602D"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2E" w14:textId="77777777" w:rsidR="00D1028B" w:rsidRPr="00260DEC" w:rsidRDefault="00892948">
      <w:pPr>
        <w:numPr>
          <w:ilvl w:val="0"/>
          <w:numId w:val="134"/>
        </w:numPr>
        <w:pBdr>
          <w:left w:val="single" w:sz="20" w:space="8" w:color="17A589"/>
        </w:pBdr>
        <w:shd w:val="clear" w:color="auto" w:fill="EAF7F4"/>
        <w:spacing w:before="40" w:after="40"/>
        <w:ind w:left="240"/>
        <w:rPr>
          <w:lang w:val="de-AT"/>
        </w:rPr>
      </w:pPr>
      <w:r>
        <w:rPr>
          <w:i/>
          <w:iCs/>
          <w:color w:val="0D4035"/>
          <w:sz w:val="20"/>
          <w:szCs w:val="20"/>
          <w:lang w:val="de-AT"/>
        </w:rPr>
        <w:t>Arbeitszeiterfassung über Zeitzonen (Remote Work, Offshore-Teams) mit CGTA: jeder Arbeitsbeginn/-ende ist absolut und eindeutig — keine Ambiguität bei DST-Umstellung und Home-Office in anderer Zeitzone als Arbeitgeber</w:t>
      </w:r>
    </w:p>
    <w:p w14:paraId="63EE602F" w14:textId="77777777" w:rsidR="00D1028B" w:rsidRPr="00260DEC" w:rsidRDefault="00892948">
      <w:pPr>
        <w:numPr>
          <w:ilvl w:val="0"/>
          <w:numId w:val="134"/>
        </w:numPr>
        <w:pBdr>
          <w:left w:val="single" w:sz="20" w:space="8" w:color="17A589"/>
        </w:pBdr>
        <w:shd w:val="clear" w:color="auto" w:fill="EAF7F4"/>
        <w:spacing w:before="40" w:after="40"/>
        <w:ind w:left="240"/>
        <w:rPr>
          <w:lang w:val="de-AT"/>
        </w:rPr>
      </w:pPr>
      <w:r>
        <w:rPr>
          <w:i/>
          <w:iCs/>
          <w:color w:val="0D4035"/>
          <w:sz w:val="20"/>
          <w:szCs w:val="20"/>
          <w:lang w:val="de-AT"/>
        </w:rPr>
        <w:t>Überstundenberechnung über DST-Grenzen: der 25-Stunden-Tag im Oktober und der 23-Stunden-Tag im März sind mit CGTA korrekt berechenbar — gesetzliche Höchstarbeitszeiten werden nicht falsch gemessen</w:t>
      </w:r>
    </w:p>
    <w:p w14:paraId="63EE6030" w14:textId="77777777" w:rsidR="00D1028B" w:rsidRPr="00260DEC" w:rsidRDefault="00892948">
      <w:pPr>
        <w:numPr>
          <w:ilvl w:val="0"/>
          <w:numId w:val="134"/>
        </w:numPr>
        <w:pBdr>
          <w:left w:val="single" w:sz="20" w:space="8" w:color="17A589"/>
        </w:pBdr>
        <w:shd w:val="clear" w:color="auto" w:fill="EAF7F4"/>
        <w:spacing w:before="40" w:after="40"/>
        <w:ind w:left="240"/>
        <w:rPr>
          <w:lang w:val="de-AT"/>
        </w:rPr>
      </w:pPr>
      <w:r>
        <w:rPr>
          <w:i/>
          <w:iCs/>
          <w:color w:val="0D4035"/>
          <w:sz w:val="20"/>
          <w:szCs w:val="20"/>
          <w:lang w:val="de-AT"/>
        </w:rPr>
        <w:t>Tarifvertragliche Nacht-, Sonn- und Feiertagszuschläge als CTDDL-Domains modelliert: ChronoGrid ermöglicht automatisierte, fehlerfreie Zuschlagsberechnung über Jurisdiktionen und Schichtsysteme</w:t>
      </w:r>
    </w:p>
    <w:p w14:paraId="63EE6031" w14:textId="77777777" w:rsidR="00D1028B" w:rsidRDefault="00892948">
      <w:pPr>
        <w:pStyle w:val="berschrift3"/>
      </w:pPr>
      <w:bookmarkStart w:id="188" w:name="internationales-payroll"/>
      <w:bookmarkStart w:id="189" w:name="_Toc226451970"/>
      <w:bookmarkEnd w:id="186"/>
      <w:r>
        <w:t>16.2 Internationales Payroll</w:t>
      </w:r>
      <w:bookmarkEnd w:id="189"/>
    </w:p>
    <w:p w14:paraId="63EE6032" w14:textId="77777777" w:rsidR="00D1028B" w:rsidRDefault="00892948">
      <w:pPr>
        <w:numPr>
          <w:ilvl w:val="0"/>
          <w:numId w:val="135"/>
        </w:numPr>
      </w:pPr>
      <w:r>
        <w:rPr>
          <w:lang w:val="de-AT"/>
        </w:rPr>
        <w:t xml:space="preserve">Lohnperioden: Monatsgehalt für „Juni” endet am 30. Juni um 23:59:59 Uhr — welcher Zeitzone? </w:t>
      </w:r>
      <w:r>
        <w:t>Für Mitarbeiter in Sydney, Wien und New York unterschiedlich</w:t>
      </w:r>
    </w:p>
    <w:p w14:paraId="63EE6033" w14:textId="77777777" w:rsidR="00D1028B" w:rsidRDefault="00892948">
      <w:pPr>
        <w:numPr>
          <w:ilvl w:val="0"/>
          <w:numId w:val="135"/>
        </w:numPr>
      </w:pPr>
      <w:r>
        <w:rPr>
          <w:lang w:val="de-AT"/>
        </w:rPr>
        <w:t xml:space="preserve">Feiertags-Zuschläge: Arbeit am Feiertag wird zusätzlich vergütet. </w:t>
      </w:r>
      <w:r>
        <w:t>Feiertage sind länderspezifisch und zeitzonengebunden — bei internationalen Schichten unklar</w:t>
      </w:r>
    </w:p>
    <w:p w14:paraId="63EE6034" w14:textId="77777777" w:rsidR="00D1028B" w:rsidRDefault="00892948">
      <w:pPr>
        <w:numPr>
          <w:ilvl w:val="0"/>
          <w:numId w:val="135"/>
        </w:numPr>
      </w:pPr>
      <w:r>
        <w:rPr>
          <w:lang w:val="de-AT"/>
        </w:rPr>
        <w:t xml:space="preserve">Steuergebiets-Zuordnung: In welchem Land wurde die Arbeitsleistung erbracht? </w:t>
      </w:r>
      <w:r>
        <w:t>Bei Remote-Work über Zeitzonen hinweg eine steuerrechtliche Grauzone</w:t>
      </w:r>
    </w:p>
    <w:p w14:paraId="63EE6035" w14:textId="77777777" w:rsidR="00D1028B" w:rsidRDefault="00892948">
      <w:pPr>
        <w:numPr>
          <w:ilvl w:val="0"/>
          <w:numId w:val="135"/>
        </w:numPr>
      </w:pPr>
      <w:r>
        <w:rPr>
          <w:lang w:val="de-AT"/>
        </w:rPr>
        <w:t xml:space="preserve">Social Security / Sozialversicherung: Beiträge werden periodenbezogen berechnet. </w:t>
      </w:r>
      <w:r>
        <w:t>Periodenabgrenzung über Mitternacht und Jahreswechsel ist systemabhängig</w:t>
      </w:r>
    </w:p>
    <w:p w14:paraId="63EE6036" w14:textId="77777777" w:rsidR="00D1028B" w:rsidRPr="00260DEC" w:rsidRDefault="00892948">
      <w:pPr>
        <w:numPr>
          <w:ilvl w:val="0"/>
          <w:numId w:val="135"/>
        </w:numPr>
        <w:rPr>
          <w:lang w:val="de-AT"/>
        </w:rPr>
      </w:pPr>
      <w:r>
        <w:rPr>
          <w:lang w:val="de-AT"/>
        </w:rPr>
        <w:t>SAP HCM, Workday, Oracle HCM: Alle führen eigene Zeitzonenlogik — Datenmigration zwischen Systemen verliert Zeitzonenkontext</w:t>
      </w:r>
    </w:p>
    <w:p w14:paraId="63EE603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38" w14:textId="77777777" w:rsidR="00D1028B" w:rsidRPr="00260DEC" w:rsidRDefault="00892948">
      <w:pPr>
        <w:numPr>
          <w:ilvl w:val="0"/>
          <w:numId w:val="136"/>
        </w:numPr>
        <w:pBdr>
          <w:left w:val="single" w:sz="20" w:space="8" w:color="17A589"/>
        </w:pBdr>
        <w:shd w:val="clear" w:color="auto" w:fill="EAF7F4"/>
        <w:spacing w:before="40" w:after="40"/>
        <w:ind w:left="240"/>
        <w:rPr>
          <w:lang w:val="de-AT"/>
        </w:rPr>
      </w:pPr>
      <w:r>
        <w:rPr>
          <w:i/>
          <w:iCs/>
          <w:color w:val="0D4035"/>
          <w:sz w:val="20"/>
          <w:szCs w:val="20"/>
          <w:lang w:val="de-AT"/>
        </w:rPr>
        <w:t>Gehaltsabrechnungsperioden (monatlich, wöchentlich, bi-weekly) über Ländergrenzen als CTDDL-Domains normiert: Payroll-Runs für globale Teams verwenden eine einheitliche Zeitreferenz ohne manuelle Offset-Korrekturen</w:t>
      </w:r>
    </w:p>
    <w:p w14:paraId="63EE6039" w14:textId="77777777" w:rsidR="00D1028B" w:rsidRPr="00260DEC" w:rsidRDefault="00892948">
      <w:pPr>
        <w:numPr>
          <w:ilvl w:val="0"/>
          <w:numId w:val="136"/>
        </w:numPr>
        <w:pBdr>
          <w:left w:val="single" w:sz="20" w:space="8" w:color="17A589"/>
        </w:pBdr>
        <w:shd w:val="clear" w:color="auto" w:fill="EAF7F4"/>
        <w:spacing w:before="40" w:after="40"/>
        <w:ind w:left="240"/>
        <w:rPr>
          <w:lang w:val="de-AT"/>
        </w:rPr>
      </w:pPr>
      <w:r>
        <w:rPr>
          <w:i/>
          <w:iCs/>
          <w:color w:val="0D4035"/>
          <w:sz w:val="20"/>
          <w:szCs w:val="20"/>
          <w:lang w:val="de-AT"/>
        </w:rPr>
        <w:t>Steuer- und Sozialversicherungsabzüge sind an Periodenenden geknüpft: CGTA definiert diese Perioden jurisdiktionsneutral — Jahres- und Quartalsgrenzen sind über alle Länderbüros konsistent</w:t>
      </w:r>
    </w:p>
    <w:p w14:paraId="63EE603A" w14:textId="77777777" w:rsidR="00D1028B" w:rsidRPr="00260DEC" w:rsidRDefault="00892948">
      <w:pPr>
        <w:numPr>
          <w:ilvl w:val="0"/>
          <w:numId w:val="136"/>
        </w:numPr>
        <w:pBdr>
          <w:left w:val="single" w:sz="20" w:space="8" w:color="17A589"/>
        </w:pBdr>
        <w:shd w:val="clear" w:color="auto" w:fill="EAF7F4"/>
        <w:spacing w:before="40" w:after="40"/>
        <w:ind w:left="240"/>
        <w:rPr>
          <w:lang w:val="de-AT"/>
        </w:rPr>
      </w:pPr>
      <w:r>
        <w:rPr>
          <w:i/>
          <w:iCs/>
          <w:color w:val="0D4035"/>
          <w:sz w:val="20"/>
          <w:szCs w:val="20"/>
          <w:lang w:val="de-AT"/>
        </w:rPr>
        <w:t>Audit-Trails für Gehaltsauszahlungen mit CGTA-Zeitstempeln erfüllen internationale Buchführungsstandards (IFRS, GAAP) ohne zeitzonenbedingten Interpretationsspielraum</w:t>
      </w:r>
    </w:p>
    <w:p w14:paraId="63EE603B" w14:textId="77777777" w:rsidR="00D1028B" w:rsidRDefault="00892948">
      <w:pPr>
        <w:pStyle w:val="berschrift3"/>
      </w:pPr>
      <w:bookmarkStart w:id="190" w:name="follow-the-sun-und-globale-teams"/>
      <w:bookmarkStart w:id="191" w:name="_Toc226451971"/>
      <w:bookmarkEnd w:id="188"/>
      <w:r>
        <w:t>16.3 Follow-the-Sun und globale Teams</w:t>
      </w:r>
      <w:bookmarkEnd w:id="191"/>
    </w:p>
    <w:p w14:paraId="63EE603C" w14:textId="77777777" w:rsidR="00D1028B" w:rsidRDefault="00892948">
      <w:pPr>
        <w:numPr>
          <w:ilvl w:val="0"/>
          <w:numId w:val="137"/>
        </w:numPr>
      </w:pPr>
      <w:r>
        <w:rPr>
          <w:lang w:val="de-AT"/>
        </w:rPr>
        <w:t xml:space="preserve">Schichtplan für 24/7-Support: Teams in Wien, Singapur und São Paulo decken alle Zeitzonen ab. </w:t>
      </w:r>
      <w:r>
        <w:t>Planungssoftware muss globale Zeitachsen korrekt abbilden</w:t>
      </w:r>
    </w:p>
    <w:p w14:paraId="63EE603D" w14:textId="77777777" w:rsidR="00D1028B" w:rsidRPr="00260DEC" w:rsidRDefault="00892948">
      <w:pPr>
        <w:numPr>
          <w:ilvl w:val="0"/>
          <w:numId w:val="137"/>
        </w:numPr>
        <w:rPr>
          <w:lang w:val="de-AT"/>
        </w:rPr>
      </w:pPr>
      <w:r>
        <w:rPr>
          <w:lang w:val="de-AT"/>
        </w:rPr>
        <w:t>Handover-Protokolle: Übergabe von Aufgaben zwischen Zeitzonen — „Abgeschlossen um 17:30” ohne Zeitzonenangabe ist ambig</w:t>
      </w:r>
    </w:p>
    <w:p w14:paraId="63EE603E" w14:textId="77777777" w:rsidR="00D1028B" w:rsidRPr="00260DEC" w:rsidRDefault="00892948">
      <w:pPr>
        <w:numPr>
          <w:ilvl w:val="0"/>
          <w:numId w:val="137"/>
        </w:numPr>
        <w:rPr>
          <w:lang w:val="de-AT"/>
        </w:rPr>
      </w:pPr>
      <w:r>
        <w:rPr>
          <w:lang w:val="de-AT"/>
        </w:rPr>
        <w:t>Urlaubsantrag und Genehmigung: „Urlaub vom 1. bis 15. Juli” für einen Mitarbeiter in Tokio und seinen Manager in Wien — wer genehmigt wann?</w:t>
      </w:r>
    </w:p>
    <w:p w14:paraId="63EE603F" w14:textId="77777777" w:rsidR="00D1028B" w:rsidRPr="00260DEC" w:rsidRDefault="00892948">
      <w:pPr>
        <w:numPr>
          <w:ilvl w:val="0"/>
          <w:numId w:val="137"/>
        </w:numPr>
        <w:rPr>
          <w:lang w:val="de-AT"/>
        </w:rPr>
      </w:pPr>
      <w:r>
        <w:rPr>
          <w:lang w:val="de-AT"/>
        </w:rPr>
        <w:lastRenderedPageBreak/>
        <w:t>Performance-Reviews: Deadlines für jährliche Bewertungen werden für globale Teams inkonsistent kommuniziert</w:t>
      </w:r>
    </w:p>
    <w:p w14:paraId="63EE6040"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41" w14:textId="77777777" w:rsidR="00D1028B" w:rsidRPr="00260DEC" w:rsidRDefault="00892948">
      <w:pPr>
        <w:numPr>
          <w:ilvl w:val="0"/>
          <w:numId w:val="138"/>
        </w:numPr>
        <w:pBdr>
          <w:left w:val="single" w:sz="20" w:space="8" w:color="17A589"/>
        </w:pBdr>
        <w:shd w:val="clear" w:color="auto" w:fill="EAF7F4"/>
        <w:spacing w:before="40" w:after="40"/>
        <w:ind w:left="240"/>
        <w:rPr>
          <w:lang w:val="de-AT"/>
        </w:rPr>
      </w:pPr>
      <w:r>
        <w:rPr>
          <w:i/>
          <w:iCs/>
          <w:color w:val="0D4035"/>
          <w:sz w:val="20"/>
          <w:szCs w:val="20"/>
          <w:lang w:val="de-AT"/>
        </w:rPr>
        <w:t>Übergabezeitpunkte in Follow-the-Sun-Modellen als CGTA: jede Schicht-Übergabe ist absolut dokumentiert — kein „Wir haben uns um eine Stunde verpasst” durch DST-Diskrepanzen zwischen Wien und Melbourne</w:t>
      </w:r>
    </w:p>
    <w:p w14:paraId="63EE6042" w14:textId="77777777" w:rsidR="00D1028B" w:rsidRPr="00260DEC" w:rsidRDefault="00892948">
      <w:pPr>
        <w:numPr>
          <w:ilvl w:val="0"/>
          <w:numId w:val="138"/>
        </w:numPr>
        <w:pBdr>
          <w:left w:val="single" w:sz="20" w:space="8" w:color="17A589"/>
        </w:pBdr>
        <w:shd w:val="clear" w:color="auto" w:fill="EAF7F4"/>
        <w:spacing w:before="40" w:after="40"/>
        <w:ind w:left="240"/>
        <w:rPr>
          <w:lang w:val="de-AT"/>
        </w:rPr>
      </w:pPr>
      <w:r>
        <w:rPr>
          <w:i/>
          <w:iCs/>
          <w:color w:val="0D4035"/>
          <w:sz w:val="20"/>
          <w:szCs w:val="20"/>
          <w:lang w:val="de-AT"/>
        </w:rPr>
        <w:t>SLA-Uhren für globale Support-Teams laufen auf CGTA-Basis: Reaktionszeiten werden über Zeitzonen hinweg korrekt gemessen — keine Verzerrungen durch lokale Feiertage oder Uhrenumstellungen</w:t>
      </w:r>
    </w:p>
    <w:p w14:paraId="63EE6043" w14:textId="77777777" w:rsidR="00D1028B" w:rsidRPr="00260DEC" w:rsidRDefault="00892948">
      <w:pPr>
        <w:numPr>
          <w:ilvl w:val="0"/>
          <w:numId w:val="138"/>
        </w:numPr>
        <w:pBdr>
          <w:left w:val="single" w:sz="20" w:space="8" w:color="17A589"/>
        </w:pBdr>
        <w:shd w:val="clear" w:color="auto" w:fill="EAF7F4"/>
        <w:spacing w:before="40" w:after="40"/>
        <w:ind w:left="240"/>
        <w:rPr>
          <w:lang w:val="de-AT"/>
        </w:rPr>
      </w:pPr>
      <w:r>
        <w:rPr>
          <w:i/>
          <w:iCs/>
          <w:color w:val="0D4035"/>
          <w:sz w:val="20"/>
          <w:szCs w:val="20"/>
          <w:lang w:val="de-AT"/>
        </w:rPr>
        <w:t>Meeting-Scheduling-Tools für verteilte Teams verwenden CGTA als Grundlage — die korrekte Ortszeit-Darstellung ist eine reine Präsentationsschicht auf dem unveränderlichen CGTA-Wert</w:t>
      </w:r>
    </w:p>
    <w:p w14:paraId="63EE6044" w14:textId="77777777" w:rsidR="00D1028B" w:rsidRPr="00260DEC" w:rsidRDefault="00892948">
      <w:pPr>
        <w:pStyle w:val="berschrift2"/>
        <w:rPr>
          <w:lang w:val="de-AT"/>
        </w:rPr>
      </w:pPr>
      <w:bookmarkStart w:id="192" w:name="versicherungswesen"/>
      <w:bookmarkStart w:id="193" w:name="_Toc226451972"/>
      <w:bookmarkEnd w:id="184"/>
      <w:bookmarkEnd w:id="190"/>
      <w:r>
        <w:rPr>
          <w:lang w:val="de-AT"/>
        </w:rPr>
        <w:t>17 Versicherungswesen</w:t>
      </w:r>
      <w:bookmarkEnd w:id="193"/>
    </w:p>
    <w:p w14:paraId="63EE6045" w14:textId="77777777" w:rsidR="00D1028B" w:rsidRPr="00260DEC" w:rsidRDefault="00892948">
      <w:pPr>
        <w:rPr>
          <w:lang w:val="de-AT"/>
        </w:rPr>
      </w:pPr>
      <w:r>
        <w:rPr>
          <w:lang w:val="de-AT"/>
        </w:rPr>
        <w:t>Versicherungsverträge sind in ihrer Grundstruktur zeitgebunden: Versicherungsbeginn, Versicherungsende, Schadensmeldungsfristen, Wartezeiten und aktuarielle Berechnungen — all das hängt von präzisen Zeitdefinitionen ab.</w:t>
      </w:r>
    </w:p>
    <w:p w14:paraId="63EE6046" w14:textId="77777777" w:rsidR="00D1028B" w:rsidRPr="00260DEC" w:rsidRDefault="00892948">
      <w:pPr>
        <w:pStyle w:val="berschrift3"/>
        <w:rPr>
          <w:lang w:val="de-AT"/>
        </w:rPr>
      </w:pPr>
      <w:bookmarkStart w:id="194" w:name="policen-laufzeiten-und-deckungsmomente"/>
      <w:bookmarkStart w:id="195" w:name="_Toc226451973"/>
      <w:r>
        <w:rPr>
          <w:lang w:val="de-AT"/>
        </w:rPr>
        <w:t>17.1 Policen-Laufzeiten und Deckungsmomente</w:t>
      </w:r>
      <w:bookmarkEnd w:id="195"/>
    </w:p>
    <w:p w14:paraId="63EE6047" w14:textId="77777777" w:rsidR="00D1028B" w:rsidRPr="00260DEC" w:rsidRDefault="00892948">
      <w:pPr>
        <w:rPr>
          <w:lang w:val="de-AT"/>
        </w:rPr>
      </w:pPr>
      <w:r>
        <w:rPr>
          <w:i/>
          <w:iCs/>
          <w:lang w:val="de-AT"/>
        </w:rPr>
        <w:t>Klassisches Rechtsproblem: Ein Verkehrsunfall ereignet sich um 23:59 Uhr. Die KFZ-Versicherung läuft um „00:00 Uhr” des nächsten Tages ab. Ist der Schaden gedeckt? In welcher Zeitzone? Welche Systemuhr ist maßgeblich — die des Versicherungsnehmers, des Versicherers oder eine neutrale Referenz?</w:t>
      </w:r>
    </w:p>
    <w:p w14:paraId="63EE6048" w14:textId="77777777" w:rsidR="00D1028B" w:rsidRPr="00260DEC" w:rsidRDefault="00892948">
      <w:pPr>
        <w:numPr>
          <w:ilvl w:val="0"/>
          <w:numId w:val="139"/>
        </w:numPr>
        <w:rPr>
          <w:lang w:val="de-AT"/>
        </w:rPr>
      </w:pPr>
      <w:r>
        <w:rPr>
          <w:lang w:val="de-AT"/>
        </w:rPr>
        <w:t>Versicherungsbeginn: „versichert ab 00:00 Uhr des [Datum]” — bei internationalen Verträgen: welche Zeitzone?</w:t>
      </w:r>
    </w:p>
    <w:p w14:paraId="63EE6049" w14:textId="77777777" w:rsidR="00D1028B" w:rsidRPr="00260DEC" w:rsidRDefault="00892948">
      <w:pPr>
        <w:numPr>
          <w:ilvl w:val="0"/>
          <w:numId w:val="139"/>
        </w:numPr>
        <w:rPr>
          <w:lang w:val="de-AT"/>
        </w:rPr>
      </w:pPr>
      <w:r>
        <w:rPr>
          <w:lang w:val="de-AT"/>
        </w:rPr>
        <w:t>Reiseversicherung: Deckung beginnt mit Reiseantritt. Was ist Reiseantritt — Abfahrt, Ankunft, Buchungszeitpunkt?</w:t>
      </w:r>
    </w:p>
    <w:p w14:paraId="63EE604A" w14:textId="77777777" w:rsidR="00D1028B" w:rsidRDefault="00892948">
      <w:pPr>
        <w:numPr>
          <w:ilvl w:val="0"/>
          <w:numId w:val="139"/>
        </w:numPr>
      </w:pPr>
      <w:r>
        <w:rPr>
          <w:lang w:val="de-AT"/>
        </w:rPr>
        <w:t xml:space="preserve">Lebensversicherung: Todeseintritt muss präzise dokumentiert sein. </w:t>
      </w:r>
      <w:r>
        <w:t>In Krankenhäusern ist Systemzeit oft nicht synchronisiert</w:t>
      </w:r>
    </w:p>
    <w:p w14:paraId="63EE604B" w14:textId="77777777" w:rsidR="00D1028B" w:rsidRPr="00260DEC" w:rsidRDefault="00892948">
      <w:pPr>
        <w:numPr>
          <w:ilvl w:val="0"/>
          <w:numId w:val="139"/>
        </w:numPr>
        <w:rPr>
          <w:lang w:val="de-AT"/>
        </w:rPr>
      </w:pPr>
      <w:r>
        <w:rPr>
          <w:lang w:val="de-AT"/>
        </w:rPr>
        <w:t>Betriebsunterbrechungsversicherung: Schadensberechnung basiert auf Stunden/Tagen ohne Betrieb — Zeitstempel des Ausfalls ist Abrechnungsgrundlage</w:t>
      </w:r>
    </w:p>
    <w:p w14:paraId="63EE604C" w14:textId="77777777" w:rsidR="00D1028B" w:rsidRPr="00260DEC" w:rsidRDefault="00892948">
      <w:pPr>
        <w:numPr>
          <w:ilvl w:val="0"/>
          <w:numId w:val="139"/>
        </w:numPr>
        <w:rPr>
          <w:lang w:val="de-AT"/>
        </w:rPr>
      </w:pPr>
      <w:r>
        <w:rPr>
          <w:lang w:val="de-AT"/>
        </w:rPr>
        <w:t>Cyber-Versicherung: Zeitpunkt des Angriffs vs. Zeitpunkt der Entdeckung — beide sind für Deckung und Prämienberechnung relevant</w:t>
      </w:r>
    </w:p>
    <w:p w14:paraId="63EE604D"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4E" w14:textId="77777777" w:rsidR="00D1028B" w:rsidRPr="00260DEC" w:rsidRDefault="00892948">
      <w:pPr>
        <w:numPr>
          <w:ilvl w:val="0"/>
          <w:numId w:val="140"/>
        </w:numPr>
        <w:pBdr>
          <w:left w:val="single" w:sz="20" w:space="8" w:color="17A589"/>
        </w:pBdr>
        <w:shd w:val="clear" w:color="auto" w:fill="EAF7F4"/>
        <w:spacing w:before="40" w:after="40"/>
        <w:ind w:left="240"/>
        <w:rPr>
          <w:lang w:val="de-AT"/>
        </w:rPr>
      </w:pPr>
      <w:r>
        <w:rPr>
          <w:i/>
          <w:iCs/>
          <w:color w:val="0D4035"/>
          <w:sz w:val="20"/>
          <w:szCs w:val="20"/>
          <w:lang w:val="de-AT"/>
        </w:rPr>
        <w:t>Policen-Laufzeiten als CTDDL-Intervalle: Beginn und Ende sind durch CGTA exakt definiert — der Deckungsmoment bei Schadensereignissen ist manipulationsresistent und jurisdiktionsübergreifend eindeutig</w:t>
      </w:r>
    </w:p>
    <w:p w14:paraId="63EE604F" w14:textId="77777777" w:rsidR="00D1028B" w:rsidRPr="00260DEC" w:rsidRDefault="00892948">
      <w:pPr>
        <w:numPr>
          <w:ilvl w:val="0"/>
          <w:numId w:val="140"/>
        </w:numPr>
        <w:pBdr>
          <w:left w:val="single" w:sz="20" w:space="8" w:color="17A589"/>
        </w:pBdr>
        <w:shd w:val="clear" w:color="auto" w:fill="EAF7F4"/>
        <w:spacing w:before="40" w:after="40"/>
        <w:ind w:left="240"/>
        <w:rPr>
          <w:lang w:val="de-AT"/>
        </w:rPr>
      </w:pPr>
      <w:r>
        <w:rPr>
          <w:i/>
          <w:iCs/>
          <w:color w:val="0D4035"/>
          <w:sz w:val="20"/>
          <w:szCs w:val="20"/>
          <w:lang w:val="de-AT"/>
        </w:rPr>
        <w:t>Jahrestags-Prämienberechnungen über DST-Grenzen (Policenjahrestag fällt auf Uhrenumstellungstag): mit CGTA ist die exakte Laufzeit deterministisch berechenbar — kein Abrechnungsfehler</w:t>
      </w:r>
    </w:p>
    <w:p w14:paraId="63EE6050" w14:textId="77777777" w:rsidR="00D1028B" w:rsidRPr="00260DEC" w:rsidRDefault="00892948">
      <w:pPr>
        <w:numPr>
          <w:ilvl w:val="0"/>
          <w:numId w:val="140"/>
        </w:numPr>
        <w:pBdr>
          <w:left w:val="single" w:sz="20" w:space="8" w:color="17A589"/>
        </w:pBdr>
        <w:shd w:val="clear" w:color="auto" w:fill="EAF7F4"/>
        <w:spacing w:before="40" w:after="40"/>
        <w:ind w:left="240"/>
        <w:rPr>
          <w:lang w:val="de-AT"/>
        </w:rPr>
      </w:pPr>
      <w:r>
        <w:rPr>
          <w:i/>
          <w:iCs/>
          <w:color w:val="0D4035"/>
          <w:sz w:val="20"/>
          <w:szCs w:val="20"/>
          <w:lang w:val="de-AT"/>
        </w:rPr>
        <w:t>Rückwirkende Policenkorrekturen (Endorsements) erhalten durch CGTA einen unveränderlichen Gültigkeitszeitpunkt — für Streitfälle gerichtsfest dokumentiert</w:t>
      </w:r>
    </w:p>
    <w:p w14:paraId="63EE6051" w14:textId="77777777" w:rsidR="00D1028B" w:rsidRPr="00260DEC" w:rsidRDefault="00892948">
      <w:pPr>
        <w:numPr>
          <w:ilvl w:val="0"/>
          <w:numId w:val="14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52" w14:textId="77777777" w:rsidR="00D1028B" w:rsidRDefault="00892948">
      <w:pPr>
        <w:pStyle w:val="berschrift3"/>
      </w:pPr>
      <w:bookmarkStart w:id="196" w:name="Xcfc6504efacdfda033e08957d05a314258236a3"/>
      <w:bookmarkStart w:id="197" w:name="_Toc226451974"/>
      <w:bookmarkEnd w:id="194"/>
      <w:r>
        <w:lastRenderedPageBreak/>
        <w:t>17.2 Schadensmeldungsfristen und Obliegenheiten</w:t>
      </w:r>
      <w:bookmarkEnd w:id="197"/>
    </w:p>
    <w:p w14:paraId="63EE6053" w14:textId="77777777" w:rsidR="00D1028B" w:rsidRDefault="00892948">
      <w:pPr>
        <w:numPr>
          <w:ilvl w:val="0"/>
          <w:numId w:val="141"/>
        </w:numPr>
      </w:pPr>
      <w:r>
        <w:rPr>
          <w:lang w:val="de-AT"/>
        </w:rPr>
        <w:t xml:space="preserve">Anzeigeobliegenheit: Viele Versicherungsverträge verlangen Schadensmeldung „innerhalb von 48 Stunden” oder „unverzüglich”. </w:t>
      </w:r>
      <w:r>
        <w:t>Beginn der Frist: Zeitpunkt des Schadenseintritts oder der Kenntnis?</w:t>
      </w:r>
    </w:p>
    <w:p w14:paraId="63EE6054" w14:textId="77777777" w:rsidR="00D1028B" w:rsidRPr="00260DEC" w:rsidRDefault="00892948">
      <w:pPr>
        <w:numPr>
          <w:ilvl w:val="0"/>
          <w:numId w:val="141"/>
        </w:numPr>
        <w:rPr>
          <w:lang w:val="de-AT"/>
        </w:rPr>
      </w:pPr>
      <w:r>
        <w:rPr>
          <w:lang w:val="de-AT"/>
        </w:rPr>
        <w:t>Internationale Schäden: Reisegepäck-Verlust im Ausland — Zeitpunkt der Feststellung, der Anzeige beim Flughafen und der Versicherungsmeldung sind in verschiedenen Zeitzonen</w:t>
      </w:r>
    </w:p>
    <w:p w14:paraId="63EE6055" w14:textId="77777777" w:rsidR="00D1028B" w:rsidRDefault="00892948">
      <w:pPr>
        <w:numPr>
          <w:ilvl w:val="0"/>
          <w:numId w:val="141"/>
        </w:numPr>
      </w:pPr>
      <w:r>
        <w:rPr>
          <w:lang w:val="de-AT"/>
        </w:rPr>
        <w:t xml:space="preserve">Verspätete Meldung: Führt zu Leistungsminderung oder -ausschluss. </w:t>
      </w:r>
      <w:r>
        <w:t>Nachweis des Zeitpunkts der Meldung ist beweisrechtlich kritisch</w:t>
      </w:r>
    </w:p>
    <w:p w14:paraId="63EE6056" w14:textId="77777777" w:rsidR="00D1028B" w:rsidRPr="00260DEC" w:rsidRDefault="00892948">
      <w:pPr>
        <w:numPr>
          <w:ilvl w:val="0"/>
          <w:numId w:val="141"/>
        </w:numPr>
        <w:rPr>
          <w:lang w:val="de-AT"/>
        </w:rPr>
      </w:pPr>
      <w:r>
        <w:rPr>
          <w:lang w:val="de-AT"/>
        </w:rPr>
        <w:t>Arztberichte und Diagnosen: Zeitpunkt der Erstdiagnose ist relevant für Vorerkrankungsausschluss — Zeitstempel in Patientensystemen oft nicht normiert</w:t>
      </w:r>
    </w:p>
    <w:p w14:paraId="63EE605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58" w14:textId="77777777" w:rsidR="00D1028B" w:rsidRPr="00260DEC" w:rsidRDefault="00892948">
      <w:pPr>
        <w:numPr>
          <w:ilvl w:val="0"/>
          <w:numId w:val="142"/>
        </w:numPr>
        <w:pBdr>
          <w:left w:val="single" w:sz="20" w:space="8" w:color="17A589"/>
        </w:pBdr>
        <w:shd w:val="clear" w:color="auto" w:fill="EAF7F4"/>
        <w:spacing w:before="40" w:after="40"/>
        <w:ind w:left="240"/>
        <w:rPr>
          <w:lang w:val="de-AT"/>
        </w:rPr>
      </w:pPr>
      <w:r>
        <w:rPr>
          <w:i/>
          <w:iCs/>
          <w:color w:val="0D4035"/>
          <w:sz w:val="20"/>
          <w:szCs w:val="20"/>
          <w:lang w:val="de-AT"/>
        </w:rPr>
        <w:t>Schadensmeldefristen (z. B. 72 Stunden nach Kenntnis) als CTDDL-Intervalle berechnet: Fristende ist über Zeitzonen und Feiertage deterministisch — kein Obliegenheitsverlust durch Zeitberechnungsfehler</w:t>
      </w:r>
    </w:p>
    <w:p w14:paraId="63EE6059" w14:textId="77777777" w:rsidR="00D1028B" w:rsidRPr="00260DEC" w:rsidRDefault="00892948">
      <w:pPr>
        <w:numPr>
          <w:ilvl w:val="0"/>
          <w:numId w:val="142"/>
        </w:numPr>
        <w:pBdr>
          <w:left w:val="single" w:sz="20" w:space="8" w:color="17A589"/>
        </w:pBdr>
        <w:shd w:val="clear" w:color="auto" w:fill="EAF7F4"/>
        <w:spacing w:before="40" w:after="40"/>
        <w:ind w:left="240"/>
        <w:rPr>
          <w:lang w:val="de-AT"/>
        </w:rPr>
      </w:pPr>
      <w:r>
        <w:rPr>
          <w:i/>
          <w:iCs/>
          <w:color w:val="0D4035"/>
          <w:sz w:val="20"/>
          <w:szCs w:val="20"/>
          <w:lang w:val="de-AT"/>
        </w:rPr>
        <w:t>Schadensereignis-Zeitpunkte als CGTA: bei multinationalen Schadensfällen (Transportschaden auf See, Cyberangriff) ist der Schadenszeitpunkt absolut und jurisdiktionsneutral dokumentiert</w:t>
      </w:r>
    </w:p>
    <w:p w14:paraId="63EE605A" w14:textId="77777777" w:rsidR="00D1028B" w:rsidRPr="00260DEC" w:rsidRDefault="00892948">
      <w:pPr>
        <w:numPr>
          <w:ilvl w:val="0"/>
          <w:numId w:val="142"/>
        </w:numPr>
        <w:pBdr>
          <w:left w:val="single" w:sz="20" w:space="8" w:color="17A589"/>
        </w:pBdr>
        <w:shd w:val="clear" w:color="auto" w:fill="EAF7F4"/>
        <w:spacing w:before="40" w:after="40"/>
        <w:ind w:left="240"/>
        <w:rPr>
          <w:lang w:val="de-AT"/>
        </w:rPr>
      </w:pPr>
      <w:r>
        <w:rPr>
          <w:i/>
          <w:iCs/>
          <w:color w:val="0D4035"/>
          <w:sz w:val="20"/>
          <w:szCs w:val="20"/>
          <w:lang w:val="de-AT"/>
        </w:rPr>
        <w:t>Automatisierte Fristüberwachung in Claims-Management-Systemen auf CGTA-Basis eliminiert manuelle Zeitzonenprüfungen — Compliance-Rate steigt strukturell</w:t>
      </w:r>
    </w:p>
    <w:p w14:paraId="63EE605B" w14:textId="77777777" w:rsidR="00D1028B" w:rsidRPr="00260DEC" w:rsidRDefault="00892948">
      <w:pPr>
        <w:numPr>
          <w:ilvl w:val="0"/>
          <w:numId w:val="142"/>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5C" w14:textId="77777777" w:rsidR="00D1028B" w:rsidRPr="00260DEC" w:rsidRDefault="00892948">
      <w:pPr>
        <w:pStyle w:val="berschrift3"/>
        <w:rPr>
          <w:lang w:val="de-AT"/>
        </w:rPr>
      </w:pPr>
      <w:bookmarkStart w:id="198" w:name="aktuarielle-berechnungen"/>
      <w:bookmarkStart w:id="199" w:name="_Toc226451975"/>
      <w:bookmarkEnd w:id="196"/>
      <w:r>
        <w:rPr>
          <w:lang w:val="de-AT"/>
        </w:rPr>
        <w:t>17.3 Aktuarielle Berechnungen</w:t>
      </w:r>
      <w:bookmarkEnd w:id="199"/>
    </w:p>
    <w:p w14:paraId="63EE605D" w14:textId="77777777" w:rsidR="00D1028B" w:rsidRPr="00260DEC" w:rsidRDefault="00892948">
      <w:pPr>
        <w:rPr>
          <w:lang w:val="de-AT"/>
        </w:rPr>
      </w:pPr>
      <w:r>
        <w:rPr>
          <w:lang w:val="de-AT"/>
        </w:rPr>
        <w:t>Versicherungsmathematik projiziert über Jahrzehnte. Kleine Fehler in der Zeitarithmetik kumulieren sich zu signifikanten Bewertungsunterschieden:</w:t>
      </w:r>
    </w:p>
    <w:p w14:paraId="63EE605E" w14:textId="77777777" w:rsidR="00D1028B" w:rsidRPr="00260DEC" w:rsidRDefault="00892948">
      <w:pPr>
        <w:numPr>
          <w:ilvl w:val="0"/>
          <w:numId w:val="143"/>
        </w:numPr>
        <w:rPr>
          <w:lang w:val="de-AT"/>
        </w:rPr>
      </w:pPr>
      <w:r>
        <w:rPr>
          <w:lang w:val="de-AT"/>
        </w:rPr>
        <w:t>Sterblichkeitstafeln: Alter wird in vollendeten Lebensjahren gemessen — Berechnung des Alters zum Stichtag ist scheinbar trivial, aber nicht eindeutig standardisiert</w:t>
      </w:r>
    </w:p>
    <w:p w14:paraId="63EE605F" w14:textId="77777777" w:rsidR="00D1028B" w:rsidRPr="00260DEC" w:rsidRDefault="00892948">
      <w:pPr>
        <w:numPr>
          <w:ilvl w:val="0"/>
          <w:numId w:val="143"/>
        </w:numPr>
        <w:rPr>
          <w:lang w:val="de-AT"/>
        </w:rPr>
      </w:pPr>
      <w:r>
        <w:rPr>
          <w:lang w:val="de-AT"/>
        </w:rPr>
        <w:t>Zinsprojektionen: Tageszählung nach Actual/365 vs. 30/360 (Day Count Conventions — vgl. Dokument Mathematik) — direkte Auswirkung auf Rückstellungsberechnung</w:t>
      </w:r>
    </w:p>
    <w:p w14:paraId="63EE6060" w14:textId="77777777" w:rsidR="00D1028B" w:rsidRPr="00260DEC" w:rsidRDefault="00892948">
      <w:pPr>
        <w:numPr>
          <w:ilvl w:val="0"/>
          <w:numId w:val="143"/>
        </w:numPr>
        <w:rPr>
          <w:lang w:val="de-AT"/>
        </w:rPr>
      </w:pPr>
      <w:r>
        <w:rPr>
          <w:lang w:val="de-AT"/>
        </w:rPr>
        <w:t>Solvency II (EU-Versicherungsregulierung): Marktwertberechnung von Versicherungsverbindlichkeiten basiert auf Zeitwert des Geldes — Tagezählkonventionen sind vorgeschrieben, aber nicht universal implementiert</w:t>
      </w:r>
    </w:p>
    <w:p w14:paraId="63EE6061" w14:textId="77777777" w:rsidR="00D1028B" w:rsidRPr="00260DEC" w:rsidRDefault="00892948">
      <w:pPr>
        <w:numPr>
          <w:ilvl w:val="0"/>
          <w:numId w:val="143"/>
        </w:numPr>
        <w:rPr>
          <w:lang w:val="de-AT"/>
        </w:rPr>
      </w:pPr>
      <w:r>
        <w:rPr>
          <w:lang w:val="de-AT"/>
        </w:rPr>
        <w:t>Lebenserwartungsmodelle: Historische Sterblichkeitsdaten aus verschiedenen Quellen mit unterschiedlichen Zeitstempel-Standards werden kombiniert</w:t>
      </w:r>
    </w:p>
    <w:p w14:paraId="63EE6062"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63" w14:textId="77777777" w:rsidR="00D1028B" w:rsidRPr="00260DEC" w:rsidRDefault="00892948">
      <w:pPr>
        <w:numPr>
          <w:ilvl w:val="0"/>
          <w:numId w:val="144"/>
        </w:numPr>
        <w:pBdr>
          <w:left w:val="single" w:sz="20" w:space="8" w:color="17A589"/>
        </w:pBdr>
        <w:shd w:val="clear" w:color="auto" w:fill="EAF7F4"/>
        <w:spacing w:before="40" w:after="40"/>
        <w:ind w:left="240"/>
        <w:rPr>
          <w:lang w:val="de-AT"/>
        </w:rPr>
      </w:pPr>
      <w:r>
        <w:rPr>
          <w:i/>
          <w:iCs/>
          <w:color w:val="0D4035"/>
          <w:sz w:val="20"/>
          <w:szCs w:val="20"/>
          <w:lang w:val="de-AT"/>
        </w:rPr>
        <w:t>Sterbetafeln und aktuarielle Zeitreihen als CGTA normiert ermöglichen plattformübergreifende Modellvergleiche — keine Konversionsfehler bei Fusion von Daten unterschiedlicher Versicherungsgesellschaften</w:t>
      </w:r>
    </w:p>
    <w:p w14:paraId="63EE6064" w14:textId="77777777" w:rsidR="00D1028B" w:rsidRPr="00260DEC" w:rsidRDefault="00892948">
      <w:pPr>
        <w:numPr>
          <w:ilvl w:val="0"/>
          <w:numId w:val="144"/>
        </w:numPr>
        <w:pBdr>
          <w:left w:val="single" w:sz="20" w:space="8" w:color="17A589"/>
        </w:pBdr>
        <w:shd w:val="clear" w:color="auto" w:fill="EAF7F4"/>
        <w:spacing w:before="40" w:after="40"/>
        <w:ind w:left="240"/>
        <w:rPr>
          <w:lang w:val="de-AT"/>
        </w:rPr>
      </w:pPr>
      <w:r>
        <w:rPr>
          <w:i/>
          <w:iCs/>
          <w:color w:val="0D4035"/>
          <w:sz w:val="20"/>
          <w:szCs w:val="20"/>
          <w:lang w:val="de-AT"/>
        </w:rPr>
        <w:t>Zinszahlungs-Zeitreihen für Lebensversicherungen über Jahrzehnte: CGTA übersteht sicher den Unix-2038-Überlauf und Gregorianische Kalenderreformen, auf die aktuelle aktuarielle Software nicht vorbereitet ist</w:t>
      </w:r>
    </w:p>
    <w:p w14:paraId="63EE6065" w14:textId="77777777" w:rsidR="00D1028B" w:rsidRPr="00260DEC" w:rsidRDefault="00892948">
      <w:pPr>
        <w:numPr>
          <w:ilvl w:val="0"/>
          <w:numId w:val="144"/>
        </w:numPr>
        <w:pBdr>
          <w:left w:val="single" w:sz="20" w:space="8" w:color="17A589"/>
        </w:pBdr>
        <w:shd w:val="clear" w:color="auto" w:fill="EAF7F4"/>
        <w:spacing w:before="40" w:after="40"/>
        <w:ind w:left="240"/>
        <w:rPr>
          <w:lang w:val="de-AT"/>
        </w:rPr>
      </w:pPr>
      <w:r>
        <w:rPr>
          <w:i/>
          <w:iCs/>
          <w:color w:val="0D4035"/>
          <w:sz w:val="20"/>
          <w:szCs w:val="20"/>
          <w:lang w:val="de-AT"/>
        </w:rPr>
        <w:t>Reserveberechnungen (IFRS 17) verwenden CTDDL-modellierte Zeitdomänen für Diskontierungs-Cashflows — reproduzierbar und revisionssicher für Aufsichtsbehörden (FMA, EIOPA)</w:t>
      </w:r>
    </w:p>
    <w:p w14:paraId="63EE6066" w14:textId="77777777" w:rsidR="00D1028B" w:rsidRDefault="00892948">
      <w:pPr>
        <w:numPr>
          <w:ilvl w:val="0"/>
          <w:numId w:val="144"/>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067" w14:textId="77777777" w:rsidR="00D1028B" w:rsidRDefault="00892948">
      <w:pPr>
        <w:pStyle w:val="berschrift3"/>
      </w:pPr>
      <w:bookmarkStart w:id="200" w:name="X399fca2a5598ff0c7270f24146ce3081eafd5e4"/>
      <w:bookmarkStart w:id="201" w:name="_Toc226451976"/>
      <w:bookmarkEnd w:id="198"/>
      <w:r>
        <w:lastRenderedPageBreak/>
        <w:t>17.4 InsurTech und digitale Versicherungsprodukte</w:t>
      </w:r>
      <w:bookmarkEnd w:id="201"/>
    </w:p>
    <w:p w14:paraId="63EE6068" w14:textId="77777777" w:rsidR="00D1028B" w:rsidRDefault="00892948">
      <w:pPr>
        <w:numPr>
          <w:ilvl w:val="0"/>
          <w:numId w:val="145"/>
        </w:numPr>
      </w:pPr>
      <w:r>
        <w:rPr>
          <w:lang w:val="de-AT"/>
        </w:rPr>
        <w:t xml:space="preserve">Pay-as-you-drive (Telematik-KFZ-Versicherung): Prämie basiert auf GPS-Bewegungsdaten mit Zeitstempel. </w:t>
      </w:r>
      <w:r>
        <w:t>Präzision und Manipulationssicherheit der Zeitbasis ist geschäftsmodellkritisch</w:t>
      </w:r>
    </w:p>
    <w:p w14:paraId="63EE6069" w14:textId="77777777" w:rsidR="00D1028B" w:rsidRDefault="00892948">
      <w:pPr>
        <w:numPr>
          <w:ilvl w:val="0"/>
          <w:numId w:val="145"/>
        </w:numPr>
      </w:pPr>
      <w:r>
        <w:rPr>
          <w:lang w:val="de-AT"/>
        </w:rPr>
        <w:t xml:space="preserve">Parametrische Versicherungen: Zahlung erfolgt automatisch wenn Messwert (Niederschlag, Temperatur) einen Schwellenwert überschreitet. </w:t>
      </w:r>
      <w:r>
        <w:t>Zeitstempel des Messereignisses ist Auszahlungsauslöser</w:t>
      </w:r>
    </w:p>
    <w:p w14:paraId="63EE606A" w14:textId="77777777" w:rsidR="00D1028B" w:rsidRDefault="00892948">
      <w:pPr>
        <w:numPr>
          <w:ilvl w:val="0"/>
          <w:numId w:val="145"/>
        </w:numPr>
      </w:pPr>
      <w:r>
        <w:rPr>
          <w:lang w:val="de-AT"/>
        </w:rPr>
        <w:t xml:space="preserve">On-Demand-Versicherung (stundenweise): Versicherungsschutz für einzelne Stunden oder Tage. </w:t>
      </w:r>
      <w:r>
        <w:t>Beginn und Ende müssen auf die Minute genau definiert sein</w:t>
      </w:r>
    </w:p>
    <w:p w14:paraId="63EE606B" w14:textId="77777777" w:rsidR="00D1028B" w:rsidRPr="00260DEC" w:rsidRDefault="00892948">
      <w:pPr>
        <w:numPr>
          <w:ilvl w:val="0"/>
          <w:numId w:val="145"/>
        </w:numPr>
        <w:rPr>
          <w:lang w:val="de-AT"/>
        </w:rPr>
      </w:pPr>
      <w:r>
        <w:rPr>
          <w:lang w:val="de-AT"/>
        </w:rPr>
        <w:t>Smart-Contract-Versicherungen (DeFi): Automatische Auszahlung bei definierten Ereignissen — Zeitstempel-Manipulierbarkeit ist Hauptrisiko (vgl. Blockchain-Kapitel)</w:t>
      </w:r>
    </w:p>
    <w:p w14:paraId="63EE606C"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6D" w14:textId="77777777" w:rsidR="00D1028B" w:rsidRDefault="00892948">
      <w:pPr>
        <w:numPr>
          <w:ilvl w:val="0"/>
          <w:numId w:val="146"/>
        </w:numPr>
        <w:pBdr>
          <w:left w:val="single" w:sz="20" w:space="8" w:color="17A589"/>
        </w:pBdr>
        <w:shd w:val="clear" w:color="auto" w:fill="EAF7F4"/>
        <w:spacing w:before="40" w:after="40"/>
        <w:ind w:left="240"/>
      </w:pPr>
      <w:r>
        <w:rPr>
          <w:i/>
          <w:iCs/>
          <w:color w:val="0D4035"/>
          <w:sz w:val="20"/>
          <w:szCs w:val="20"/>
        </w:rPr>
        <w:t>InsurTech-APIs für Echtzeit-Pricing (z. B. Pay-per-Mile, Telematik-Tarife) erhalten durch CGTA einen normierten Zeittyp — Prämienberechnung auf Sekundenebene ist jurisdiktionsübergreifend konsistent</w:t>
      </w:r>
    </w:p>
    <w:p w14:paraId="63EE606E" w14:textId="77777777" w:rsidR="00D1028B" w:rsidRDefault="00892948">
      <w:pPr>
        <w:numPr>
          <w:ilvl w:val="0"/>
          <w:numId w:val="146"/>
        </w:numPr>
        <w:pBdr>
          <w:left w:val="single" w:sz="20" w:space="8" w:color="17A589"/>
        </w:pBdr>
        <w:shd w:val="clear" w:color="auto" w:fill="EAF7F4"/>
        <w:spacing w:before="40" w:after="40"/>
        <w:ind w:left="240"/>
      </w:pPr>
      <w:r>
        <w:rPr>
          <w:i/>
          <w:iCs/>
          <w:color w:val="0D4035"/>
          <w:sz w:val="20"/>
          <w:szCs w:val="20"/>
        </w:rPr>
        <w:t>Parametrische Versicherungen (Trigger: Erdbeben, Windgeschwindigkeit zu bestimmtem Zeitpunkt) verwenden CGTA als manipulationsresistenten Triggerzeitpunkt — Smart-Contract-Integration ohne Orakel-Risiko</w:t>
      </w:r>
    </w:p>
    <w:p w14:paraId="63EE606F" w14:textId="77777777" w:rsidR="00D1028B" w:rsidRPr="00260DEC" w:rsidRDefault="00892948">
      <w:pPr>
        <w:numPr>
          <w:ilvl w:val="0"/>
          <w:numId w:val="146"/>
        </w:numPr>
        <w:pBdr>
          <w:left w:val="single" w:sz="20" w:space="8" w:color="17A589"/>
        </w:pBdr>
        <w:shd w:val="clear" w:color="auto" w:fill="EAF7F4"/>
        <w:spacing w:before="40" w:after="40"/>
        <w:ind w:left="240"/>
        <w:rPr>
          <w:lang w:val="de-AT"/>
        </w:rPr>
      </w:pPr>
      <w:r>
        <w:rPr>
          <w:i/>
          <w:iCs/>
          <w:color w:val="0D4035"/>
          <w:sz w:val="20"/>
          <w:szCs w:val="20"/>
          <w:lang w:val="de-AT"/>
        </w:rPr>
        <w:t>Kundendaten-Migrationen bei Versichererwechsel: CGTA-Zeitstempel in Schadenshistorien bleiben über Systemgrenzen und Jahrzehnte korrekt — keine Datenverluste durch Zeitzonenkonvertierung</w:t>
      </w:r>
    </w:p>
    <w:p w14:paraId="63EE6070" w14:textId="77777777" w:rsidR="00D1028B" w:rsidRDefault="00892948">
      <w:pPr>
        <w:numPr>
          <w:ilvl w:val="0"/>
          <w:numId w:val="146"/>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6071" w14:textId="77777777" w:rsidR="00D1028B" w:rsidRPr="00260DEC" w:rsidRDefault="00892948">
      <w:pPr>
        <w:pStyle w:val="berschrift1"/>
        <w:rPr>
          <w:lang w:val="de-AT"/>
        </w:rPr>
      </w:pPr>
      <w:bookmarkStart w:id="202" w:name="X3018f6ef8bfae191364e6b70dc7b6dbd917dbf0"/>
      <w:bookmarkStart w:id="203" w:name="_Toc226451977"/>
      <w:bookmarkEnd w:id="172"/>
      <w:bookmarkEnd w:id="192"/>
      <w:bookmarkEnd w:id="200"/>
      <w:r>
        <w:rPr>
          <w:lang w:val="de-AT"/>
        </w:rPr>
        <w:t>Teil VII: Industrielle Fertigung, Langzeitarchivierung und Autonome Systeme</w:t>
      </w:r>
      <w:bookmarkEnd w:id="203"/>
    </w:p>
    <w:p w14:paraId="63EE6072" w14:textId="77777777" w:rsidR="00D1028B" w:rsidRPr="00260DEC" w:rsidRDefault="00892948">
      <w:pPr>
        <w:pStyle w:val="berschrift2"/>
        <w:rPr>
          <w:lang w:val="de-AT"/>
        </w:rPr>
      </w:pPr>
      <w:bookmarkStart w:id="204" w:name="industrie-4.0-und-fertigung"/>
      <w:bookmarkStart w:id="205" w:name="_Toc226451978"/>
      <w:r>
        <w:rPr>
          <w:lang w:val="de-AT"/>
        </w:rPr>
        <w:t>18 Industrie 4.0 und Fertigung</w:t>
      </w:r>
      <w:bookmarkEnd w:id="205"/>
    </w:p>
    <w:p w14:paraId="63EE6073" w14:textId="77777777" w:rsidR="00D1028B" w:rsidRPr="00260DEC" w:rsidRDefault="00892948">
      <w:pPr>
        <w:rPr>
          <w:lang w:val="de-AT"/>
        </w:rPr>
      </w:pPr>
      <w:r>
        <w:rPr>
          <w:lang w:val="de-AT"/>
        </w:rPr>
        <w:t>Industrieanlagen laufen oft über Jahrzehnte. Steuerungssysteme aus den 1980ern und 1990ern sind in modernen Fabriken noch aktiv — mit Zeitimplementierungen, die weder Zeitzonen noch moderne Standards kennen. Die Konsequenzen reichen von Qualitätsmängeln bis zu Sicherheitsrisiken.</w:t>
      </w:r>
    </w:p>
    <w:p w14:paraId="63EE6074" w14:textId="77777777" w:rsidR="00D1028B" w:rsidRPr="00260DEC" w:rsidRDefault="00892948">
      <w:pPr>
        <w:pStyle w:val="berschrift3"/>
        <w:rPr>
          <w:lang w:val="de-AT"/>
        </w:rPr>
      </w:pPr>
      <w:bookmarkStart w:id="206" w:name="scada-und-industrielle-steuerungssysteme"/>
      <w:bookmarkStart w:id="207" w:name="_Toc226451979"/>
      <w:r>
        <w:rPr>
          <w:lang w:val="de-AT"/>
        </w:rPr>
        <w:t>18.1 SCADA und industrielle Steuerungssysteme</w:t>
      </w:r>
      <w:bookmarkEnd w:id="207"/>
    </w:p>
    <w:p w14:paraId="63EE6075" w14:textId="77777777" w:rsidR="00D1028B" w:rsidRPr="00260DEC" w:rsidRDefault="00892948">
      <w:pPr>
        <w:rPr>
          <w:lang w:val="de-AT"/>
        </w:rPr>
      </w:pPr>
      <w:r>
        <w:rPr>
          <w:i/>
          <w:iCs/>
          <w:lang w:val="de-AT"/>
        </w:rPr>
        <w:t>SCADA-Systeme (Supervisory Control and Data Acquisition) und PLCs (Programmable Logic Controllers) von Siemens, Rockwell Automation, ABB und Schneider Electric verwenden Zeitimplementierungen aus den 1980ern. Viele nutzen BCD-codierte Zeit ohne Zeitzonenkonzept. In globalisierten Produktionsnetzwerken sind diese Systeme vernetzt — mit vorhersehbaren Zeitinkonsistenzen.</w:t>
      </w:r>
    </w:p>
    <w:p w14:paraId="63EE6076" w14:textId="77777777" w:rsidR="00D1028B" w:rsidRPr="00260DEC" w:rsidRDefault="00892948">
      <w:pPr>
        <w:numPr>
          <w:ilvl w:val="0"/>
          <w:numId w:val="147"/>
        </w:numPr>
        <w:rPr>
          <w:lang w:val="de-AT"/>
        </w:rPr>
      </w:pPr>
      <w:r>
        <w:rPr>
          <w:lang w:val="de-AT"/>
        </w:rPr>
        <w:t>Siemens S7-SPS: Systemzeit ohne Zeitzone, synchronisiert über proprietäres MPI/Profibus-Protokoll</w:t>
      </w:r>
    </w:p>
    <w:p w14:paraId="63EE6077" w14:textId="77777777" w:rsidR="00D1028B" w:rsidRDefault="00892948">
      <w:pPr>
        <w:numPr>
          <w:ilvl w:val="0"/>
          <w:numId w:val="147"/>
        </w:numPr>
      </w:pPr>
      <w:r>
        <w:rPr>
          <w:lang w:val="de-AT"/>
        </w:rPr>
        <w:t xml:space="preserve">Historian-Datenbanken (OSIsoft PI, AspenTech IP21): Speichern Prozessdaten mit Zeitstempel. </w:t>
      </w:r>
      <w:r>
        <w:t>Zeitzonenkonfiguration ist manuell und fehleranfällig</w:t>
      </w:r>
    </w:p>
    <w:p w14:paraId="63EE6078" w14:textId="77777777" w:rsidR="00D1028B" w:rsidRDefault="00892948">
      <w:pPr>
        <w:numPr>
          <w:ilvl w:val="0"/>
          <w:numId w:val="147"/>
        </w:numPr>
      </w:pPr>
      <w:r>
        <w:t>OPC-UA (OPC Unified Architecture): Moderner Industriestandard hat DateTime-Typ — aber ohne ChronoGrid-kompatible Semantik für Zeitzonenhandling</w:t>
      </w:r>
    </w:p>
    <w:p w14:paraId="63EE6079" w14:textId="77777777" w:rsidR="00D1028B" w:rsidRPr="00260DEC" w:rsidRDefault="00892948">
      <w:pPr>
        <w:numPr>
          <w:ilvl w:val="0"/>
          <w:numId w:val="147"/>
        </w:numPr>
        <w:rPr>
          <w:lang w:val="de-AT"/>
        </w:rPr>
      </w:pPr>
      <w:r>
        <w:rPr>
          <w:lang w:val="de-AT"/>
        </w:rPr>
        <w:lastRenderedPageBreak/>
        <w:t>IEC 61850 (Schutzrelais in Umspannwerken): Zeitstempel auf Mikrosekunden-Ebene für Fehleranalyse — Inkonsistenz zwischen Stationen führt zu falscher Fehlerortung</w:t>
      </w:r>
    </w:p>
    <w:p w14:paraId="63EE607A" w14:textId="77777777" w:rsidR="00D1028B" w:rsidRPr="00260DEC" w:rsidRDefault="00892948">
      <w:pPr>
        <w:numPr>
          <w:ilvl w:val="0"/>
          <w:numId w:val="147"/>
        </w:numPr>
        <w:rPr>
          <w:lang w:val="de-AT"/>
        </w:rPr>
      </w:pPr>
      <w:r>
        <w:rPr>
          <w:lang w:val="de-AT"/>
        </w:rPr>
        <w:t>PROFINET und EtherCAT: Echtzeit-Feldbusse mit Zeitstempel-Mechanismen, die nicht mit IT-Systemen interoperabel sind</w:t>
      </w:r>
    </w:p>
    <w:p w14:paraId="63EE607B"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7C" w14:textId="77777777" w:rsidR="00D1028B" w:rsidRPr="00260DEC" w:rsidRDefault="00892948">
      <w:pPr>
        <w:numPr>
          <w:ilvl w:val="0"/>
          <w:numId w:val="148"/>
        </w:numPr>
        <w:pBdr>
          <w:left w:val="single" w:sz="20" w:space="8" w:color="17A589"/>
        </w:pBdr>
        <w:shd w:val="clear" w:color="auto" w:fill="EAF7F4"/>
        <w:spacing w:before="40" w:after="40"/>
        <w:ind w:left="240"/>
        <w:rPr>
          <w:lang w:val="de-AT"/>
        </w:rPr>
      </w:pPr>
      <w:r>
        <w:rPr>
          <w:i/>
          <w:iCs/>
          <w:color w:val="0D4035"/>
          <w:sz w:val="20"/>
          <w:szCs w:val="20"/>
          <w:lang w:val="de-AT"/>
        </w:rPr>
        <w:t>IEC 62351 (IT-Sicherheit für Energiesysteme) und IEC 61850 als Zeitdomänen in CTDDL modellierbar; ChronoGrid schließt die Lücke zwischen industriellen Echtzeitsystemen und IT-Zeitstandards</w:t>
      </w:r>
    </w:p>
    <w:p w14:paraId="63EE607D" w14:textId="77777777" w:rsidR="00D1028B" w:rsidRPr="00260DEC" w:rsidRDefault="00892948">
      <w:pPr>
        <w:numPr>
          <w:ilvl w:val="0"/>
          <w:numId w:val="148"/>
        </w:numPr>
        <w:pBdr>
          <w:left w:val="single" w:sz="20" w:space="8" w:color="17A589"/>
        </w:pBdr>
        <w:shd w:val="clear" w:color="auto" w:fill="EAF7F4"/>
        <w:spacing w:before="40" w:after="40"/>
        <w:ind w:left="240"/>
        <w:rPr>
          <w:lang w:val="de-AT"/>
        </w:rPr>
      </w:pPr>
      <w:r>
        <w:rPr>
          <w:i/>
          <w:iCs/>
          <w:color w:val="0D4035"/>
          <w:sz w:val="20"/>
          <w:szCs w:val="20"/>
          <w:lang w:val="de-AT"/>
        </w:rPr>
        <w:t>SCADA-Ereigniszeitstempel über Protokollgrenzen (Modbus, DNP3, IEC 61850) hinweg: CGTA als normierte Übersetzungsschicht macht forensische Analysen von Netzstörungen deterministisch</w:t>
      </w:r>
    </w:p>
    <w:p w14:paraId="63EE607E" w14:textId="77777777" w:rsidR="00D1028B" w:rsidRPr="00260DEC" w:rsidRDefault="00892948">
      <w:pPr>
        <w:numPr>
          <w:ilvl w:val="0"/>
          <w:numId w:val="148"/>
        </w:numPr>
        <w:pBdr>
          <w:left w:val="single" w:sz="20" w:space="8" w:color="17A589"/>
        </w:pBdr>
        <w:shd w:val="clear" w:color="auto" w:fill="EAF7F4"/>
        <w:spacing w:before="40" w:after="40"/>
        <w:ind w:left="240"/>
        <w:rPr>
          <w:lang w:val="de-AT"/>
        </w:rPr>
      </w:pPr>
      <w:r>
        <w:rPr>
          <w:i/>
          <w:iCs/>
          <w:color w:val="0D4035"/>
          <w:sz w:val="20"/>
          <w:szCs w:val="20"/>
          <w:lang w:val="de-AT"/>
        </w:rPr>
        <w:t>Historian-Datenbanken für Prozessdaten erhalten mit CGTA eine zeitzonenneutrale Zeitachse — Langzeitauswertungen über Jahrzehnte sind ohne Konversionsfehler durch historische Zeitzonenänderungen möglich</w:t>
      </w:r>
    </w:p>
    <w:p w14:paraId="63EE607F" w14:textId="77777777" w:rsidR="00D1028B" w:rsidRDefault="00892948">
      <w:pPr>
        <w:numPr>
          <w:ilvl w:val="0"/>
          <w:numId w:val="148"/>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080" w14:textId="77777777" w:rsidR="00D1028B" w:rsidRDefault="00892948">
      <w:pPr>
        <w:pStyle w:val="berschrift3"/>
      </w:pPr>
      <w:bookmarkStart w:id="208" w:name="X7a3cab3b65cf5706f4afca3a0143188ca448d7b"/>
      <w:bookmarkStart w:id="209" w:name="_Toc226451980"/>
      <w:bookmarkEnd w:id="206"/>
      <w:r>
        <w:t>18.2 Manufacturing Execution Systems (MES) und Qualitätsmanagement</w:t>
      </w:r>
      <w:bookmarkEnd w:id="209"/>
    </w:p>
    <w:p w14:paraId="63EE6081" w14:textId="77777777" w:rsidR="00D1028B" w:rsidRDefault="00892948">
      <w:pPr>
        <w:numPr>
          <w:ilvl w:val="0"/>
          <w:numId w:val="149"/>
        </w:numPr>
      </w:pPr>
      <w:r>
        <w:rPr>
          <w:lang w:val="de-AT"/>
        </w:rPr>
        <w:t xml:space="preserve">ISO-9001-Audits: Produktionsprotokolle müssen lückenlose Zeitverzeichnisse führen. </w:t>
      </w:r>
      <w:r>
        <w:t>Inkonsistente Zeitstempel zwischen MES und ERP sind ein bekanntes Auditproblem</w:t>
      </w:r>
    </w:p>
    <w:p w14:paraId="63EE6082" w14:textId="77777777" w:rsidR="00D1028B" w:rsidRDefault="00892948">
      <w:pPr>
        <w:numPr>
          <w:ilvl w:val="0"/>
          <w:numId w:val="149"/>
        </w:numPr>
      </w:pPr>
      <w:r>
        <w:rPr>
          <w:lang w:val="de-AT"/>
        </w:rPr>
        <w:t xml:space="preserve">Chargenverfolgung (Batch Traceability): Für Lebensmittel, Pharma und Chemie gesetzlich vorgeschrieben. </w:t>
      </w:r>
      <w:r>
        <w:t>Zeitstempel-Kette muss lückenlos von Rohstoff bis Endprodukt sein</w:t>
      </w:r>
    </w:p>
    <w:p w14:paraId="63EE6083" w14:textId="77777777" w:rsidR="00D1028B" w:rsidRPr="00260DEC" w:rsidRDefault="00892948">
      <w:pPr>
        <w:numPr>
          <w:ilvl w:val="0"/>
          <w:numId w:val="149"/>
        </w:numPr>
        <w:rPr>
          <w:lang w:val="de-AT"/>
        </w:rPr>
      </w:pPr>
      <w:r>
        <w:rPr>
          <w:lang w:val="de-AT"/>
        </w:rPr>
        <w:t>Reparatur- und Wartungshistorie: „Wartung durchgeführt am...” — inkonsistente Zeitstempel über verschiedene Wartungssysteme hinweg</w:t>
      </w:r>
    </w:p>
    <w:p w14:paraId="63EE6084" w14:textId="77777777" w:rsidR="00D1028B" w:rsidRPr="00260DEC" w:rsidRDefault="00892948">
      <w:pPr>
        <w:numPr>
          <w:ilvl w:val="0"/>
          <w:numId w:val="149"/>
        </w:numPr>
        <w:rPr>
          <w:lang w:val="de-AT"/>
        </w:rPr>
      </w:pPr>
      <w:r>
        <w:rPr>
          <w:lang w:val="de-AT"/>
        </w:rPr>
        <w:t>FMEA (Failure Mode and Effects Analysis): Zeitliche Korrelation von Fehlerereignissen — inkonsistente Zeitbasen verhindern korrekte Ursachenanalyse</w:t>
      </w:r>
    </w:p>
    <w:p w14:paraId="63EE6085" w14:textId="77777777" w:rsidR="00D1028B" w:rsidRDefault="00892948">
      <w:pPr>
        <w:numPr>
          <w:ilvl w:val="0"/>
          <w:numId w:val="149"/>
        </w:numPr>
      </w:pPr>
      <w:r>
        <w:rPr>
          <w:lang w:val="de-AT"/>
        </w:rPr>
        <w:t xml:space="preserve">Predictive Maintenance: KI-Modelle lernen aus historischen Sensordaten. </w:t>
      </w:r>
      <w:r>
        <w:t>Zeitachsen-Konsistenz über Jahre ist Voraussetzung für Modellqualität</w:t>
      </w:r>
    </w:p>
    <w:p w14:paraId="63EE6086"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87" w14:textId="77777777" w:rsidR="00D1028B" w:rsidRPr="00260DEC" w:rsidRDefault="00892948">
      <w:pPr>
        <w:numPr>
          <w:ilvl w:val="0"/>
          <w:numId w:val="150"/>
        </w:numPr>
        <w:pBdr>
          <w:left w:val="single" w:sz="20" w:space="8" w:color="17A589"/>
        </w:pBdr>
        <w:shd w:val="clear" w:color="auto" w:fill="EAF7F4"/>
        <w:spacing w:before="40" w:after="40"/>
        <w:ind w:left="240"/>
        <w:rPr>
          <w:lang w:val="de-AT"/>
        </w:rPr>
      </w:pPr>
      <w:r>
        <w:rPr>
          <w:i/>
          <w:iCs/>
          <w:color w:val="0D4035"/>
          <w:sz w:val="20"/>
          <w:szCs w:val="20"/>
          <w:lang w:val="de-AT"/>
        </w:rPr>
        <w:t>Fertigungschargen-Zeitstempel (Batch-Protokolle, Qualitätsprüfungen) als CGTA in MES-Systemen: über Werksstandorte, Schichtsysteme und Systemgrenzen hinweg lückenlos rückverfolgbar</w:t>
      </w:r>
    </w:p>
    <w:p w14:paraId="63EE6088" w14:textId="77777777" w:rsidR="00D1028B" w:rsidRPr="00260DEC" w:rsidRDefault="00892948">
      <w:pPr>
        <w:numPr>
          <w:ilvl w:val="0"/>
          <w:numId w:val="150"/>
        </w:numPr>
        <w:pBdr>
          <w:left w:val="single" w:sz="20" w:space="8" w:color="17A589"/>
        </w:pBdr>
        <w:shd w:val="clear" w:color="auto" w:fill="EAF7F4"/>
        <w:spacing w:before="40" w:after="40"/>
        <w:ind w:left="240"/>
        <w:rPr>
          <w:lang w:val="de-AT"/>
        </w:rPr>
      </w:pPr>
      <w:r>
        <w:rPr>
          <w:i/>
          <w:iCs/>
          <w:color w:val="0D4035"/>
          <w:sz w:val="20"/>
          <w:szCs w:val="20"/>
          <w:lang w:val="de-AT"/>
        </w:rPr>
        <w:t>GMP/GDP-konforme Chargenprotokolle (Pharma, Lebensmittel) erhalten durch CGTA unveränderliche Zeitstempel — behördliche Inspektionen (FDA 21 CFR Part 11, EU GMP Annex 11) werden erleichtert</w:t>
      </w:r>
    </w:p>
    <w:p w14:paraId="63EE6089" w14:textId="77777777" w:rsidR="00D1028B" w:rsidRPr="00260DEC" w:rsidRDefault="00892948">
      <w:pPr>
        <w:numPr>
          <w:ilvl w:val="0"/>
          <w:numId w:val="150"/>
        </w:numPr>
        <w:pBdr>
          <w:left w:val="single" w:sz="20" w:space="8" w:color="17A589"/>
        </w:pBdr>
        <w:shd w:val="clear" w:color="auto" w:fill="EAF7F4"/>
        <w:spacing w:before="40" w:after="40"/>
        <w:ind w:left="240"/>
        <w:rPr>
          <w:lang w:val="de-AT"/>
        </w:rPr>
      </w:pPr>
      <w:r>
        <w:rPr>
          <w:i/>
          <w:iCs/>
          <w:color w:val="0D4035"/>
          <w:sz w:val="20"/>
          <w:szCs w:val="20"/>
          <w:lang w:val="de-AT"/>
        </w:rPr>
        <w:t>OEE-Kennzahlen (Overall Equipment Effectiveness) über Produktionslinien in verschiedenen Zeitzonen: CGTA liefert die normierte Zeitbasis für Vergleichbarkeit und kontinuierliche Verbesserung</w:t>
      </w:r>
    </w:p>
    <w:p w14:paraId="63EE608A" w14:textId="77777777" w:rsidR="00D1028B" w:rsidRPr="00260DEC" w:rsidRDefault="00892948">
      <w:pPr>
        <w:pStyle w:val="berschrift3"/>
        <w:rPr>
          <w:lang w:val="de-AT"/>
        </w:rPr>
      </w:pPr>
      <w:bookmarkStart w:id="210" w:name="wartungsintervalle-und-betriebsstunden"/>
      <w:bookmarkStart w:id="211" w:name="_Toc226451981"/>
      <w:bookmarkEnd w:id="208"/>
      <w:r>
        <w:rPr>
          <w:lang w:val="de-AT"/>
        </w:rPr>
        <w:t>18.3 Wartungsintervalle und Betriebsstunden</w:t>
      </w:r>
      <w:bookmarkEnd w:id="211"/>
    </w:p>
    <w:p w14:paraId="63EE608B" w14:textId="77777777" w:rsidR="00D1028B" w:rsidRPr="00260DEC" w:rsidRDefault="00892948">
      <w:pPr>
        <w:rPr>
          <w:lang w:val="de-AT"/>
        </w:rPr>
      </w:pPr>
      <w:r>
        <w:rPr>
          <w:lang w:val="de-AT"/>
        </w:rPr>
        <w:t>„Wartung alle 500 Betriebsstunden” klingt einfach — ist es aber nicht:</w:t>
      </w:r>
    </w:p>
    <w:p w14:paraId="63EE608C" w14:textId="77777777" w:rsidR="00D1028B" w:rsidRPr="00260DEC" w:rsidRDefault="00892948">
      <w:pPr>
        <w:numPr>
          <w:ilvl w:val="0"/>
          <w:numId w:val="151"/>
        </w:numPr>
        <w:rPr>
          <w:lang w:val="de-AT"/>
        </w:rPr>
      </w:pPr>
      <w:r>
        <w:rPr>
          <w:lang w:val="de-AT"/>
        </w:rPr>
        <w:t>Betriebsstunden-Zähler: Verschiedene Systeme messen unterschiedlich (Einschaltzeit, Lastzeit, Laufzeit unter Volllast)</w:t>
      </w:r>
    </w:p>
    <w:p w14:paraId="63EE608D" w14:textId="77777777" w:rsidR="00D1028B" w:rsidRDefault="00892948">
      <w:pPr>
        <w:numPr>
          <w:ilvl w:val="0"/>
          <w:numId w:val="151"/>
        </w:numPr>
      </w:pPr>
      <w:r>
        <w:rPr>
          <w:lang w:val="de-AT"/>
        </w:rPr>
        <w:t xml:space="preserve">Multi-Shift-Betrieb: Maschine läuft in zwei Schichten mit DST-Übergang — eine Schicht hat 7 statt 8 Stunden. </w:t>
      </w:r>
      <w:r>
        <w:t>Kumulierung übers Jahr: 1 Stunde Fehler in der Betriebsstunden-Zählung</w:t>
      </w:r>
    </w:p>
    <w:p w14:paraId="63EE608E" w14:textId="77777777" w:rsidR="00D1028B" w:rsidRPr="00260DEC" w:rsidRDefault="00892948">
      <w:pPr>
        <w:numPr>
          <w:ilvl w:val="0"/>
          <w:numId w:val="151"/>
        </w:numPr>
        <w:rPr>
          <w:lang w:val="de-AT"/>
        </w:rPr>
      </w:pPr>
      <w:r>
        <w:rPr>
          <w:lang w:val="de-AT"/>
        </w:rPr>
        <w:lastRenderedPageBreak/>
        <w:t>Präventive vs. korrektive Wartung: Zeitpunkt der letzten Wartung und nächste fällige Wartung — beide abhängig von präziser Zeitbasis</w:t>
      </w:r>
    </w:p>
    <w:p w14:paraId="63EE608F" w14:textId="77777777" w:rsidR="00D1028B" w:rsidRDefault="00892948">
      <w:pPr>
        <w:numPr>
          <w:ilvl w:val="0"/>
          <w:numId w:val="151"/>
        </w:numPr>
      </w:pPr>
      <w:r>
        <w:rPr>
          <w:lang w:val="de-AT"/>
        </w:rPr>
        <w:t xml:space="preserve">Garantie und Gewährleistung: Ablauf der Garantiefrist — bei Maschinen oft Betriebsstunden-basiert, nicht kalenderbasiert. </w:t>
      </w:r>
      <w:r>
        <w:t>Kombination beider ist systemabhängig</w:t>
      </w:r>
    </w:p>
    <w:p w14:paraId="63EE6090"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91" w14:textId="77777777" w:rsidR="00D1028B" w:rsidRPr="00260DEC" w:rsidRDefault="00892948">
      <w:pPr>
        <w:numPr>
          <w:ilvl w:val="0"/>
          <w:numId w:val="152"/>
        </w:numPr>
        <w:pBdr>
          <w:left w:val="single" w:sz="20" w:space="8" w:color="17A589"/>
        </w:pBdr>
        <w:shd w:val="clear" w:color="auto" w:fill="EAF7F4"/>
        <w:spacing w:before="40" w:after="40"/>
        <w:ind w:left="240"/>
        <w:rPr>
          <w:lang w:val="de-AT"/>
        </w:rPr>
      </w:pPr>
      <w:r>
        <w:rPr>
          <w:i/>
          <w:iCs/>
          <w:color w:val="0D4035"/>
          <w:sz w:val="20"/>
          <w:szCs w:val="20"/>
          <w:lang w:val="de-AT"/>
        </w:rPr>
        <w:t>Betriebsstunden-Zähler als CGTA-kumulative Werte: maschinenlesbar, manipulationsresistent und über Firmware-Updates hinweg konsistent — relevant für Garantie- und Gewährleistungsnachweise</w:t>
      </w:r>
    </w:p>
    <w:p w14:paraId="63EE6092" w14:textId="77777777" w:rsidR="00D1028B" w:rsidRPr="00260DEC" w:rsidRDefault="00892948">
      <w:pPr>
        <w:numPr>
          <w:ilvl w:val="0"/>
          <w:numId w:val="152"/>
        </w:numPr>
        <w:pBdr>
          <w:left w:val="single" w:sz="20" w:space="8" w:color="17A589"/>
        </w:pBdr>
        <w:shd w:val="clear" w:color="auto" w:fill="EAF7F4"/>
        <w:spacing w:before="40" w:after="40"/>
        <w:ind w:left="240"/>
        <w:rPr>
          <w:lang w:val="de-AT"/>
        </w:rPr>
      </w:pPr>
      <w:r>
        <w:rPr>
          <w:i/>
          <w:iCs/>
          <w:color w:val="0D4035"/>
          <w:sz w:val="20"/>
          <w:szCs w:val="20"/>
          <w:lang w:val="de-AT"/>
        </w:rPr>
        <w:t>Predictive-Maintenance-Algorithmen erhalten eine normierte CGTA-Zeitachse für Sensorwert-Zeitreihen — Cross-Hersteller-Vergleiche von Wartungsintervallen werden deterministisch</w:t>
      </w:r>
    </w:p>
    <w:p w14:paraId="63EE6093" w14:textId="77777777" w:rsidR="00D1028B" w:rsidRPr="00260DEC" w:rsidRDefault="00892948">
      <w:pPr>
        <w:numPr>
          <w:ilvl w:val="0"/>
          <w:numId w:val="152"/>
        </w:numPr>
        <w:pBdr>
          <w:left w:val="single" w:sz="20" w:space="8" w:color="17A589"/>
        </w:pBdr>
        <w:shd w:val="clear" w:color="auto" w:fill="EAF7F4"/>
        <w:spacing w:before="40" w:after="40"/>
        <w:ind w:left="240"/>
        <w:rPr>
          <w:lang w:val="de-AT"/>
        </w:rPr>
      </w:pPr>
      <w:r>
        <w:rPr>
          <w:i/>
          <w:iCs/>
          <w:color w:val="0D4035"/>
          <w:sz w:val="20"/>
          <w:szCs w:val="20"/>
          <w:lang w:val="de-AT"/>
        </w:rPr>
        <w:t>Wartungsverträge mit SLA-Zeitfenstern (z. B. 4-Stunden-Reaktionszeit) als CTDDL-Intervalle: CGTA misst Reaktionszeiten über Zeitzonen und Feiertage korrekt — keine Vertragsstreitigkeiten durch Zeitberechnungsfehler</w:t>
      </w:r>
    </w:p>
    <w:p w14:paraId="63EE6094" w14:textId="77777777" w:rsidR="00D1028B" w:rsidRPr="00260DEC" w:rsidRDefault="00892948">
      <w:pPr>
        <w:numPr>
          <w:ilvl w:val="0"/>
          <w:numId w:val="152"/>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95" w14:textId="77777777" w:rsidR="00D1028B" w:rsidRPr="00260DEC" w:rsidRDefault="00892948">
      <w:pPr>
        <w:pStyle w:val="berschrift2"/>
        <w:rPr>
          <w:lang w:val="de-AT"/>
        </w:rPr>
      </w:pPr>
      <w:bookmarkStart w:id="212" w:name="digitale-langzeitarchivierung"/>
      <w:bookmarkStart w:id="213" w:name="_Toc226451982"/>
      <w:bookmarkEnd w:id="204"/>
      <w:bookmarkEnd w:id="210"/>
      <w:r>
        <w:rPr>
          <w:lang w:val="de-AT"/>
        </w:rPr>
        <w:t>19 Digitale Langzeitarchivierung</w:t>
      </w:r>
      <w:bookmarkEnd w:id="213"/>
    </w:p>
    <w:p w14:paraId="63EE6096" w14:textId="77777777" w:rsidR="00D1028B" w:rsidRPr="00260DEC" w:rsidRDefault="00892948">
      <w:pPr>
        <w:rPr>
          <w:lang w:val="de-AT"/>
        </w:rPr>
      </w:pPr>
      <w:r>
        <w:rPr>
          <w:lang w:val="de-AT"/>
        </w:rPr>
        <w:t>Archive müssen Inhalte nicht für Jahre, sondern für Jahrzehnte und Jahrhunderte zugänglich und authentisch erhalten. Zeit ist dabei doppelt relevant: als Metadatum des Inhalts und als Authentizitätsnachweis.</w:t>
      </w:r>
    </w:p>
    <w:p w14:paraId="63EE6097" w14:textId="77777777" w:rsidR="00D1028B" w:rsidRDefault="00892948">
      <w:pPr>
        <w:pStyle w:val="berschrift3"/>
      </w:pPr>
      <w:bookmarkStart w:id="214" w:name="kulturelle-und-wissenschaftliche-archive"/>
      <w:bookmarkStart w:id="215" w:name="_Toc226451983"/>
      <w:r>
        <w:t>19.1 Kulturelle und wissenschaftliche Archive</w:t>
      </w:r>
      <w:bookmarkEnd w:id="215"/>
    </w:p>
    <w:p w14:paraId="63EE6098" w14:textId="77777777" w:rsidR="00D1028B" w:rsidRPr="00260DEC" w:rsidRDefault="00892948">
      <w:pPr>
        <w:numPr>
          <w:ilvl w:val="0"/>
          <w:numId w:val="153"/>
        </w:numPr>
        <w:rPr>
          <w:lang w:val="de-AT"/>
        </w:rPr>
      </w:pPr>
      <w:r>
        <w:rPr>
          <w:lang w:val="de-AT"/>
        </w:rPr>
        <w:t>Österreichische Nationalbibliothek (ONB): Digitale Sammlungen mit Provenienz-Zeitstempeln — Authentizität über Jahrhunderte muss nachweisbar sein</w:t>
      </w:r>
    </w:p>
    <w:p w14:paraId="63EE6099" w14:textId="77777777" w:rsidR="00D1028B" w:rsidRPr="00260DEC" w:rsidRDefault="00892948">
      <w:pPr>
        <w:numPr>
          <w:ilvl w:val="0"/>
          <w:numId w:val="153"/>
        </w:numPr>
        <w:rPr>
          <w:lang w:val="de-AT"/>
        </w:rPr>
      </w:pPr>
      <w:r>
        <w:rPr>
          <w:lang w:val="de-AT"/>
        </w:rPr>
        <w:t>Universitätsarchive: Dissertationen, Forschungsdaten, Laborbücher — Zeitstempel sind Teil der wissenschaftlichen Integrität</w:t>
      </w:r>
    </w:p>
    <w:p w14:paraId="63EE609A" w14:textId="77777777" w:rsidR="00D1028B" w:rsidRPr="00260DEC" w:rsidRDefault="00892948">
      <w:pPr>
        <w:numPr>
          <w:ilvl w:val="0"/>
          <w:numId w:val="153"/>
        </w:numPr>
        <w:rPr>
          <w:lang w:val="de-AT"/>
        </w:rPr>
      </w:pPr>
      <w:r>
        <w:rPr>
          <w:lang w:val="de-AT"/>
        </w:rPr>
        <w:t>Museen und Kunstarchive: Digitalisate mit Entstehungs- und Digitalisierungszeitpunkt — für Provenienzforschung (besonders bei NS-Raubkunst) kritisch</w:t>
      </w:r>
    </w:p>
    <w:p w14:paraId="63EE609B" w14:textId="77777777" w:rsidR="00D1028B" w:rsidRPr="00260DEC" w:rsidRDefault="00892948">
      <w:pPr>
        <w:numPr>
          <w:ilvl w:val="0"/>
          <w:numId w:val="153"/>
        </w:numPr>
        <w:rPr>
          <w:lang w:val="de-AT"/>
        </w:rPr>
      </w:pPr>
      <w:r>
        <w:rPr>
          <w:lang w:val="de-AT"/>
        </w:rPr>
        <w:t>Parlamentsarchiv: Gesetzgebungsakte müssen mit exaktem Zeitpunkt des Beschlusses archiviert sein — rechtlich verbindlich</w:t>
      </w:r>
    </w:p>
    <w:p w14:paraId="63EE609C" w14:textId="77777777" w:rsidR="00D1028B" w:rsidRDefault="00892948">
      <w:r>
        <w:rPr>
          <w:i/>
          <w:iCs/>
          <w:lang w:val="de-AT"/>
        </w:rPr>
        <w:t xml:space="preserve">OAIS (Open Archival Information System, ISO 14721): Der internationale Standard für digitale Langzeitarchivierung schreibt Zeitstempel für alle Prozesse vor — definiert aber keinen universellen Zeitstandard. </w:t>
      </w:r>
      <w:r>
        <w:rPr>
          <w:i/>
          <w:iCs/>
        </w:rPr>
        <w:t>ChronoGrid könnte diese Lücke schließen.</w:t>
      </w:r>
    </w:p>
    <w:p w14:paraId="63EE609D"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9E" w14:textId="77777777" w:rsidR="00D1028B" w:rsidRPr="00260DEC" w:rsidRDefault="00892948">
      <w:pPr>
        <w:numPr>
          <w:ilvl w:val="0"/>
          <w:numId w:val="154"/>
        </w:numPr>
        <w:pBdr>
          <w:left w:val="single" w:sz="20" w:space="8" w:color="17A589"/>
        </w:pBdr>
        <w:shd w:val="clear" w:color="auto" w:fill="EAF7F4"/>
        <w:spacing w:before="40" w:after="40"/>
        <w:ind w:left="240"/>
        <w:rPr>
          <w:lang w:val="de-AT"/>
        </w:rPr>
      </w:pPr>
      <w:r>
        <w:rPr>
          <w:i/>
          <w:iCs/>
          <w:color w:val="0D4035"/>
          <w:sz w:val="20"/>
          <w:szCs w:val="20"/>
          <w:lang w:val="de-AT"/>
        </w:rPr>
        <w:t>Kulturelle Archivobjekte (Dokumente, Fotografien, AV-Medien) erhalten durch CGTA einen Entstehungszeitpunkt der über Jahrhunderte ohne Interpretationsverlust reproduzierbar ist — unabhängig von künftigen Kalenderreformen</w:t>
      </w:r>
    </w:p>
    <w:p w14:paraId="63EE609F" w14:textId="77777777" w:rsidR="00D1028B" w:rsidRPr="00260DEC" w:rsidRDefault="00892948">
      <w:pPr>
        <w:numPr>
          <w:ilvl w:val="0"/>
          <w:numId w:val="154"/>
        </w:numPr>
        <w:pBdr>
          <w:left w:val="single" w:sz="20" w:space="8" w:color="17A589"/>
        </w:pBdr>
        <w:shd w:val="clear" w:color="auto" w:fill="EAF7F4"/>
        <w:spacing w:before="40" w:after="40"/>
        <w:ind w:left="240"/>
        <w:rPr>
          <w:lang w:val="de-AT"/>
        </w:rPr>
      </w:pPr>
      <w:r>
        <w:rPr>
          <w:i/>
          <w:iCs/>
          <w:color w:val="0D4035"/>
          <w:sz w:val="20"/>
          <w:szCs w:val="20"/>
          <w:lang w:val="de-AT"/>
        </w:rPr>
        <w:t>OAIS-konformes Langzeitarchiv (ISO 14721) mit CGTA als normiertem Zeittyp: Fixity-Checks und Provenance-Metadaten bleiben über Systemmigrationen korrekt — kein „temporal drift” in Archivdaten</w:t>
      </w:r>
    </w:p>
    <w:p w14:paraId="63EE60A0" w14:textId="77777777" w:rsidR="00D1028B" w:rsidRPr="00260DEC" w:rsidRDefault="00892948">
      <w:pPr>
        <w:numPr>
          <w:ilvl w:val="0"/>
          <w:numId w:val="154"/>
        </w:numPr>
        <w:pBdr>
          <w:left w:val="single" w:sz="20" w:space="8" w:color="17A589"/>
        </w:pBdr>
        <w:shd w:val="clear" w:color="auto" w:fill="EAF7F4"/>
        <w:spacing w:before="40" w:after="40"/>
        <w:ind w:left="240"/>
        <w:rPr>
          <w:lang w:val="de-AT"/>
        </w:rPr>
      </w:pPr>
      <w:r>
        <w:rPr>
          <w:i/>
          <w:iCs/>
          <w:color w:val="0D4035"/>
          <w:sz w:val="20"/>
          <w:szCs w:val="20"/>
          <w:lang w:val="de-AT"/>
        </w:rPr>
        <w:t>Wissenschaftliche Primärdaten (Laborjournale, Beobachtungsdaten) mit CGTA-Zeitstempel sind reproduzierbar und für künftige Forscher eindeutig zuordenbar — Grundlage für langfristige wissenschaftliche Integrität</w:t>
      </w:r>
    </w:p>
    <w:p w14:paraId="63EE60A1" w14:textId="77777777" w:rsidR="00D1028B" w:rsidRDefault="00892948">
      <w:pPr>
        <w:pStyle w:val="berschrift3"/>
      </w:pPr>
      <w:bookmarkStart w:id="216" w:name="unternehmens--und-behördenarchivierung"/>
      <w:bookmarkStart w:id="217" w:name="_Toc226451984"/>
      <w:bookmarkEnd w:id="214"/>
      <w:r>
        <w:lastRenderedPageBreak/>
        <w:t>19.2 Unternehmens- und Behördenarchivierung</w:t>
      </w:r>
      <w:bookmarkEnd w:id="217"/>
    </w:p>
    <w:p w14:paraId="63EE60A2" w14:textId="77777777" w:rsidR="00D1028B" w:rsidRDefault="00892948">
      <w:pPr>
        <w:numPr>
          <w:ilvl w:val="0"/>
          <w:numId w:val="155"/>
        </w:numPr>
      </w:pPr>
      <w:r>
        <w:rPr>
          <w:lang w:val="de-AT"/>
        </w:rPr>
        <w:t xml:space="preserve">Handelsrechtliche Aufbewahrungspflichten: 7 Jahre für Buchungsbelege (Österreich), 10 Jahre für bestimmte Dokumente. </w:t>
      </w:r>
      <w:r>
        <w:t>Beginn der Frist: Zeitpunkt des Geschäftsvorfalls</w:t>
      </w:r>
    </w:p>
    <w:p w14:paraId="63EE60A3" w14:textId="77777777" w:rsidR="00D1028B" w:rsidRDefault="00892948">
      <w:pPr>
        <w:numPr>
          <w:ilvl w:val="0"/>
          <w:numId w:val="155"/>
        </w:numPr>
      </w:pPr>
      <w:r>
        <w:rPr>
          <w:lang w:val="de-AT"/>
        </w:rPr>
        <w:t xml:space="preserve">E-Mail-Archivierung: Unternehmen müssen E-Mails mit Zeitstempel archivieren. </w:t>
      </w:r>
      <w:r>
        <w:t>Zeitstempel-Manipulation im Nachhinein muss nachweisbar ausgeschlossen sein</w:t>
      </w:r>
    </w:p>
    <w:p w14:paraId="63EE60A4" w14:textId="77777777" w:rsidR="00D1028B" w:rsidRPr="00260DEC" w:rsidRDefault="00892948">
      <w:pPr>
        <w:numPr>
          <w:ilvl w:val="0"/>
          <w:numId w:val="155"/>
        </w:numPr>
        <w:rPr>
          <w:lang w:val="de-AT"/>
        </w:rPr>
      </w:pPr>
      <w:r>
        <w:rPr>
          <w:lang w:val="de-AT"/>
        </w:rPr>
        <w:t>Steuerliche Archivierung (BAO): Belege müssen in originaler Form mit originalem Zeitstempel aufbewahrt werden</w:t>
      </w:r>
    </w:p>
    <w:p w14:paraId="63EE60A5" w14:textId="77777777" w:rsidR="00D1028B" w:rsidRPr="00260DEC" w:rsidRDefault="00892948">
      <w:pPr>
        <w:numPr>
          <w:ilvl w:val="0"/>
          <w:numId w:val="155"/>
        </w:numPr>
        <w:rPr>
          <w:lang w:val="de-AT"/>
        </w:rPr>
      </w:pPr>
      <w:r>
        <w:rPr>
          <w:lang w:val="de-AT"/>
        </w:rPr>
        <w:t>EU-GxP (Good Practice für Pharma und Medizintechnik): 21 CFR Part 11 (FDA) und EU Annex 11 schreiben audit-fähige, manipulationsfreie Zeitstempel vor</w:t>
      </w:r>
    </w:p>
    <w:p w14:paraId="63EE60A6" w14:textId="77777777" w:rsidR="00D1028B" w:rsidRPr="00260DEC" w:rsidRDefault="00892948">
      <w:pPr>
        <w:numPr>
          <w:ilvl w:val="0"/>
          <w:numId w:val="155"/>
        </w:numPr>
        <w:rPr>
          <w:lang w:val="de-AT"/>
        </w:rPr>
      </w:pPr>
      <w:r>
        <w:rPr>
          <w:lang w:val="de-AT"/>
        </w:rPr>
        <w:t>Behörden-E-Government: Eingaben an Behörden müssen mit rechtssicherem Zeitstempel archiviert werden — ERV (Österreich) als Pilotfeld</w:t>
      </w:r>
    </w:p>
    <w:p w14:paraId="63EE60A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A8" w14:textId="77777777" w:rsidR="00D1028B" w:rsidRPr="00260DEC" w:rsidRDefault="00892948">
      <w:pPr>
        <w:numPr>
          <w:ilvl w:val="0"/>
          <w:numId w:val="156"/>
        </w:numPr>
        <w:pBdr>
          <w:left w:val="single" w:sz="20" w:space="8" w:color="17A589"/>
        </w:pBdr>
        <w:shd w:val="clear" w:color="auto" w:fill="EAF7F4"/>
        <w:spacing w:before="40" w:after="40"/>
        <w:ind w:left="240"/>
        <w:rPr>
          <w:lang w:val="de-AT"/>
        </w:rPr>
      </w:pPr>
      <w:r>
        <w:rPr>
          <w:i/>
          <w:iCs/>
          <w:color w:val="0D4035"/>
          <w:sz w:val="20"/>
          <w:szCs w:val="20"/>
          <w:lang w:val="de-AT"/>
        </w:rPr>
        <w:t>DSGVO-konforme Löschfristen und Aufbewahrungsfristen als CTDDL-Intervalle: CGTA berechnet Fristenden deterministisch über Jahrzehnte — keine manuellen Zeitzonenprüfungen bei Migration</w:t>
      </w:r>
    </w:p>
    <w:p w14:paraId="63EE60A9" w14:textId="77777777" w:rsidR="00D1028B" w:rsidRPr="00260DEC" w:rsidRDefault="00892948">
      <w:pPr>
        <w:numPr>
          <w:ilvl w:val="0"/>
          <w:numId w:val="156"/>
        </w:numPr>
        <w:pBdr>
          <w:left w:val="single" w:sz="20" w:space="8" w:color="17A589"/>
        </w:pBdr>
        <w:shd w:val="clear" w:color="auto" w:fill="EAF7F4"/>
        <w:spacing w:before="40" w:after="40"/>
        <w:ind w:left="240"/>
        <w:rPr>
          <w:lang w:val="de-AT"/>
        </w:rPr>
      </w:pPr>
      <w:r>
        <w:rPr>
          <w:i/>
          <w:iCs/>
          <w:color w:val="0D4035"/>
          <w:sz w:val="20"/>
          <w:szCs w:val="20"/>
          <w:lang w:val="de-AT"/>
        </w:rPr>
        <w:t>Handelsrechtliche Aufbewahrungsfristen (7–10 Jahre je nach Jurisdiktion) als CGTA-Intervalle in Dokumentenmanagementsystemen: automatisierte Löschworkflows sind zeitzonenneutral korrekt</w:t>
      </w:r>
    </w:p>
    <w:p w14:paraId="63EE60AA" w14:textId="77777777" w:rsidR="00D1028B" w:rsidRPr="00260DEC" w:rsidRDefault="00892948">
      <w:pPr>
        <w:numPr>
          <w:ilvl w:val="0"/>
          <w:numId w:val="156"/>
        </w:numPr>
        <w:pBdr>
          <w:left w:val="single" w:sz="20" w:space="8" w:color="17A589"/>
        </w:pBdr>
        <w:shd w:val="clear" w:color="auto" w:fill="EAF7F4"/>
        <w:spacing w:before="40" w:after="40"/>
        <w:ind w:left="240"/>
        <w:rPr>
          <w:lang w:val="de-AT"/>
        </w:rPr>
      </w:pPr>
      <w:r>
        <w:rPr>
          <w:i/>
          <w:iCs/>
          <w:color w:val="0D4035"/>
          <w:sz w:val="20"/>
          <w:szCs w:val="20"/>
          <w:lang w:val="de-AT"/>
        </w:rPr>
        <w:t>Audit-Trails für Unternehmensdokumente mit CGTA-Zeitstempeln erfüllen ISO 15489 (Records Management) und sind für Jahrzehnte ohne Interpretationsverlust nachvollziehbar</w:t>
      </w:r>
    </w:p>
    <w:p w14:paraId="63EE60AB" w14:textId="77777777" w:rsidR="00D1028B" w:rsidRPr="00260DEC" w:rsidRDefault="00892948">
      <w:pPr>
        <w:numPr>
          <w:ilvl w:val="0"/>
          <w:numId w:val="156"/>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AC" w14:textId="77777777" w:rsidR="00D1028B" w:rsidRPr="00260DEC" w:rsidRDefault="00892948">
      <w:pPr>
        <w:pStyle w:val="berschrift3"/>
        <w:rPr>
          <w:lang w:val="de-AT"/>
        </w:rPr>
      </w:pPr>
      <w:bookmarkStart w:id="218" w:name="Xae7f341157d5d1ce7c854de70ef9589ced940bf"/>
      <w:bookmarkStart w:id="219" w:name="_Toc226451985"/>
      <w:bookmarkEnd w:id="216"/>
      <w:r>
        <w:rPr>
          <w:lang w:val="de-AT"/>
        </w:rPr>
        <w:t>19.3 Blockchain-basierte Archivierung und ihre Grenzen</w:t>
      </w:r>
      <w:bookmarkEnd w:id="219"/>
    </w:p>
    <w:p w14:paraId="63EE60AD" w14:textId="77777777" w:rsidR="00D1028B" w:rsidRDefault="00892948">
      <w:r>
        <w:rPr>
          <w:lang w:val="de-AT"/>
        </w:rPr>
        <w:t xml:space="preserve">Blockchain wird oft als Lösung für manipulationssichere Zeitstempel vermarktet. </w:t>
      </w:r>
      <w:r>
        <w:t>Die Realität ist differenzierter:</w:t>
      </w:r>
    </w:p>
    <w:p w14:paraId="63EE60AE" w14:textId="77777777" w:rsidR="00D1028B" w:rsidRPr="00260DEC" w:rsidRDefault="00892948">
      <w:pPr>
        <w:numPr>
          <w:ilvl w:val="0"/>
          <w:numId w:val="157"/>
        </w:numPr>
        <w:rPr>
          <w:lang w:val="de-AT"/>
        </w:rPr>
      </w:pPr>
      <w:r>
        <w:rPr>
          <w:lang w:val="de-AT"/>
        </w:rPr>
        <w:t>Block Timestamps in Bitcoin und Ethereum sind durch Miner innerhalb von ±2 Stunden manipulierbar (vgl. Online-Welt-Dokument)</w:t>
      </w:r>
    </w:p>
    <w:p w14:paraId="63EE60AF" w14:textId="77777777" w:rsidR="00D1028B" w:rsidRPr="00260DEC" w:rsidRDefault="00892948">
      <w:pPr>
        <w:numPr>
          <w:ilvl w:val="0"/>
          <w:numId w:val="157"/>
        </w:numPr>
        <w:rPr>
          <w:lang w:val="de-AT"/>
        </w:rPr>
      </w:pPr>
      <w:r>
        <w:rPr>
          <w:lang w:val="de-AT"/>
        </w:rPr>
        <w:t>Timestamping-Services (OpenTimestamps): Verankern Hash-Werte in Blockchain — beweisen Existenz vor einem Zeitpunkt, aber nicht den genauen Zeitpunkt</w:t>
      </w:r>
    </w:p>
    <w:p w14:paraId="63EE60B0" w14:textId="77777777" w:rsidR="00D1028B" w:rsidRPr="00260DEC" w:rsidRDefault="00892948">
      <w:pPr>
        <w:numPr>
          <w:ilvl w:val="0"/>
          <w:numId w:val="157"/>
        </w:numPr>
        <w:rPr>
          <w:lang w:val="de-AT"/>
        </w:rPr>
      </w:pPr>
      <w:r>
        <w:rPr>
          <w:lang w:val="de-AT"/>
        </w:rPr>
        <w:t>Qualified Electronic Timestamps (eIDAS): Rechtlich verbindlich, aber teuer und auf wenige TSPs beschränkt</w:t>
      </w:r>
    </w:p>
    <w:p w14:paraId="63EE60B1" w14:textId="77777777" w:rsidR="00D1028B" w:rsidRPr="00260DEC" w:rsidRDefault="00892948">
      <w:pPr>
        <w:numPr>
          <w:ilvl w:val="0"/>
          <w:numId w:val="157"/>
        </w:numPr>
        <w:rPr>
          <w:lang w:val="de-AT"/>
        </w:rPr>
      </w:pPr>
      <w:r>
        <w:rPr>
          <w:lang w:val="de-AT"/>
        </w:rPr>
        <w:t>Langzeitsignatur (LTV — Long Term Validation): Signaturen müssen periodisch erneuert werden, da Algorithmen altern — Zeitpunkt der Erneuerung ist kritisch</w:t>
      </w:r>
    </w:p>
    <w:p w14:paraId="63EE60B2"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B3" w14:textId="77777777" w:rsidR="00D1028B" w:rsidRPr="00260DEC" w:rsidRDefault="00892948">
      <w:pPr>
        <w:numPr>
          <w:ilvl w:val="0"/>
          <w:numId w:val="158"/>
        </w:numPr>
        <w:pBdr>
          <w:left w:val="single" w:sz="20" w:space="8" w:color="17A589"/>
        </w:pBdr>
        <w:shd w:val="clear" w:color="auto" w:fill="EAF7F4"/>
        <w:spacing w:before="40" w:after="40"/>
        <w:ind w:left="240"/>
        <w:rPr>
          <w:lang w:val="de-AT"/>
        </w:rPr>
      </w:pPr>
      <w:r>
        <w:rPr>
          <w:i/>
          <w:iCs/>
          <w:color w:val="0D4035"/>
          <w:sz w:val="20"/>
          <w:szCs w:val="20"/>
          <w:lang w:val="de-AT"/>
        </w:rPr>
        <w:t>Blockchain-Zeitstempel sind von Konsensmechanismen abhängig und manipulierbar; CGTA als externes Zeitorakel liefert für Archiv-Blockchains eine verifizierbare, konsensunabhängige Zeitreferenz</w:t>
      </w:r>
    </w:p>
    <w:p w14:paraId="63EE60B4" w14:textId="77777777" w:rsidR="00D1028B" w:rsidRPr="00260DEC" w:rsidRDefault="00892948">
      <w:pPr>
        <w:numPr>
          <w:ilvl w:val="0"/>
          <w:numId w:val="158"/>
        </w:numPr>
        <w:pBdr>
          <w:left w:val="single" w:sz="20" w:space="8" w:color="17A589"/>
        </w:pBdr>
        <w:shd w:val="clear" w:color="auto" w:fill="EAF7F4"/>
        <w:spacing w:before="40" w:after="40"/>
        <w:ind w:left="240"/>
        <w:rPr>
          <w:lang w:val="de-AT"/>
        </w:rPr>
      </w:pPr>
      <w:r>
        <w:rPr>
          <w:i/>
          <w:iCs/>
          <w:color w:val="0D4035"/>
          <w:sz w:val="20"/>
          <w:szCs w:val="20"/>
          <w:lang w:val="de-AT"/>
        </w:rPr>
        <w:t>Hybride Archivmodelle (Blockchain + klassisches Archiv) erhalten durch CGTA eine gemeinsame Zeitreferenz — Zeitstempel aus beiden Systemen sind direkt vergleichbar</w:t>
      </w:r>
    </w:p>
    <w:p w14:paraId="63EE60B5" w14:textId="77777777" w:rsidR="00D1028B" w:rsidRPr="00260DEC" w:rsidRDefault="00892948">
      <w:pPr>
        <w:numPr>
          <w:ilvl w:val="0"/>
          <w:numId w:val="158"/>
        </w:numPr>
        <w:pBdr>
          <w:left w:val="single" w:sz="20" w:space="8" w:color="17A589"/>
        </w:pBdr>
        <w:shd w:val="clear" w:color="auto" w:fill="EAF7F4"/>
        <w:spacing w:before="40" w:after="40"/>
        <w:ind w:left="240"/>
        <w:rPr>
          <w:lang w:val="de-AT"/>
        </w:rPr>
      </w:pPr>
      <w:r>
        <w:rPr>
          <w:i/>
          <w:iCs/>
          <w:color w:val="0D4035"/>
          <w:sz w:val="20"/>
          <w:szCs w:val="20"/>
          <w:lang w:val="de-AT"/>
        </w:rPr>
        <w:t>CTDDL kann Blockchain-Zeitdomänen formal beschreiben (Block-Zeit, Finalisierungszeit, Wall-Clock-Zeit), was Cross-Chain-Archivvergleiche normiert und maschinenlesbar macht</w:t>
      </w:r>
    </w:p>
    <w:p w14:paraId="63EE60B6" w14:textId="77777777" w:rsidR="00D1028B" w:rsidRPr="00260DEC" w:rsidRDefault="00892948">
      <w:pPr>
        <w:pStyle w:val="berschrift2"/>
        <w:rPr>
          <w:lang w:val="de-AT"/>
        </w:rPr>
      </w:pPr>
      <w:bookmarkStart w:id="220" w:name="autonome-systeme-und-robotik"/>
      <w:bookmarkStart w:id="221" w:name="_Toc226451986"/>
      <w:bookmarkEnd w:id="212"/>
      <w:bookmarkEnd w:id="218"/>
      <w:r>
        <w:rPr>
          <w:lang w:val="de-AT"/>
        </w:rPr>
        <w:lastRenderedPageBreak/>
        <w:t>20 Autonome Systeme und Robotik</w:t>
      </w:r>
      <w:bookmarkEnd w:id="221"/>
    </w:p>
    <w:p w14:paraId="63EE60B7" w14:textId="77777777" w:rsidR="00D1028B" w:rsidRPr="00260DEC" w:rsidRDefault="00892948">
      <w:pPr>
        <w:rPr>
          <w:lang w:val="de-AT"/>
        </w:rPr>
      </w:pPr>
      <w:r>
        <w:rPr>
          <w:lang w:val="de-AT"/>
        </w:rPr>
        <w:t>Autonome Systeme — Fahrzeuge, Drohnen, Industrieroboter — interagieren in Echtzeit mit einer physischen Welt, in der Zeit eine sicherheitskritische Dimension ist. Ein Millisekunden-Fehler kann Menschenleben gefährden.</w:t>
      </w:r>
    </w:p>
    <w:p w14:paraId="63EE60B8" w14:textId="77777777" w:rsidR="00D1028B" w:rsidRPr="00260DEC" w:rsidRDefault="00892948">
      <w:pPr>
        <w:pStyle w:val="berschrift3"/>
        <w:rPr>
          <w:lang w:val="de-AT"/>
        </w:rPr>
      </w:pPr>
      <w:bookmarkStart w:id="222" w:name="autonomes-fahren-und-v2x-kommunikation"/>
      <w:bookmarkStart w:id="223" w:name="_Toc226451987"/>
      <w:r>
        <w:rPr>
          <w:lang w:val="de-AT"/>
        </w:rPr>
        <w:t>20.1 Autonomes Fahren und V2X-Kommunikation</w:t>
      </w:r>
      <w:bookmarkEnd w:id="223"/>
    </w:p>
    <w:p w14:paraId="63EE60B9" w14:textId="77777777" w:rsidR="00D1028B" w:rsidRPr="00260DEC" w:rsidRDefault="00892948">
      <w:pPr>
        <w:rPr>
          <w:lang w:val="de-AT"/>
        </w:rPr>
      </w:pPr>
      <w:r>
        <w:rPr>
          <w:i/>
          <w:iCs/>
          <w:lang w:val="de-AT"/>
        </w:rPr>
        <w:t>V2X (Vehicle-to-Everything): Autonome Fahrzeuge kommunizieren mit anderen Fahrzeugen, Infrastruktur (Ampeln, Schilder) und dem Internet. Die Zeitpräzision dieser Kommunikation ist sicherheitskritisch — bei 100 km/h legt ein Fahrzeug in 10 Millisekunden fast 28 Zentimeter zurück.</w:t>
      </w:r>
    </w:p>
    <w:p w14:paraId="63EE60BA" w14:textId="77777777" w:rsidR="00D1028B" w:rsidRDefault="00892948">
      <w:pPr>
        <w:numPr>
          <w:ilvl w:val="0"/>
          <w:numId w:val="159"/>
        </w:numPr>
      </w:pPr>
      <w:r>
        <w:rPr>
          <w:lang w:val="de-AT"/>
        </w:rPr>
        <w:t xml:space="preserve">V2V (Vehicle-to-Vehicle): Kollisionsvermeidung durch Austausch von Position und Geschwindigkeit. </w:t>
      </w:r>
      <w:r>
        <w:t>Zeitstempel müssen auf Millisekunden genau übereinstimmen</w:t>
      </w:r>
    </w:p>
    <w:p w14:paraId="63EE60BB" w14:textId="77777777" w:rsidR="00D1028B" w:rsidRDefault="00892948">
      <w:pPr>
        <w:numPr>
          <w:ilvl w:val="0"/>
          <w:numId w:val="159"/>
        </w:numPr>
      </w:pPr>
      <w:r>
        <w:rPr>
          <w:lang w:val="de-AT"/>
        </w:rPr>
        <w:t xml:space="preserve">V2I (Vehicle-to-Infrastructure): Grünwellenprogramme, Vorankündigung von Notfahrzeugen. </w:t>
      </w:r>
      <w:r>
        <w:t>Zeitkritische Kommunikation zwischen Fahrzeug und Verkehrsinfrastruktur</w:t>
      </w:r>
    </w:p>
    <w:p w14:paraId="63EE60BC" w14:textId="77777777" w:rsidR="00D1028B" w:rsidRPr="00260DEC" w:rsidRDefault="00892948">
      <w:pPr>
        <w:numPr>
          <w:ilvl w:val="0"/>
          <w:numId w:val="159"/>
        </w:numPr>
        <w:rPr>
          <w:lang w:val="de-AT"/>
        </w:rPr>
      </w:pPr>
      <w:r>
        <w:rPr>
          <w:lang w:val="de-AT"/>
        </w:rPr>
        <w:t>HD-Karten-Updates: Echtzeit-Änderungen an Straßenzustand, Baustellen, Umleitungen — Zeitstempel der Kartenversion ist sicherheitsrelevant</w:t>
      </w:r>
    </w:p>
    <w:p w14:paraId="63EE60BD" w14:textId="77777777" w:rsidR="00D1028B" w:rsidRDefault="00892948">
      <w:pPr>
        <w:numPr>
          <w:ilvl w:val="0"/>
          <w:numId w:val="159"/>
        </w:numPr>
      </w:pPr>
      <w:r>
        <w:rPr>
          <w:lang w:val="de-AT"/>
        </w:rPr>
        <w:t xml:space="preserve">Event Data Recorder (Blackbox): Nach Unfall müssen Fahrzeugdaten mit präzisem Zeitstempel ausgelesen werden. </w:t>
      </w:r>
      <w:r>
        <w:t>Systemzeit des Fahrzeugs muss verifizierbar sein</w:t>
      </w:r>
    </w:p>
    <w:p w14:paraId="63EE60BE" w14:textId="77777777" w:rsidR="00D1028B" w:rsidRPr="00260DEC" w:rsidRDefault="00892948">
      <w:pPr>
        <w:numPr>
          <w:ilvl w:val="0"/>
          <w:numId w:val="159"/>
        </w:numPr>
        <w:rPr>
          <w:lang w:val="de-AT"/>
        </w:rPr>
      </w:pPr>
      <w:r>
        <w:rPr>
          <w:lang w:val="de-AT"/>
        </w:rPr>
        <w:t>Remote Driving und Teleoperatoren: Ferngesteuerte Fahrzeuge benötigen latenzkorrigierte Zeitreferenz für Steuerbefehle</w:t>
      </w:r>
    </w:p>
    <w:p w14:paraId="63EE60B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C0" w14:textId="77777777" w:rsidR="00D1028B" w:rsidRDefault="00892948">
      <w:pPr>
        <w:numPr>
          <w:ilvl w:val="0"/>
          <w:numId w:val="160"/>
        </w:numPr>
        <w:pBdr>
          <w:left w:val="single" w:sz="20" w:space="8" w:color="17A589"/>
        </w:pBdr>
        <w:shd w:val="clear" w:color="auto" w:fill="EAF7F4"/>
        <w:spacing w:before="40" w:after="40"/>
        <w:ind w:left="240"/>
      </w:pPr>
      <w:r>
        <w:rPr>
          <w:i/>
          <w:iCs/>
          <w:color w:val="0D4035"/>
          <w:sz w:val="20"/>
          <w:szCs w:val="20"/>
        </w:rPr>
        <w:t>V2X-Kommunikation (Vehicle-to-Everything) erfordert &lt; 1 ms Zeitgenauigkeit; CGTA mit BigInt-Nanosekundengenauigkeit übertrifft aktuelle UTC-Implementierungen formal und kann als normierter Zeittyp in IEEE 802.11p und C-V2X integriert werden</w:t>
      </w:r>
    </w:p>
    <w:p w14:paraId="63EE60C1" w14:textId="77777777" w:rsidR="00D1028B" w:rsidRPr="00260DEC" w:rsidRDefault="00892948">
      <w:pPr>
        <w:numPr>
          <w:ilvl w:val="0"/>
          <w:numId w:val="160"/>
        </w:numPr>
        <w:pBdr>
          <w:left w:val="single" w:sz="20" w:space="8" w:color="17A589"/>
        </w:pBdr>
        <w:shd w:val="clear" w:color="auto" w:fill="EAF7F4"/>
        <w:spacing w:before="40" w:after="40"/>
        <w:ind w:left="240"/>
        <w:rPr>
          <w:lang w:val="de-AT"/>
        </w:rPr>
      </w:pPr>
      <w:r>
        <w:rPr>
          <w:i/>
          <w:iCs/>
          <w:color w:val="0D4035"/>
          <w:sz w:val="20"/>
          <w:szCs w:val="20"/>
          <w:lang w:val="de-AT"/>
        </w:rPr>
        <w:t>Unfallrekonstruktion: Fahrzeugsensoren, Kameras und Infrastruktur-Logs mit CGTA-Zeitstempeln sind gerichtsfest korrelierbar — kein Streit über Zeitoffsets zwischen Fahrzeugherstellern und Infrastrukturbetreibern</w:t>
      </w:r>
    </w:p>
    <w:p w14:paraId="63EE60C2" w14:textId="77777777" w:rsidR="00D1028B" w:rsidRPr="00260DEC" w:rsidRDefault="00892948">
      <w:pPr>
        <w:numPr>
          <w:ilvl w:val="0"/>
          <w:numId w:val="160"/>
        </w:numPr>
        <w:pBdr>
          <w:left w:val="single" w:sz="20" w:space="8" w:color="17A589"/>
        </w:pBdr>
        <w:shd w:val="clear" w:color="auto" w:fill="EAF7F4"/>
        <w:spacing w:before="40" w:after="40"/>
        <w:ind w:left="240"/>
        <w:rPr>
          <w:lang w:val="de-AT"/>
        </w:rPr>
      </w:pPr>
      <w:r>
        <w:rPr>
          <w:i/>
          <w:iCs/>
          <w:color w:val="0D4035"/>
          <w:sz w:val="20"/>
          <w:szCs w:val="20"/>
          <w:lang w:val="de-AT"/>
        </w:rPr>
        <w:t>Haftungsfragen bei autonomen Fahrzeugen erfordern lückenlose, manipulationsresistente Zeitachsen; CGTA als normierter Zeittyp in EDR (Event Data Recorder) und ADS-Protokollen setzt einen rechtsverbindlichen Standard</w:t>
      </w:r>
    </w:p>
    <w:p w14:paraId="63EE60C3" w14:textId="77777777" w:rsidR="00D1028B" w:rsidRPr="00260DEC" w:rsidRDefault="00892948">
      <w:pPr>
        <w:numPr>
          <w:ilvl w:val="0"/>
          <w:numId w:val="16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60C4" w14:textId="77777777" w:rsidR="00D1028B" w:rsidRDefault="00892948">
      <w:pPr>
        <w:pStyle w:val="berschrift3"/>
      </w:pPr>
      <w:bookmarkStart w:id="224" w:name="drohnen-und-unbemannter-luftverkehr"/>
      <w:bookmarkStart w:id="225" w:name="_Toc226451988"/>
      <w:bookmarkEnd w:id="222"/>
      <w:r>
        <w:t>20.2 Drohnen und unbemannter Luftverkehr</w:t>
      </w:r>
      <w:bookmarkEnd w:id="225"/>
    </w:p>
    <w:p w14:paraId="63EE60C5" w14:textId="77777777" w:rsidR="00D1028B" w:rsidRDefault="00892948">
      <w:pPr>
        <w:numPr>
          <w:ilvl w:val="0"/>
          <w:numId w:val="161"/>
        </w:numPr>
      </w:pPr>
      <w:r>
        <w:rPr>
          <w:lang w:val="de-AT"/>
        </w:rPr>
        <w:t xml:space="preserve">UTM (Unmanned Traffic Management): Drohnenpfade werden in Zeitfenstern reserviert. </w:t>
      </w:r>
      <w:r>
        <w:t>NOTAM-ähnliche Zeitbeschränkungen müssen präzise kommuniziert werden</w:t>
      </w:r>
    </w:p>
    <w:p w14:paraId="63EE60C6" w14:textId="77777777" w:rsidR="00D1028B" w:rsidRDefault="00892948">
      <w:pPr>
        <w:numPr>
          <w:ilvl w:val="0"/>
          <w:numId w:val="161"/>
        </w:numPr>
      </w:pPr>
      <w:r>
        <w:t>BVLOS-Betrieb (Beyond Visual Line of Sight): Langstreckenbetrieb erfordert präzise Zeitstempel für alle Maneuver und Kommunikationsevents</w:t>
      </w:r>
    </w:p>
    <w:p w14:paraId="63EE60C7" w14:textId="77777777" w:rsidR="00D1028B" w:rsidRPr="00260DEC" w:rsidRDefault="00892948">
      <w:pPr>
        <w:numPr>
          <w:ilvl w:val="0"/>
          <w:numId w:val="161"/>
        </w:numPr>
        <w:rPr>
          <w:lang w:val="de-AT"/>
        </w:rPr>
      </w:pPr>
      <w:r>
        <w:rPr>
          <w:lang w:val="de-AT"/>
        </w:rPr>
        <w:t>Paketlieferung: Amazon Prime Air, Wing (Google) — Lieferzeitversprechen erfordern präzise Zeitdefinitionen</w:t>
      </w:r>
    </w:p>
    <w:p w14:paraId="63EE60C8" w14:textId="77777777" w:rsidR="00D1028B" w:rsidRPr="00260DEC" w:rsidRDefault="00892948">
      <w:pPr>
        <w:numPr>
          <w:ilvl w:val="0"/>
          <w:numId w:val="161"/>
        </w:numPr>
        <w:rPr>
          <w:lang w:val="de-AT"/>
        </w:rPr>
      </w:pPr>
      <w:r>
        <w:rPr>
          <w:lang w:val="de-AT"/>
        </w:rPr>
        <w:lastRenderedPageBreak/>
        <w:t>Vermessung und Kartierung: Drohnen-Fotos mit GPS-Zeitstempel für Photogrammetrie — Zeitstempel-Genauigkeit bestimmt geometrische Genauigkeit der Karte</w:t>
      </w:r>
    </w:p>
    <w:p w14:paraId="63EE60C9" w14:textId="77777777" w:rsidR="00D1028B" w:rsidRDefault="00892948">
      <w:pPr>
        <w:numPr>
          <w:ilvl w:val="0"/>
          <w:numId w:val="161"/>
        </w:numPr>
      </w:pPr>
      <w:r>
        <w:rPr>
          <w:lang w:val="de-AT"/>
        </w:rPr>
        <w:t xml:space="preserve">Schwarm-Koordination: Hunderte Drohnen gleichzeitig — wie bei Lichtershows. </w:t>
      </w:r>
      <w:r>
        <w:t>Zeitstempel-Präzision zwischen Drohnen bestimmt visuelle Qualität und Sicherheit</w:t>
      </w:r>
    </w:p>
    <w:p w14:paraId="63EE60CA"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CB" w14:textId="77777777" w:rsidR="00D1028B" w:rsidRDefault="00892948">
      <w:pPr>
        <w:numPr>
          <w:ilvl w:val="0"/>
          <w:numId w:val="162"/>
        </w:numPr>
        <w:pBdr>
          <w:left w:val="single" w:sz="20" w:space="8" w:color="17A589"/>
        </w:pBdr>
        <w:shd w:val="clear" w:color="auto" w:fill="EAF7F4"/>
        <w:spacing w:before="40" w:after="40"/>
        <w:ind w:left="240"/>
      </w:pPr>
      <w:r>
        <w:rPr>
          <w:i/>
          <w:iCs/>
          <w:color w:val="0D4035"/>
          <w:sz w:val="20"/>
          <w:szCs w:val="20"/>
        </w:rPr>
        <w:t>UTM (Unmanned Traffic Management) nach EU-Drohnenverordnung U-Space: CGTA als Zeitreferenz für Flugplan-Aktivierungen, Geofencing-Ereignisse und Kollisionsvermeidungs-Protokolle — manipulationsresistent und aufsichtsbehördlich prüfbar</w:t>
      </w:r>
    </w:p>
    <w:p w14:paraId="63EE60CC" w14:textId="77777777" w:rsidR="00D1028B" w:rsidRPr="00260DEC" w:rsidRDefault="00892948">
      <w:pPr>
        <w:numPr>
          <w:ilvl w:val="0"/>
          <w:numId w:val="162"/>
        </w:numPr>
        <w:pBdr>
          <w:left w:val="single" w:sz="20" w:space="8" w:color="17A589"/>
        </w:pBdr>
        <w:shd w:val="clear" w:color="auto" w:fill="EAF7F4"/>
        <w:spacing w:before="40" w:after="40"/>
        <w:ind w:left="240"/>
        <w:rPr>
          <w:lang w:val="de-AT"/>
        </w:rPr>
      </w:pPr>
      <w:r>
        <w:rPr>
          <w:i/>
          <w:iCs/>
          <w:color w:val="0D4035"/>
          <w:sz w:val="20"/>
          <w:szCs w:val="20"/>
          <w:lang w:val="de-AT"/>
        </w:rPr>
        <w:t>Drohnen-Logbücher (Betriebsstunden, Flugzeiten, Wartungsintervalle) als CGTA normiert sind über Hersteller- und Systemgrenzen konsistent — EU-Drohnenregister-Compliance vereinfacht sich strukturell</w:t>
      </w:r>
    </w:p>
    <w:p w14:paraId="63EE60CD" w14:textId="77777777" w:rsidR="00D1028B" w:rsidRPr="00260DEC" w:rsidRDefault="00892948">
      <w:pPr>
        <w:numPr>
          <w:ilvl w:val="0"/>
          <w:numId w:val="162"/>
        </w:numPr>
        <w:pBdr>
          <w:left w:val="single" w:sz="20" w:space="8" w:color="17A589"/>
        </w:pBdr>
        <w:shd w:val="clear" w:color="auto" w:fill="EAF7F4"/>
        <w:spacing w:before="40" w:after="40"/>
        <w:ind w:left="240"/>
        <w:rPr>
          <w:lang w:val="de-AT"/>
        </w:rPr>
      </w:pPr>
      <w:r>
        <w:rPr>
          <w:i/>
          <w:iCs/>
          <w:color w:val="0D4035"/>
          <w:sz w:val="20"/>
          <w:szCs w:val="20"/>
          <w:lang w:val="de-AT"/>
        </w:rPr>
        <w:t>Behördenkoordination (Luftraumfreigaben, NOTAM-Wirkzeiten) auf CGTA-Basis: Zeitkonflikte zwischen zivilen und militärischen Nutzungen werden deterministisch auflösbar</w:t>
      </w:r>
    </w:p>
    <w:p w14:paraId="63EE60CE" w14:textId="77777777" w:rsidR="00D1028B" w:rsidRDefault="00892948">
      <w:pPr>
        <w:numPr>
          <w:ilvl w:val="0"/>
          <w:numId w:val="162"/>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60CF" w14:textId="77777777" w:rsidR="00D1028B" w:rsidRDefault="00892948">
      <w:pPr>
        <w:pStyle w:val="berschrift3"/>
      </w:pPr>
      <w:bookmarkStart w:id="226" w:name="industrielle-robotik"/>
      <w:bookmarkStart w:id="227" w:name="_Toc226451989"/>
      <w:bookmarkEnd w:id="224"/>
      <w:r>
        <w:t>20.3 Industrielle Robotik</w:t>
      </w:r>
      <w:bookmarkEnd w:id="227"/>
    </w:p>
    <w:p w14:paraId="63EE60D0" w14:textId="77777777" w:rsidR="00D1028B" w:rsidRDefault="00892948">
      <w:pPr>
        <w:numPr>
          <w:ilvl w:val="0"/>
          <w:numId w:val="163"/>
        </w:numPr>
      </w:pPr>
      <w:r>
        <w:rPr>
          <w:lang w:val="de-AT"/>
        </w:rPr>
        <w:t xml:space="preserve">Roboter-Koordination am Fließband: Mehrere Roboter arbeiten synchron an einem Werkstück. </w:t>
      </w:r>
      <w:r>
        <w:t>Zeitliche Koordination auf Millisekunden-Ebene</w:t>
      </w:r>
    </w:p>
    <w:p w14:paraId="63EE60D1" w14:textId="77777777" w:rsidR="00D1028B" w:rsidRPr="00260DEC" w:rsidRDefault="00892948">
      <w:pPr>
        <w:numPr>
          <w:ilvl w:val="0"/>
          <w:numId w:val="163"/>
        </w:numPr>
        <w:rPr>
          <w:lang w:val="de-AT"/>
        </w:rPr>
      </w:pPr>
      <w:r>
        <w:rPr>
          <w:lang w:val="de-AT"/>
        </w:rPr>
        <w:t>Kooperative Roboter (Cobots): Interagieren mit Menschen. Sicherheitsstopps müssen unter 100ms ausgelöst werden — Zeitstempel für Audit-Trail</w:t>
      </w:r>
    </w:p>
    <w:p w14:paraId="63EE60D2" w14:textId="77777777" w:rsidR="00D1028B" w:rsidRPr="00260DEC" w:rsidRDefault="00892948">
      <w:pPr>
        <w:numPr>
          <w:ilvl w:val="0"/>
          <w:numId w:val="163"/>
        </w:numPr>
        <w:rPr>
          <w:lang w:val="de-AT"/>
        </w:rPr>
      </w:pPr>
      <w:r>
        <w:rPr>
          <w:lang w:val="de-AT"/>
        </w:rPr>
        <w:t>Robot Operating System (ROS): Weitverbreitetes Framework für Robotik. Hat eigenes Zeitkonzept („ROS Time”) — nicht kompatibel mit Wall-Clock-Zeit</w:t>
      </w:r>
    </w:p>
    <w:p w14:paraId="63EE60D3" w14:textId="77777777" w:rsidR="00D1028B" w:rsidRDefault="00892948">
      <w:pPr>
        <w:numPr>
          <w:ilvl w:val="0"/>
          <w:numId w:val="163"/>
        </w:numPr>
      </w:pPr>
      <w:r>
        <w:rPr>
          <w:lang w:val="de-AT"/>
        </w:rPr>
        <w:t xml:space="preserve">Digitale Zwillinge (Digital Twins): Virtuelle Abbbilder von Maschinen. </w:t>
      </w:r>
      <w:r>
        <w:t>Zeitstempel der Sensordaten müssen zwischen Realität und Simulation synchron sein</w:t>
      </w:r>
    </w:p>
    <w:p w14:paraId="63EE60D4" w14:textId="77777777" w:rsidR="00D1028B" w:rsidRDefault="00892948">
      <w:pPr>
        <w:numPr>
          <w:ilvl w:val="0"/>
          <w:numId w:val="163"/>
        </w:numPr>
      </w:pPr>
      <w:r>
        <w:rPr>
          <w:lang w:val="de-AT"/>
        </w:rPr>
        <w:t xml:space="preserve">Qualitätskontrolle (Inline Inspection): Kameras und Sensoren prüfen Produkte in Echtzeit. </w:t>
      </w:r>
      <w:r>
        <w:t>Fehlerhafte Produkte werden über Zeitstempel dem Produktionszeitpunkt zugeordnet</w:t>
      </w:r>
    </w:p>
    <w:p w14:paraId="63EE60D5"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D6" w14:textId="77777777" w:rsidR="00D1028B" w:rsidRPr="00260DEC" w:rsidRDefault="00892948">
      <w:pPr>
        <w:numPr>
          <w:ilvl w:val="0"/>
          <w:numId w:val="164"/>
        </w:numPr>
        <w:pBdr>
          <w:left w:val="single" w:sz="20" w:space="8" w:color="17A589"/>
        </w:pBdr>
        <w:shd w:val="clear" w:color="auto" w:fill="EAF7F4"/>
        <w:spacing w:before="40" w:after="40"/>
        <w:ind w:left="240"/>
        <w:rPr>
          <w:lang w:val="de-AT"/>
        </w:rPr>
      </w:pPr>
      <w:r>
        <w:rPr>
          <w:i/>
          <w:iCs/>
          <w:color w:val="0D4035"/>
          <w:sz w:val="20"/>
          <w:szCs w:val="20"/>
          <w:lang w:val="de-AT"/>
        </w:rPr>
        <w:t>Industrieroboter-Bewegungsplanung mit CGTA-synchronisierten Aktionszeitpunkten: kollaborative Roboter (Cobots) und menschliche Bediener erhalten eine gemeinsame, manipulationsresistente Zeitreferenz</w:t>
      </w:r>
    </w:p>
    <w:p w14:paraId="63EE60D7" w14:textId="77777777" w:rsidR="00D1028B" w:rsidRPr="00260DEC" w:rsidRDefault="00892948">
      <w:pPr>
        <w:numPr>
          <w:ilvl w:val="0"/>
          <w:numId w:val="164"/>
        </w:numPr>
        <w:pBdr>
          <w:left w:val="single" w:sz="20" w:space="8" w:color="17A589"/>
        </w:pBdr>
        <w:shd w:val="clear" w:color="auto" w:fill="EAF7F4"/>
        <w:spacing w:before="40" w:after="40"/>
        <w:ind w:left="240"/>
        <w:rPr>
          <w:lang w:val="de-AT"/>
        </w:rPr>
      </w:pPr>
      <w:r>
        <w:rPr>
          <w:i/>
          <w:iCs/>
          <w:color w:val="0D4035"/>
          <w:sz w:val="20"/>
          <w:szCs w:val="20"/>
          <w:lang w:val="de-AT"/>
        </w:rPr>
        <w:t>Produktionslogs für Qualitätsrückverfolgung (ISO 9001, IATF 16949) mit CGTA-Zeitstempeln: über Werksgrenzen und Jahrzehnte lückenlos nachvollziehbar — Rückrufaktionen werden effizient koordiniert</w:t>
      </w:r>
    </w:p>
    <w:p w14:paraId="63EE60D8" w14:textId="77777777" w:rsidR="00D1028B" w:rsidRPr="00260DEC" w:rsidRDefault="00892948">
      <w:pPr>
        <w:numPr>
          <w:ilvl w:val="0"/>
          <w:numId w:val="164"/>
        </w:numPr>
        <w:pBdr>
          <w:left w:val="single" w:sz="20" w:space="8" w:color="17A589"/>
        </w:pBdr>
        <w:shd w:val="clear" w:color="auto" w:fill="EAF7F4"/>
        <w:spacing w:before="40" w:after="40"/>
        <w:ind w:left="240"/>
        <w:rPr>
          <w:lang w:val="de-AT"/>
        </w:rPr>
      </w:pPr>
      <w:r>
        <w:rPr>
          <w:i/>
          <w:iCs/>
          <w:color w:val="0D4035"/>
          <w:sz w:val="20"/>
          <w:szCs w:val="20"/>
          <w:lang w:val="de-AT"/>
        </w:rPr>
        <w:t>OPC UA (Industrie-4.0-Kommunikationsstandard) könnte CGTA als erweitertes Zeitformat übernehmen — rückwärtskompatibel, aber formal präziser als der aktuelle DateTime-Typ ohne Zeitzonensemantik</w:t>
      </w:r>
    </w:p>
    <w:p w14:paraId="63EE60D9" w14:textId="77777777" w:rsidR="00D1028B" w:rsidRDefault="00892948">
      <w:pPr>
        <w:numPr>
          <w:ilvl w:val="0"/>
          <w:numId w:val="164"/>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0DA" w14:textId="77777777" w:rsidR="00D1028B" w:rsidRPr="00260DEC" w:rsidRDefault="00892948">
      <w:pPr>
        <w:pStyle w:val="berschrift1"/>
        <w:rPr>
          <w:lang w:val="de-AT"/>
        </w:rPr>
      </w:pPr>
      <w:bookmarkStart w:id="228" w:name="Xbf0cc2e6cbd56dfc66dd482a550f654dece2a31"/>
      <w:bookmarkStart w:id="229" w:name="_Toc226451990"/>
      <w:bookmarkEnd w:id="202"/>
      <w:bookmarkEnd w:id="220"/>
      <w:bookmarkEnd w:id="226"/>
      <w:r>
        <w:rPr>
          <w:lang w:val="de-AT"/>
        </w:rPr>
        <w:lastRenderedPageBreak/>
        <w:t>Teil VIII: Medienproduktion und wissenschaftliche Anwendungsfelder</w:t>
      </w:r>
      <w:bookmarkEnd w:id="229"/>
    </w:p>
    <w:p w14:paraId="63EE60DB" w14:textId="77777777" w:rsidR="00D1028B" w:rsidRPr="00260DEC" w:rsidRDefault="00892948">
      <w:pPr>
        <w:pStyle w:val="berschrift2"/>
        <w:rPr>
          <w:lang w:val="de-AT"/>
        </w:rPr>
      </w:pPr>
      <w:bookmarkStart w:id="230" w:name="medienproduktion-und-broadcasting"/>
      <w:bookmarkStart w:id="231" w:name="_Toc226451991"/>
      <w:r>
        <w:rPr>
          <w:lang w:val="de-AT"/>
        </w:rPr>
        <w:t>21 Medienproduktion und Broadcasting</w:t>
      </w:r>
      <w:bookmarkEnd w:id="231"/>
    </w:p>
    <w:p w14:paraId="63EE60DC" w14:textId="77777777" w:rsidR="00D1028B" w:rsidRPr="00260DEC" w:rsidRDefault="00892948">
      <w:pPr>
        <w:rPr>
          <w:lang w:val="de-AT"/>
        </w:rPr>
      </w:pPr>
      <w:r>
        <w:rPr>
          <w:lang w:val="de-AT"/>
        </w:rPr>
        <w:t>Die Medienproduktion hat ein eigenes Zeitsystem entwickelt: den SMPTE-Timecode. Er ist präzise, weit verbreitet — und völlig inkompatibel mit der restlichen digitalen Welt. ChronoGrid bietet die Brücke.</w:t>
      </w:r>
    </w:p>
    <w:p w14:paraId="63EE60DD" w14:textId="77777777" w:rsidR="00D1028B" w:rsidRPr="00260DEC" w:rsidRDefault="00892948">
      <w:pPr>
        <w:pStyle w:val="berschrift3"/>
        <w:rPr>
          <w:lang w:val="de-AT"/>
        </w:rPr>
      </w:pPr>
      <w:bookmarkStart w:id="232" w:name="smpte-timecode-und-videobearbeitung"/>
      <w:bookmarkStart w:id="233" w:name="_Toc226451992"/>
      <w:r>
        <w:rPr>
          <w:lang w:val="de-AT"/>
        </w:rPr>
        <w:t>21.1 SMPTE-Timecode und Videobearbeitung</w:t>
      </w:r>
      <w:bookmarkEnd w:id="233"/>
    </w:p>
    <w:p w14:paraId="63EE60DE" w14:textId="77777777" w:rsidR="00D1028B" w:rsidRPr="00260DEC" w:rsidRDefault="00892948">
      <w:pPr>
        <w:rPr>
          <w:lang w:val="de-AT"/>
        </w:rPr>
      </w:pPr>
      <w:r>
        <w:rPr>
          <w:i/>
          <w:iCs/>
          <w:lang w:val="de-AT"/>
        </w:rPr>
        <w:t>SMPTE-Timecode (Society of Motion Picture and Television Engineers) ist das Standard-Zeitsystem in der professionellen Videoproduktion. Format: HH:MM:SS:FF (Stunden:Minuten:Sekunden:Frames). Framerate-abhängig: 24fps (Film), 25fps (PAL/Europa), 29.97fps (NTSC/USA), 30fps (Digital). Das Problem: SMPTE-Zeit ist relativ, nicht absolut — sie beginnt bei 00:00:00:00 ohne Bezug zu Weltzeit.</w:t>
      </w:r>
    </w:p>
    <w:p w14:paraId="63EE60DF" w14:textId="77777777" w:rsidR="00D1028B" w:rsidRPr="00260DEC" w:rsidRDefault="00892948">
      <w:pPr>
        <w:numPr>
          <w:ilvl w:val="0"/>
          <w:numId w:val="165"/>
        </w:numPr>
        <w:rPr>
          <w:lang w:val="de-AT"/>
        </w:rPr>
      </w:pPr>
      <w:r>
        <w:rPr>
          <w:lang w:val="de-AT"/>
        </w:rPr>
        <w:t>Drop Frame vs. Non-Drop Frame: NTSC läuft bei 29.97 fps (nicht 30). Drop Frame überspringt regelmäßig Frame-Nummern um Drift zu kompensieren — eine notorische Fehlerquelle bei Zeitberechnungen</w:t>
      </w:r>
    </w:p>
    <w:p w14:paraId="63EE60E0" w14:textId="77777777" w:rsidR="00D1028B" w:rsidRPr="00260DEC" w:rsidRDefault="00892948">
      <w:pPr>
        <w:numPr>
          <w:ilvl w:val="0"/>
          <w:numId w:val="165"/>
        </w:numPr>
        <w:rPr>
          <w:lang w:val="de-AT"/>
        </w:rPr>
      </w:pPr>
      <w:r>
        <w:rPr>
          <w:lang w:val="de-AT"/>
        </w:rPr>
        <w:t>Multi-Kamera-Synchronisation: Timecodes mehrerer Kameras müssen synchronisiert sein. Jam Sync und LTC/VITC sind die Mechanismen — ohne absolute Zeitreferenz</w:t>
      </w:r>
    </w:p>
    <w:p w14:paraId="63EE60E1" w14:textId="77777777" w:rsidR="00D1028B" w:rsidRPr="00260DEC" w:rsidRDefault="00892948">
      <w:pPr>
        <w:numPr>
          <w:ilvl w:val="0"/>
          <w:numId w:val="165"/>
        </w:numPr>
        <w:rPr>
          <w:lang w:val="de-AT"/>
        </w:rPr>
      </w:pPr>
      <w:r>
        <w:rPr>
          <w:lang w:val="de-AT"/>
        </w:rPr>
        <w:t>Archivierung von Broadcast-Material: Sendezeitpunkt einer Aufzeichnung ist für Rechtsverwaltung, Wiederholung und Lizenzabrechnung relevant</w:t>
      </w:r>
    </w:p>
    <w:p w14:paraId="63EE60E2" w14:textId="77777777" w:rsidR="00D1028B" w:rsidRDefault="00892948">
      <w:pPr>
        <w:numPr>
          <w:ilvl w:val="0"/>
          <w:numId w:val="165"/>
        </w:numPr>
      </w:pPr>
      <w:r>
        <w:rPr>
          <w:lang w:val="de-AT"/>
        </w:rPr>
        <w:t xml:space="preserve">Cloud-basierte Post-Production: Dateien werden zwischen Studios, Standorten und Kontinenten ausgetauscht. </w:t>
      </w:r>
      <w:r>
        <w:t>SMPTE-Timecode + Weltzeit-Mapping ist manuell und fehleranfällig</w:t>
      </w:r>
    </w:p>
    <w:p w14:paraId="63EE60E3" w14:textId="77777777" w:rsidR="00D1028B" w:rsidRDefault="00892948">
      <w:pPr>
        <w:numPr>
          <w:ilvl w:val="0"/>
          <w:numId w:val="165"/>
        </w:numPr>
      </w:pPr>
      <w:r>
        <w:t>Virtual Production (LED-Wände, Real-Time-Rendering): Kamera-Tracking muss zeitlich mit Rendering synchronisiert sein — Nanosekunden-Präzision gefordert</w:t>
      </w:r>
    </w:p>
    <w:p w14:paraId="63EE60E4"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E5" w14:textId="77777777" w:rsidR="00D1028B" w:rsidRDefault="00892948">
      <w:pPr>
        <w:numPr>
          <w:ilvl w:val="0"/>
          <w:numId w:val="166"/>
        </w:numPr>
        <w:pBdr>
          <w:left w:val="single" w:sz="20" w:space="8" w:color="17A589"/>
        </w:pBdr>
        <w:shd w:val="clear" w:color="auto" w:fill="EAF7F4"/>
        <w:spacing w:before="40" w:after="40"/>
        <w:ind w:left="240"/>
      </w:pPr>
      <w:r>
        <w:rPr>
          <w:i/>
          <w:iCs/>
          <w:color w:val="0D4035"/>
          <w:sz w:val="20"/>
          <w:szCs w:val="20"/>
        </w:rPr>
        <w:t>SMPTE-Timecode als CTDDL-Domain formal modellierbar: ChronoGrid konvertiert deterministisch zwischen SMPTE 12M, LTC, VITC und CGTA — der Mapping-Code ist normiert statt proprietär implementiert</w:t>
      </w:r>
    </w:p>
    <w:p w14:paraId="63EE60E6" w14:textId="77777777" w:rsidR="00D1028B" w:rsidRDefault="00892948">
      <w:pPr>
        <w:numPr>
          <w:ilvl w:val="0"/>
          <w:numId w:val="166"/>
        </w:numPr>
        <w:pBdr>
          <w:left w:val="single" w:sz="20" w:space="8" w:color="17A589"/>
        </w:pBdr>
        <w:shd w:val="clear" w:color="auto" w:fill="EAF7F4"/>
        <w:spacing w:before="40" w:after="40"/>
        <w:ind w:left="240"/>
      </w:pPr>
      <w:r>
        <w:rPr>
          <w:i/>
          <w:iCs/>
          <w:color w:val="0D4035"/>
          <w:sz w:val="20"/>
          <w:szCs w:val="20"/>
        </w:rPr>
        <w:t>Edit-Decision-Lists (EDL) mit CGTA-Zeitstempeln sind DAW-übergreifend und über Systemmigrationen hinweg konsistent — kein Timecode-Drift bei Konvertierung zwischen Frame-Rates</w:t>
      </w:r>
    </w:p>
    <w:p w14:paraId="63EE60E7" w14:textId="77777777" w:rsidR="00D1028B" w:rsidRPr="00260DEC" w:rsidRDefault="00892948">
      <w:pPr>
        <w:numPr>
          <w:ilvl w:val="0"/>
          <w:numId w:val="166"/>
        </w:numPr>
        <w:pBdr>
          <w:left w:val="single" w:sz="20" w:space="8" w:color="17A589"/>
        </w:pBdr>
        <w:shd w:val="clear" w:color="auto" w:fill="EAF7F4"/>
        <w:spacing w:before="40" w:after="40"/>
        <w:ind w:left="240"/>
        <w:rPr>
          <w:lang w:val="de-AT"/>
        </w:rPr>
      </w:pPr>
      <w:r>
        <w:rPr>
          <w:i/>
          <w:iCs/>
          <w:color w:val="0D4035"/>
          <w:sz w:val="20"/>
          <w:szCs w:val="20"/>
          <w:lang w:val="de-AT"/>
        </w:rPr>
        <w:t>Archivierung von Broadcast-Material: CGTA als Langzeit-Zeitreferenz übersteht Kalenderreformen und Zeitzonenpolitikänderungen — Material aus den 1970ern bis heute auf einer einheitlichen Zeitachse</w:t>
      </w:r>
    </w:p>
    <w:p w14:paraId="63EE60E8" w14:textId="77777777" w:rsidR="00D1028B" w:rsidRDefault="00892948">
      <w:pPr>
        <w:numPr>
          <w:ilvl w:val="0"/>
          <w:numId w:val="166"/>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0E9" w14:textId="77777777" w:rsidR="00D1028B" w:rsidRDefault="00892948">
      <w:pPr>
        <w:pStyle w:val="berschrift3"/>
      </w:pPr>
      <w:bookmarkStart w:id="234" w:name="X2ff9a3e1bb01a31515f969666115403941e6ed3"/>
      <w:bookmarkStart w:id="235" w:name="_Toc226451993"/>
      <w:bookmarkEnd w:id="232"/>
      <w:r>
        <w:t>21.2 Electronic Programme Guide (EPG) und Broadcast</w:t>
      </w:r>
      <w:bookmarkEnd w:id="235"/>
    </w:p>
    <w:p w14:paraId="63EE60EA" w14:textId="77777777" w:rsidR="00D1028B" w:rsidRPr="00260DEC" w:rsidRDefault="00892948">
      <w:pPr>
        <w:numPr>
          <w:ilvl w:val="0"/>
          <w:numId w:val="167"/>
        </w:numPr>
        <w:rPr>
          <w:lang w:val="de-AT"/>
        </w:rPr>
      </w:pPr>
      <w:r>
        <w:rPr>
          <w:lang w:val="de-AT"/>
        </w:rPr>
        <w:t>EPG-Daten (TV-Programmführer): Sendedaten werden über DVB-SI, HbbTV und XMLTV-Format verteilt. Zeitangaben in verschiedenen Formaten — DST-Fehler führen zu falsch aufgezeichneten Sendungen</w:t>
      </w:r>
    </w:p>
    <w:p w14:paraId="63EE60EB" w14:textId="77777777" w:rsidR="00D1028B" w:rsidRPr="00260DEC" w:rsidRDefault="00892948">
      <w:pPr>
        <w:numPr>
          <w:ilvl w:val="0"/>
          <w:numId w:val="167"/>
        </w:numPr>
        <w:rPr>
          <w:lang w:val="de-AT"/>
        </w:rPr>
      </w:pPr>
      <w:r>
        <w:rPr>
          <w:lang w:val="de-AT"/>
        </w:rPr>
        <w:t>Automatische Aufnahme (PVR): „Seriell aufnehmen” — Zeitumstellung im Frühjahr und Herbst führt zu verpassten oder doppelten Aufnahmen</w:t>
      </w:r>
    </w:p>
    <w:p w14:paraId="63EE60EC" w14:textId="77777777" w:rsidR="00D1028B" w:rsidRDefault="00892948">
      <w:pPr>
        <w:numPr>
          <w:ilvl w:val="0"/>
          <w:numId w:val="167"/>
        </w:numPr>
      </w:pPr>
      <w:r>
        <w:rPr>
          <w:lang w:val="de-AT"/>
        </w:rPr>
        <w:lastRenderedPageBreak/>
        <w:t xml:space="preserve">Internationale Syndikation: Programme werden für verschiedene Regionen zeitversetzt ausgestrahlt. </w:t>
      </w:r>
      <w:r>
        <w:t>Rechtemanagement ist an Sendezeitpunkte gebunden</w:t>
      </w:r>
    </w:p>
    <w:p w14:paraId="63EE60ED" w14:textId="77777777" w:rsidR="00D1028B" w:rsidRPr="00260DEC" w:rsidRDefault="00892948">
      <w:pPr>
        <w:numPr>
          <w:ilvl w:val="0"/>
          <w:numId w:val="167"/>
        </w:numPr>
        <w:rPr>
          <w:lang w:val="de-AT"/>
        </w:rPr>
      </w:pPr>
      <w:r>
        <w:rPr>
          <w:lang w:val="de-AT"/>
        </w:rPr>
        <w:t>Livestreaming und lineare IP-TV: Zeitstempel in HLS/DASH-Streams müssen mit Programmführerdaten synchron sein</w:t>
      </w:r>
    </w:p>
    <w:p w14:paraId="63EE60EE" w14:textId="77777777" w:rsidR="00D1028B" w:rsidRPr="00260DEC" w:rsidRDefault="00892948">
      <w:pPr>
        <w:numPr>
          <w:ilvl w:val="0"/>
          <w:numId w:val="167"/>
        </w:numPr>
        <w:rPr>
          <w:lang w:val="de-AT"/>
        </w:rPr>
      </w:pPr>
      <w:r>
        <w:rPr>
          <w:lang w:val="de-AT"/>
        </w:rPr>
        <w:t>Sportrechte: Exklusive Liveübertragungsrechte sind zeitfenstergebunden — Grenzfälle bei DST-Übergängen</w:t>
      </w:r>
    </w:p>
    <w:p w14:paraId="63EE60E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F0" w14:textId="77777777" w:rsidR="00D1028B" w:rsidRPr="00260DEC" w:rsidRDefault="00892948">
      <w:pPr>
        <w:numPr>
          <w:ilvl w:val="0"/>
          <w:numId w:val="168"/>
        </w:numPr>
        <w:pBdr>
          <w:left w:val="single" w:sz="20" w:space="8" w:color="17A589"/>
        </w:pBdr>
        <w:shd w:val="clear" w:color="auto" w:fill="EAF7F4"/>
        <w:spacing w:before="40" w:after="40"/>
        <w:ind w:left="240"/>
        <w:rPr>
          <w:lang w:val="de-AT"/>
        </w:rPr>
      </w:pPr>
      <w:r>
        <w:rPr>
          <w:i/>
          <w:iCs/>
          <w:color w:val="0D4035"/>
          <w:sz w:val="20"/>
          <w:szCs w:val="20"/>
          <w:lang w:val="de-AT"/>
        </w:rPr>
        <w:t>EPG-Zeitangaben als CGTA normiert: Programmführer-Daten sind über DVB, IPTV und OTT-Plattformen hinweg konsistent — keine falschen Aufnahmen durch DST-Umstellung in EPG-Systemen</w:t>
      </w:r>
    </w:p>
    <w:p w14:paraId="63EE60F1" w14:textId="77777777" w:rsidR="00D1028B" w:rsidRPr="00260DEC" w:rsidRDefault="00892948">
      <w:pPr>
        <w:numPr>
          <w:ilvl w:val="0"/>
          <w:numId w:val="168"/>
        </w:numPr>
        <w:pBdr>
          <w:left w:val="single" w:sz="20" w:space="8" w:color="17A589"/>
        </w:pBdr>
        <w:shd w:val="clear" w:color="auto" w:fill="EAF7F4"/>
        <w:spacing w:before="40" w:after="40"/>
        <w:ind w:left="240"/>
        <w:rPr>
          <w:lang w:val="de-AT"/>
        </w:rPr>
      </w:pPr>
      <w:r>
        <w:rPr>
          <w:i/>
          <w:iCs/>
          <w:color w:val="0D4035"/>
          <w:sz w:val="20"/>
          <w:szCs w:val="20"/>
          <w:lang w:val="de-AT"/>
        </w:rPr>
        <w:t>Live-Untertitelung und Closed-Captions mit CGTA-Zeitstempeln: Synchronisation zwischen Video-Stream und Textdaten ist über Plattformen und Distributionswege hinweg präzise</w:t>
      </w:r>
    </w:p>
    <w:p w14:paraId="63EE60F2" w14:textId="77777777" w:rsidR="00D1028B" w:rsidRPr="00260DEC" w:rsidRDefault="00892948">
      <w:pPr>
        <w:numPr>
          <w:ilvl w:val="0"/>
          <w:numId w:val="168"/>
        </w:numPr>
        <w:pBdr>
          <w:left w:val="single" w:sz="20" w:space="8" w:color="17A589"/>
        </w:pBdr>
        <w:shd w:val="clear" w:color="auto" w:fill="EAF7F4"/>
        <w:spacing w:before="40" w:after="40"/>
        <w:ind w:left="240"/>
        <w:rPr>
          <w:lang w:val="de-AT"/>
        </w:rPr>
      </w:pPr>
      <w:r>
        <w:rPr>
          <w:i/>
          <w:iCs/>
          <w:color w:val="0D4035"/>
          <w:sz w:val="20"/>
          <w:szCs w:val="20"/>
          <w:lang w:val="de-AT"/>
        </w:rPr>
        <w:t>Rights-Management für Broadcast-Lizenzen (Ausstrahlungsfenster, Wiederholungsrechte) als CTDDL-Intervalle: CGTA macht Lizenz-Compliance automatisch prüfbar ohne manuelle Zeitzonenprüfung</w:t>
      </w:r>
    </w:p>
    <w:p w14:paraId="63EE60F3" w14:textId="77777777" w:rsidR="00D1028B" w:rsidRPr="00260DEC" w:rsidRDefault="00892948">
      <w:pPr>
        <w:numPr>
          <w:ilvl w:val="0"/>
          <w:numId w:val="168"/>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F4" w14:textId="77777777" w:rsidR="00D1028B" w:rsidRDefault="00892948">
      <w:pPr>
        <w:pStyle w:val="berschrift3"/>
      </w:pPr>
      <w:bookmarkStart w:id="236" w:name="podcasts-youtube-und-on-demand-medien"/>
      <w:bookmarkStart w:id="237" w:name="_Toc226451994"/>
      <w:bookmarkEnd w:id="234"/>
      <w:r>
        <w:t>21.3 Podcasts, YouTube und On-Demand-Medien</w:t>
      </w:r>
      <w:bookmarkEnd w:id="237"/>
    </w:p>
    <w:p w14:paraId="63EE60F5" w14:textId="77777777" w:rsidR="00D1028B" w:rsidRPr="00260DEC" w:rsidRDefault="00892948">
      <w:pPr>
        <w:numPr>
          <w:ilvl w:val="0"/>
          <w:numId w:val="169"/>
        </w:numPr>
        <w:rPr>
          <w:lang w:val="de-AT"/>
        </w:rPr>
      </w:pPr>
      <w:r>
        <w:rPr>
          <w:lang w:val="de-AT"/>
        </w:rPr>
        <w:t>Kapitel-Marker in Podcasts: Zeitstempel im Kapitel-Format (00:15:30) sind relativ zum Audiobeginn — keine absolute Weltzeit</w:t>
      </w:r>
    </w:p>
    <w:p w14:paraId="63EE60F6" w14:textId="77777777" w:rsidR="00D1028B" w:rsidRPr="00260DEC" w:rsidRDefault="00892948">
      <w:pPr>
        <w:numPr>
          <w:ilvl w:val="0"/>
          <w:numId w:val="169"/>
        </w:numPr>
        <w:rPr>
          <w:lang w:val="de-AT"/>
        </w:rPr>
      </w:pPr>
      <w:r>
        <w:rPr>
          <w:lang w:val="de-AT"/>
        </w:rPr>
        <w:t>YouTube-Premieres: Geplante Veröffentlichung zu einem Zeitpunkt — „Verfügbar ab 20:00 Uhr” ohne Zeitzonenangabe für globales Publikum</w:t>
      </w:r>
    </w:p>
    <w:p w14:paraId="63EE60F7" w14:textId="77777777" w:rsidR="00D1028B" w:rsidRPr="00260DEC" w:rsidRDefault="00892948">
      <w:pPr>
        <w:numPr>
          <w:ilvl w:val="0"/>
          <w:numId w:val="169"/>
        </w:numPr>
        <w:rPr>
          <w:lang w:val="de-AT"/>
        </w:rPr>
      </w:pPr>
      <w:r>
        <w:rPr>
          <w:lang w:val="de-AT"/>
        </w:rPr>
        <w:t>Untertitel (SRT/VTT): Zeitstempel sind relativ zum Videobeginn. Internationale Plattformen müssen diese mit absoluten Zeitpunkten verknüpfen für Suche und Analyse</w:t>
      </w:r>
    </w:p>
    <w:p w14:paraId="63EE60F8" w14:textId="77777777" w:rsidR="00D1028B" w:rsidRPr="00260DEC" w:rsidRDefault="00892948">
      <w:pPr>
        <w:numPr>
          <w:ilvl w:val="0"/>
          <w:numId w:val="169"/>
        </w:numPr>
        <w:rPr>
          <w:lang w:val="de-AT"/>
        </w:rPr>
      </w:pPr>
      <w:r>
        <w:rPr>
          <w:lang w:val="de-AT"/>
        </w:rPr>
        <w:t>Content-ID und Urheberrechte: Erkennung von geschütztem Material in Streams ist zeitstempelbasiert — Zeitpunkt des Uploads und der Erkennung sind rechtsrelevant</w:t>
      </w:r>
    </w:p>
    <w:p w14:paraId="63EE60F9"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0FA" w14:textId="77777777" w:rsidR="00D1028B" w:rsidRDefault="00892948">
      <w:pPr>
        <w:numPr>
          <w:ilvl w:val="0"/>
          <w:numId w:val="170"/>
        </w:numPr>
        <w:pBdr>
          <w:left w:val="single" w:sz="20" w:space="8" w:color="17A589"/>
        </w:pBdr>
        <w:shd w:val="clear" w:color="auto" w:fill="EAF7F4"/>
        <w:spacing w:before="40" w:after="40"/>
        <w:ind w:left="240"/>
      </w:pPr>
      <w:r>
        <w:rPr>
          <w:i/>
          <w:iCs/>
          <w:color w:val="0D4035"/>
          <w:sz w:val="20"/>
          <w:szCs w:val="20"/>
        </w:rPr>
        <w:t>Podcast-Kapitelmarken und YouTube-Chapters mit CGTA-Zeitstempeln sind plattformübergreifend konsistent — kein manuelles Neusetzen von Markierungen bei Plattformmigrationen</w:t>
      </w:r>
    </w:p>
    <w:p w14:paraId="63EE60FB" w14:textId="77777777" w:rsidR="00D1028B" w:rsidRPr="00260DEC" w:rsidRDefault="00892948">
      <w:pPr>
        <w:numPr>
          <w:ilvl w:val="0"/>
          <w:numId w:val="170"/>
        </w:numPr>
        <w:pBdr>
          <w:left w:val="single" w:sz="20" w:space="8" w:color="17A589"/>
        </w:pBdr>
        <w:shd w:val="clear" w:color="auto" w:fill="EAF7F4"/>
        <w:spacing w:before="40" w:after="40"/>
        <w:ind w:left="240"/>
        <w:rPr>
          <w:lang w:val="de-AT"/>
        </w:rPr>
      </w:pPr>
      <w:r>
        <w:rPr>
          <w:i/>
          <w:iCs/>
          <w:color w:val="0D4035"/>
          <w:sz w:val="20"/>
          <w:szCs w:val="20"/>
          <w:lang w:val="de-AT"/>
        </w:rPr>
        <w:t>Content-Delivery-Zeitpunkte für On-Demand-Releases (Premiere-Zeitpunkt, Ablauf von Exklusivfenstern) als CGTA: weltweit eindeutig ohne manuelle Zeitzonenkonvertierung pro Markt</w:t>
      </w:r>
    </w:p>
    <w:p w14:paraId="63EE60FC" w14:textId="77777777" w:rsidR="00D1028B" w:rsidRPr="00260DEC" w:rsidRDefault="00892948">
      <w:pPr>
        <w:numPr>
          <w:ilvl w:val="0"/>
          <w:numId w:val="170"/>
        </w:numPr>
        <w:pBdr>
          <w:left w:val="single" w:sz="20" w:space="8" w:color="17A589"/>
        </w:pBdr>
        <w:shd w:val="clear" w:color="auto" w:fill="EAF7F4"/>
        <w:spacing w:before="40" w:after="40"/>
        <w:ind w:left="240"/>
        <w:rPr>
          <w:lang w:val="de-AT"/>
        </w:rPr>
      </w:pPr>
      <w:r>
        <w:rPr>
          <w:i/>
          <w:iCs/>
          <w:color w:val="0D4035"/>
          <w:sz w:val="20"/>
          <w:szCs w:val="20"/>
          <w:lang w:val="de-AT"/>
        </w:rPr>
        <w:t>Monetarisierungs-Zeitfenster (Ad-Revenue-Perioden, Abomodell-Übergänge) als CTDDL-Intervalle sind deterministisch berechenbar — Abrechnungsstreitigkeiten mit Plattformen werden reduziert</w:t>
      </w:r>
    </w:p>
    <w:p w14:paraId="63EE60FD" w14:textId="77777777" w:rsidR="00D1028B" w:rsidRPr="00260DEC" w:rsidRDefault="00892948">
      <w:pPr>
        <w:numPr>
          <w:ilvl w:val="0"/>
          <w:numId w:val="17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0FE" w14:textId="77777777" w:rsidR="00D1028B" w:rsidRPr="00260DEC" w:rsidRDefault="00892948">
      <w:pPr>
        <w:pStyle w:val="berschrift2"/>
        <w:rPr>
          <w:lang w:val="de-AT"/>
        </w:rPr>
      </w:pPr>
      <w:bookmarkStart w:id="238" w:name="erweiterte-wissenschaftsbereiche"/>
      <w:bookmarkStart w:id="239" w:name="_Toc226451995"/>
      <w:bookmarkEnd w:id="230"/>
      <w:bookmarkEnd w:id="236"/>
      <w:r>
        <w:rPr>
          <w:lang w:val="de-AT"/>
        </w:rPr>
        <w:t>22 Erweiterte Wissenschaftsbereiche</w:t>
      </w:r>
      <w:bookmarkEnd w:id="239"/>
    </w:p>
    <w:p w14:paraId="63EE60FF" w14:textId="77777777" w:rsidR="00D1028B" w:rsidRPr="00260DEC" w:rsidRDefault="00892948">
      <w:pPr>
        <w:rPr>
          <w:lang w:val="de-AT"/>
        </w:rPr>
      </w:pPr>
      <w:r>
        <w:rPr>
          <w:lang w:val="de-AT"/>
        </w:rPr>
        <w:t>Wissenschaftliche Disziplinen außerhalb der bereits behandelten Bereiche stehen vor spezifischen Zeitherausforderungen — von Femtosekunden in der Teilchenphysik bis zu Jahrmillionen in der Geologie.</w:t>
      </w:r>
    </w:p>
    <w:p w14:paraId="63EE6100" w14:textId="77777777" w:rsidR="00D1028B" w:rsidRPr="00260DEC" w:rsidRDefault="00892948">
      <w:pPr>
        <w:pStyle w:val="berschrift3"/>
        <w:rPr>
          <w:lang w:val="de-AT"/>
        </w:rPr>
      </w:pPr>
      <w:bookmarkStart w:id="240" w:name="teilchenphysik-cern-und-lhc"/>
      <w:bookmarkStart w:id="241" w:name="_Toc226451996"/>
      <w:r>
        <w:rPr>
          <w:lang w:val="de-AT"/>
        </w:rPr>
        <w:t>22.1 Teilchenphysik (CERN und LHC)</w:t>
      </w:r>
      <w:bookmarkEnd w:id="241"/>
    </w:p>
    <w:p w14:paraId="63EE6101" w14:textId="77777777" w:rsidR="00D1028B" w:rsidRPr="00260DEC" w:rsidRDefault="00892948">
      <w:pPr>
        <w:rPr>
          <w:lang w:val="de-AT"/>
        </w:rPr>
      </w:pPr>
      <w:r>
        <w:rPr>
          <w:i/>
          <w:iCs/>
          <w:lang w:val="de-AT"/>
        </w:rPr>
        <w:t xml:space="preserve">Am Large Hadron Collider (LHC) des CERN kollidieren Protonen mit nahezu Lichtgeschwindigkeit. Kollisionsereignisse werden mit Femtosekunden-Präzision (10⁻¹µ Sekunden) gestempelt. Dabei </w:t>
        <w:lastRenderedPageBreak/>
        <w:t>werden bis zu 600 Millionen Kollisionen pro Sekunde erzeugt — ein einzigartiges Zeitproblem in der menschlichen Ingenieurskunst.</w:t>
      </w:r>
    </w:p>
    <w:p w14:paraId="63EE6102" w14:textId="77777777" w:rsidR="00D1028B" w:rsidRDefault="00892948">
      <w:pPr>
        <w:numPr>
          <w:ilvl w:val="0"/>
          <w:numId w:val="171"/>
        </w:numPr>
      </w:pPr>
      <w:r>
        <w:rPr>
          <w:lang w:val="de-AT"/>
        </w:rPr>
        <w:t xml:space="preserve">Trigger-Systeme: Entscheiden in Nanosekunden, welche Ereignisse aufgezeichnet werden. </w:t>
      </w:r>
      <w:r>
        <w:t>Zeitstempel sind Teil der Ereignisauswahl</w:t>
      </w:r>
    </w:p>
    <w:p w14:paraId="63EE6103" w14:textId="77777777" w:rsidR="00D1028B" w:rsidRDefault="00892948">
      <w:pPr>
        <w:numPr>
          <w:ilvl w:val="0"/>
          <w:numId w:val="171"/>
        </w:numPr>
      </w:pPr>
      <w:r>
        <w:rPr>
          <w:lang w:val="de-AT"/>
        </w:rPr>
        <w:t xml:space="preserve">Grid-Computing: Datenanalyse ist auf tausende Computer weltweit verteilt. </w:t>
      </w:r>
      <w:r>
        <w:t>Zeitstempel müssen über alle Rechenknoten konsistent sein</w:t>
      </w:r>
    </w:p>
    <w:p w14:paraId="63EE6104" w14:textId="77777777" w:rsidR="00D1028B" w:rsidRPr="00260DEC" w:rsidRDefault="00892948">
      <w:pPr>
        <w:numPr>
          <w:ilvl w:val="0"/>
          <w:numId w:val="171"/>
        </w:numPr>
        <w:rPr>
          <w:lang w:val="de-AT"/>
        </w:rPr>
      </w:pPr>
      <w:r>
        <w:rPr>
          <w:lang w:val="de-AT"/>
        </w:rPr>
        <w:t>Monte-Carlo-Simulationen: Vergleich von simulierten und gemessenen Ereignissen erfordert konsistente Zeitachsen</w:t>
      </w:r>
    </w:p>
    <w:p w14:paraId="63EE6105" w14:textId="77777777" w:rsidR="00D1028B" w:rsidRDefault="00892948">
      <w:pPr>
        <w:numPr>
          <w:ilvl w:val="0"/>
          <w:numId w:val="171"/>
        </w:numPr>
      </w:pPr>
      <w:r>
        <w:rPr>
          <w:lang w:val="de-AT"/>
        </w:rPr>
        <w:t xml:space="preserve">Long-Term Data Preservation: LHC-Daten werden für Jahrzehnte aufbewahrt. </w:t>
      </w:r>
      <w:r>
        <w:t>Zeitstempel-Format muss in 50 Jahren noch lesbar sein</w:t>
      </w:r>
    </w:p>
    <w:p w14:paraId="63EE6106" w14:textId="77777777" w:rsidR="00D1028B" w:rsidRDefault="00892948">
      <w:pPr>
        <w:numPr>
          <w:ilvl w:val="0"/>
          <w:numId w:val="171"/>
        </w:numPr>
      </w:pPr>
      <w:r>
        <w:t>Neutrinoexperimente (IceCube, KM3NeT): Detektoren an Geographisch entfernten Standorten (Südpol, Mittelmeer) müssen nanosekunden-synchron sein</w:t>
      </w:r>
    </w:p>
    <w:p w14:paraId="63EE610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08" w14:textId="77777777" w:rsidR="00D1028B" w:rsidRDefault="00892948">
      <w:pPr>
        <w:numPr>
          <w:ilvl w:val="0"/>
          <w:numId w:val="172"/>
        </w:numPr>
        <w:pBdr>
          <w:left w:val="single" w:sz="20" w:space="8" w:color="17A589"/>
        </w:pBdr>
        <w:shd w:val="clear" w:color="auto" w:fill="EAF7F4"/>
        <w:spacing w:before="40" w:after="40"/>
        <w:ind w:left="240"/>
      </w:pPr>
      <w:r>
        <w:rPr>
          <w:i/>
          <w:iCs/>
          <w:color w:val="0D4035"/>
          <w:sz w:val="20"/>
          <w:szCs w:val="20"/>
        </w:rPr>
        <w:t>CERN-Ereigniszeitstempel (LHC-Kollisionen, Detektor-Triggers) erfordern Sub-Nanosekunden-Präzision; CGTA mit BigInt-Skalierung ist formal in der Lage, relativistische Korrekturen (Lorentz-Faktor) für rotierende Teilchenstrahlen zu modellieren</w:t>
      </w:r>
    </w:p>
    <w:p w14:paraId="63EE6109" w14:textId="77777777" w:rsidR="00D1028B" w:rsidRDefault="00892948">
      <w:pPr>
        <w:numPr>
          <w:ilvl w:val="0"/>
          <w:numId w:val="172"/>
        </w:numPr>
        <w:pBdr>
          <w:left w:val="single" w:sz="20" w:space="8" w:color="17A589"/>
        </w:pBdr>
        <w:shd w:val="clear" w:color="auto" w:fill="EAF7F4"/>
        <w:spacing w:before="40" w:after="40"/>
        <w:ind w:left="240"/>
      </w:pPr>
      <w:r>
        <w:rPr>
          <w:i/>
          <w:iCs/>
          <w:color w:val="0D4035"/>
          <w:sz w:val="20"/>
          <w:szCs w:val="20"/>
        </w:rPr>
        <w:t>CTDDL kann Teilchenphysik-Zeitdomänen formal beschreiben (Bunch-Crossing-Zeit, Trigger-Latenz, Beam-Zeit): maschinenlesbare Domain-Definitionen für die Physik-Community als offener Standard</w:t>
      </w:r>
    </w:p>
    <w:p w14:paraId="63EE610A" w14:textId="77777777" w:rsidR="00D1028B" w:rsidRPr="00260DEC" w:rsidRDefault="00892948">
      <w:pPr>
        <w:numPr>
          <w:ilvl w:val="0"/>
          <w:numId w:val="172"/>
        </w:numPr>
        <w:pBdr>
          <w:left w:val="single" w:sz="20" w:space="8" w:color="17A589"/>
        </w:pBdr>
        <w:shd w:val="clear" w:color="auto" w:fill="EAF7F4"/>
        <w:spacing w:before="40" w:after="40"/>
        <w:ind w:left="240"/>
        <w:rPr>
          <w:lang w:val="de-AT"/>
        </w:rPr>
      </w:pPr>
      <w:r>
        <w:rPr>
          <w:i/>
          <w:iCs/>
          <w:color w:val="0D4035"/>
          <w:sz w:val="20"/>
          <w:szCs w:val="20"/>
          <w:lang w:val="de-AT"/>
        </w:rPr>
        <w:t>Reproduzierbarkeit von Experimenten: CGTA-Zeitstempel in ROOT-Datendateien und HDF5-Archiven sind jahrzehntelang ohne Konversionsverlust interpretierbar — Grundlage für langfristige Datenintegrität in der Hochenergiephysik</w:t>
      </w:r>
    </w:p>
    <w:p w14:paraId="63EE610B" w14:textId="77777777" w:rsidR="00D1028B" w:rsidRPr="00260DEC" w:rsidRDefault="00892948">
      <w:pPr>
        <w:pStyle w:val="berschrift3"/>
        <w:rPr>
          <w:lang w:val="de-AT"/>
        </w:rPr>
      </w:pPr>
      <w:bookmarkStart w:id="242" w:name="seismologie-und-erdbebenfrüherkennung"/>
      <w:bookmarkStart w:id="243" w:name="_Toc226451997"/>
      <w:bookmarkEnd w:id="240"/>
      <w:r>
        <w:rPr>
          <w:lang w:val="de-AT"/>
        </w:rPr>
        <w:t>22.2 Seismologie und Erdbebenfrüherkennung</w:t>
      </w:r>
      <w:bookmarkEnd w:id="243"/>
    </w:p>
    <w:p w14:paraId="63EE610C" w14:textId="77777777" w:rsidR="00D1028B" w:rsidRPr="00260DEC" w:rsidRDefault="00892948">
      <w:pPr>
        <w:rPr>
          <w:lang w:val="de-AT"/>
        </w:rPr>
      </w:pPr>
      <w:r>
        <w:rPr>
          <w:lang w:val="de-AT"/>
        </w:rPr>
        <w:t>Seismische Frühwarnsysteme können Leben retten — aber nur, wenn Messstationen präzise synchronisiert sind:</w:t>
      </w:r>
    </w:p>
    <w:p w14:paraId="63EE610D" w14:textId="77777777" w:rsidR="00D1028B" w:rsidRPr="00260DEC" w:rsidRDefault="00892948">
      <w:pPr>
        <w:numPr>
          <w:ilvl w:val="0"/>
          <w:numId w:val="173"/>
        </w:numPr>
        <w:rPr>
          <w:lang w:val="de-AT"/>
        </w:rPr>
      </w:pPr>
      <w:r>
        <w:rPr>
          <w:lang w:val="de-AT"/>
        </w:rPr>
        <w:t>P-Welle vs. S-Welle: Erdbeben senden zuerst schnelle P-Wellen (ungefährlich), dann langsamere S-Wellen (schädlich). Die Zeitdifferenz zwischen den Stationen erlaubt Ortung und Magnitudenberechnung — Millisekunden entscheiden</w:t>
      </w:r>
    </w:p>
    <w:p w14:paraId="63EE610E" w14:textId="77777777" w:rsidR="00D1028B" w:rsidRPr="00260DEC" w:rsidRDefault="00892948">
      <w:pPr>
        <w:numPr>
          <w:ilvl w:val="0"/>
          <w:numId w:val="173"/>
        </w:numPr>
        <w:rPr>
          <w:lang w:val="de-AT"/>
        </w:rPr>
      </w:pPr>
      <w:r>
        <w:rPr>
          <w:lang w:val="de-AT"/>
        </w:rPr>
        <w:t>ShakeAlert (USA): Frühwarnsystem basiert auf präzisen Zeitdifferenzen zwischen Messstationen — Genauigkeit der Zeitbasis direkt proportional zur Warnzeit</w:t>
      </w:r>
    </w:p>
    <w:p w14:paraId="63EE610F" w14:textId="77777777" w:rsidR="00D1028B" w:rsidRPr="00260DEC" w:rsidRDefault="00892948">
      <w:pPr>
        <w:numPr>
          <w:ilvl w:val="0"/>
          <w:numId w:val="173"/>
        </w:numPr>
        <w:rPr>
          <w:lang w:val="de-AT"/>
        </w:rPr>
      </w:pPr>
      <w:r>
        <w:rPr>
          <w:lang w:val="de-AT"/>
        </w:rPr>
        <w:t>Kernwaffenteststopp-Vertrag (CTBTO): Überwachung von Atomtests durch seismische Stationen weltweit. Zeitpunkt und Ort einer Explosion werden aus Zeitdifferenzen berechnet — politisch kritisch</w:t>
      </w:r>
    </w:p>
    <w:p w14:paraId="63EE6110" w14:textId="77777777" w:rsidR="00D1028B" w:rsidRPr="00260DEC" w:rsidRDefault="00892948">
      <w:pPr>
        <w:numPr>
          <w:ilvl w:val="0"/>
          <w:numId w:val="173"/>
        </w:numPr>
        <w:rPr>
          <w:lang w:val="de-AT"/>
        </w:rPr>
      </w:pPr>
      <w:r>
        <w:rPr>
          <w:lang w:val="de-AT"/>
        </w:rPr>
        <w:t>Unterirdische Infrastruktur: Gas- und Ölleckagen können seismisch lokalisiert werden — Zeitstempel der Messstationen sind entscheidend für Lokalisierungsgenauigkeit</w:t>
      </w:r>
    </w:p>
    <w:p w14:paraId="63EE6111" w14:textId="77777777" w:rsidR="00D1028B" w:rsidRDefault="00892948">
      <w:pPr>
        <w:numPr>
          <w:ilvl w:val="0"/>
          <w:numId w:val="173"/>
        </w:numPr>
      </w:pPr>
      <w:r>
        <w:rPr>
          <w:lang w:val="de-AT"/>
        </w:rPr>
        <w:t xml:space="preserve">Tsunamiwarnsysteme: DART-Bojen messen Druckveränderungen mit Zeitstempel. </w:t>
      </w:r>
      <w:r>
        <w:t>Warnung muss innerhalb von Minuten erfolgen</w:t>
      </w:r>
    </w:p>
    <w:p w14:paraId="63EE6112"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13" w14:textId="77777777" w:rsidR="00D1028B" w:rsidRPr="00260DEC" w:rsidRDefault="00892948">
      <w:pPr>
        <w:numPr>
          <w:ilvl w:val="0"/>
          <w:numId w:val="174"/>
        </w:numPr>
        <w:pBdr>
          <w:left w:val="single" w:sz="20" w:space="8" w:color="17A589"/>
        </w:pBdr>
        <w:shd w:val="clear" w:color="auto" w:fill="EAF7F4"/>
        <w:spacing w:before="40" w:after="40"/>
        <w:ind w:left="240"/>
        <w:rPr>
          <w:lang w:val="de-AT"/>
        </w:rPr>
      </w:pPr>
      <w:r>
        <w:rPr>
          <w:i/>
          <w:iCs/>
          <w:color w:val="0D4035"/>
          <w:sz w:val="20"/>
          <w:szCs w:val="20"/>
          <w:lang w:val="de-AT"/>
        </w:rPr>
        <w:lastRenderedPageBreak/>
        <w:t>Seismologische P- und S-Wellen-Ankunftszeitpunkte als CGTA: Triangulierung von Epizentren über globale Sensornetze (IRIS, EMSC) wird deterministisch — kein Berechnungsfehler durch Zeitzonendifferenzen zwischen Messstationen</w:t>
      </w:r>
    </w:p>
    <w:p w14:paraId="63EE6114" w14:textId="77777777" w:rsidR="00D1028B" w:rsidRPr="00260DEC" w:rsidRDefault="00892948">
      <w:pPr>
        <w:numPr>
          <w:ilvl w:val="0"/>
          <w:numId w:val="174"/>
        </w:numPr>
        <w:pBdr>
          <w:left w:val="single" w:sz="20" w:space="8" w:color="17A589"/>
        </w:pBdr>
        <w:shd w:val="clear" w:color="auto" w:fill="EAF7F4"/>
        <w:spacing w:before="40" w:after="40"/>
        <w:ind w:left="240"/>
        <w:rPr>
          <w:lang w:val="de-AT"/>
        </w:rPr>
      </w:pPr>
      <w:r>
        <w:rPr>
          <w:i/>
          <w:iCs/>
          <w:color w:val="0D4035"/>
          <w:sz w:val="20"/>
          <w:szCs w:val="20"/>
          <w:lang w:val="de-AT"/>
        </w:rPr>
        <w:t>Frühwarnsysteme erfordern Sub-Sekunden-Reaktionszeiten; CGTA mit BigInt-Genauigkeit liefert die formale Grundlage für zeitkritische Alert-Protokolle über heterogene Netzwerke</w:t>
      </w:r>
    </w:p>
    <w:p w14:paraId="63EE6115" w14:textId="77777777" w:rsidR="00D1028B" w:rsidRPr="00260DEC" w:rsidRDefault="00892948">
      <w:pPr>
        <w:numPr>
          <w:ilvl w:val="0"/>
          <w:numId w:val="174"/>
        </w:numPr>
        <w:pBdr>
          <w:left w:val="single" w:sz="20" w:space="8" w:color="17A589"/>
        </w:pBdr>
        <w:shd w:val="clear" w:color="auto" w:fill="EAF7F4"/>
        <w:spacing w:before="40" w:after="40"/>
        <w:ind w:left="240"/>
        <w:rPr>
          <w:lang w:val="de-AT"/>
        </w:rPr>
      </w:pPr>
      <w:r>
        <w:rPr>
          <w:i/>
          <w:iCs/>
          <w:color w:val="0D4035"/>
          <w:sz w:val="20"/>
          <w:szCs w:val="20"/>
          <w:lang w:val="de-AT"/>
        </w:rPr>
        <w:t>ShakeAlert und ähnliche Frühwarnsysteme können CGTA als normierten Zeittyp in P2P-Sensor-Protokollen übernehmen — Interoperabilität zwischen nationalen Überwachungsnetzen verbessert sich strukturell</w:t>
      </w:r>
    </w:p>
    <w:p w14:paraId="63EE6116" w14:textId="77777777" w:rsidR="00D1028B" w:rsidRPr="00260DEC" w:rsidRDefault="00892948">
      <w:pPr>
        <w:numPr>
          <w:ilvl w:val="0"/>
          <w:numId w:val="174"/>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6117" w14:textId="77777777" w:rsidR="00D1028B" w:rsidRDefault="00892948">
      <w:pPr>
        <w:pStyle w:val="berschrift3"/>
      </w:pPr>
      <w:bookmarkStart w:id="244" w:name="klimaforschung-und-meteorologie"/>
      <w:bookmarkStart w:id="245" w:name="_Toc226451998"/>
      <w:bookmarkEnd w:id="242"/>
      <w:r>
        <w:t>22.3 Klimaforschung und Meteorologie</w:t>
      </w:r>
      <w:bookmarkEnd w:id="245"/>
    </w:p>
    <w:p w14:paraId="63EE6118" w14:textId="77777777" w:rsidR="00D1028B" w:rsidRPr="00260DEC" w:rsidRDefault="00892948">
      <w:pPr>
        <w:numPr>
          <w:ilvl w:val="0"/>
          <w:numId w:val="175"/>
        </w:numPr>
        <w:rPr>
          <w:lang w:val="de-AT"/>
        </w:rPr>
      </w:pPr>
      <w:r>
        <w:rPr>
          <w:lang w:val="de-AT"/>
        </w:rPr>
        <w:t>Wettermodelle: Assimilieren Messdaten von Satelliten, Bodenstationen, Radiosonden und Schiffen. Alle Daten müssen auf denselben Zeitpunkt interpoliert werden — Zeitstempel-Inkonsistenz verschüttert Modellqualität</w:t>
      </w:r>
    </w:p>
    <w:p w14:paraId="63EE6119" w14:textId="77777777" w:rsidR="00D1028B" w:rsidRPr="00260DEC" w:rsidRDefault="00892948">
      <w:pPr>
        <w:numPr>
          <w:ilvl w:val="0"/>
          <w:numId w:val="175"/>
        </w:numPr>
        <w:rPr>
          <w:lang w:val="de-AT"/>
        </w:rPr>
      </w:pPr>
      <w:r>
        <w:rPr>
          <w:lang w:val="de-AT"/>
        </w:rPr>
        <w:t>Klimadatenarchive (ECMWF, NOAA): Historische Wetterdaten reichen bis ins 19. Jahrhundert. Zeitstempel-Standards haben sich über die Jahrzehnte geändert — Re-Analyse erfordert manuelle Zeitstempel-Harmonisierung</w:t>
      </w:r>
    </w:p>
    <w:p w14:paraId="63EE611A" w14:textId="77777777" w:rsidR="00D1028B" w:rsidRPr="00260DEC" w:rsidRDefault="00892948">
      <w:pPr>
        <w:numPr>
          <w:ilvl w:val="0"/>
          <w:numId w:val="175"/>
        </w:numPr>
        <w:rPr>
          <w:lang w:val="de-AT"/>
        </w:rPr>
      </w:pPr>
      <w:r>
        <w:rPr>
          <w:lang w:val="de-AT"/>
        </w:rPr>
        <w:t>Satellitenbeobachtung: Copernicus (ESA), Landsat (NASA), Sentinel — Überflug-Zeitstempel sind für Change-Detection-Analysen entscheidend</w:t>
      </w:r>
    </w:p>
    <w:p w14:paraId="63EE611B" w14:textId="77777777" w:rsidR="00D1028B" w:rsidRDefault="00892948">
      <w:pPr>
        <w:numPr>
          <w:ilvl w:val="0"/>
          <w:numId w:val="175"/>
        </w:numPr>
      </w:pPr>
      <w:r>
        <w:rPr>
          <w:lang w:val="de-AT"/>
        </w:rPr>
        <w:t xml:space="preserve">Tipping Points: Klimamodelle berechnen Überschreitung kritischer Schwellen zu bestimmten Zeitpunkten. </w:t>
      </w:r>
      <w:r>
        <w:t>Unsicherheit in der Zeitachse ergibt Unsicherheit im Ergebnis</w:t>
      </w:r>
    </w:p>
    <w:p w14:paraId="63EE611C" w14:textId="77777777" w:rsidR="00D1028B" w:rsidRDefault="00892948">
      <w:pPr>
        <w:numPr>
          <w:ilvl w:val="0"/>
          <w:numId w:val="175"/>
        </w:numPr>
      </w:pPr>
      <w:r>
        <w:rPr>
          <w:lang w:val="de-AT"/>
        </w:rPr>
        <w:t xml:space="preserve">Palaeoklima: Eisbohrkerne und Sedimentproben haben Zeitskalen von Jahrtausenden bis Jahrmillionen. </w:t>
      </w:r>
      <w:r>
        <w:t>Datierungsmethoden (Radiokarbonmethode, Stratigraphie) produzieren Zeitangaben mit Unsicherheitsintervallen — kein universelles Format</w:t>
      </w:r>
    </w:p>
    <w:p w14:paraId="63EE611D" w14:textId="77777777" w:rsidR="00D1028B" w:rsidRPr="00260DEC" w:rsidRDefault="00892948">
      <w:pPr>
        <w:rPr>
          <w:lang w:val="de-AT"/>
        </w:rPr>
      </w:pPr>
      <w:r>
        <w:rPr>
          <w:i/>
          <w:iCs/>
        </w:rPr>
        <w:t xml:space="preserve">ECMWF (European Centre for Medium-Range Weather Forecasts) hat seinen Sitz in Reading, UK und Bonn. </w:t>
      </w:r>
      <w:r>
        <w:rPr>
          <w:i/>
          <w:iCs/>
          <w:lang w:val="de-AT"/>
        </w:rPr>
        <w:t>Österreich ist Mitgliedsstaat. GeoSphere Austria (ZAMG + Geologische Bundesanstalt) ist direkter Kooperationspartner für ChronoGrid in der Klimaforschung.</w:t>
      </w:r>
    </w:p>
    <w:p w14:paraId="63EE611E"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1F" w14:textId="77777777" w:rsidR="00D1028B" w:rsidRDefault="00892948">
      <w:pPr>
        <w:numPr>
          <w:ilvl w:val="0"/>
          <w:numId w:val="176"/>
        </w:numPr>
        <w:pBdr>
          <w:left w:val="single" w:sz="20" w:space="8" w:color="17A589"/>
        </w:pBdr>
        <w:shd w:val="clear" w:color="auto" w:fill="EAF7F4"/>
        <w:spacing w:before="40" w:after="40"/>
        <w:ind w:left="240"/>
      </w:pPr>
      <w:r>
        <w:rPr>
          <w:i/>
          <w:iCs/>
          <w:color w:val="0D4035"/>
          <w:sz w:val="20"/>
          <w:szCs w:val="20"/>
        </w:rPr>
        <w:t>Klimadaten-Zeitreihen (ECMWF, NOAA, Copernicus) als CGTA normiert: Ensemble-Modelle über verschiedene Datenquellen werden zeitachsen-konsistent — kein manueller Zeitzonenabgleich bei Datenfusion</w:t>
      </w:r>
    </w:p>
    <w:p w14:paraId="63EE6120" w14:textId="77777777" w:rsidR="00D1028B" w:rsidRDefault="00892948">
      <w:pPr>
        <w:numPr>
          <w:ilvl w:val="0"/>
          <w:numId w:val="176"/>
        </w:numPr>
        <w:pBdr>
          <w:left w:val="single" w:sz="20" w:space="8" w:color="17A589"/>
        </w:pBdr>
        <w:shd w:val="clear" w:color="auto" w:fill="EAF7F4"/>
        <w:spacing w:before="40" w:after="40"/>
        <w:ind w:left="240"/>
      </w:pPr>
      <w:r>
        <w:rPr>
          <w:i/>
          <w:iCs/>
          <w:color w:val="0D4035"/>
          <w:sz w:val="20"/>
          <w:szCs w:val="20"/>
        </w:rPr>
        <w:t>Paläoklimatische Zeitreihen (Eisbohrkerne, Sedimentschichten) erfordern Zeitskalen jenseits des Unix-Timestamps; CGTA mit BigInt-Skalierung und CTDDL-Domain-Definition ist formal für geologische Zeitskalen geeignet</w:t>
      </w:r>
    </w:p>
    <w:p w14:paraId="63EE6121" w14:textId="77777777" w:rsidR="00D1028B" w:rsidRPr="00260DEC" w:rsidRDefault="00892948">
      <w:pPr>
        <w:numPr>
          <w:ilvl w:val="0"/>
          <w:numId w:val="176"/>
        </w:numPr>
        <w:pBdr>
          <w:left w:val="single" w:sz="20" w:space="8" w:color="17A589"/>
        </w:pBdr>
        <w:shd w:val="clear" w:color="auto" w:fill="EAF7F4"/>
        <w:spacing w:before="40" w:after="40"/>
        <w:ind w:left="240"/>
        <w:rPr>
          <w:lang w:val="de-AT"/>
        </w:rPr>
      </w:pPr>
      <w:r>
        <w:rPr>
          <w:i/>
          <w:iCs/>
          <w:color w:val="0D4035"/>
          <w:sz w:val="20"/>
          <w:szCs w:val="20"/>
          <w:lang w:val="de-AT"/>
        </w:rPr>
        <w:t>IPCC-Berichte und wissenschaftliche Klimaarchive mit CGTA-Zeitstempeln sind über Jahrzehnte und Generationen von Forschern reproduzierbar — Grundlage für langfristige wissenschaftliche Kontinuität</w:t>
      </w:r>
    </w:p>
    <w:p w14:paraId="63EE6122" w14:textId="77777777" w:rsidR="00D1028B" w:rsidRDefault="00892948">
      <w:pPr>
        <w:pStyle w:val="berschrift3"/>
      </w:pPr>
      <w:bookmarkStart w:id="246" w:name="astronomie-ergänzende-aspekte"/>
      <w:bookmarkStart w:id="247" w:name="_Toc226451999"/>
      <w:bookmarkEnd w:id="244"/>
      <w:r>
        <w:t>22.4 Astronomie (ergänzende Aspekte)</w:t>
      </w:r>
      <w:bookmarkEnd w:id="247"/>
    </w:p>
    <w:p w14:paraId="63EE6123" w14:textId="77777777" w:rsidR="00D1028B" w:rsidRDefault="00892948">
      <w:pPr>
        <w:numPr>
          <w:ilvl w:val="0"/>
          <w:numId w:val="177"/>
        </w:numPr>
      </w:pPr>
      <w:r>
        <w:t>VLBI (Very Long Baseline Interferometry): Radioteleskope auf verschiedenen Kontinenten werden zu einem virtuellen Teleskop kombiniert. Zeitstempel müssen auf Picosekunden synchron sein — Atomuhren an jedem Teleskop</w:t>
      </w:r>
    </w:p>
    <w:p w14:paraId="63EE6124" w14:textId="77777777" w:rsidR="00D1028B" w:rsidRDefault="00892948">
      <w:pPr>
        <w:numPr>
          <w:ilvl w:val="0"/>
          <w:numId w:val="177"/>
        </w:numPr>
      </w:pPr>
      <w:r>
        <w:lastRenderedPageBreak/>
        <w:t>Gravitationswellen-Detektoren (LIGO, Virgo, KAGRA): Erkennen Gravitationswellen durch Laufzeitunterschiede zwischen Detektoren. Zeitpräzision auf Nanosekunden-Ebene</w:t>
      </w:r>
    </w:p>
    <w:p w14:paraId="63EE6125" w14:textId="77777777" w:rsidR="00D1028B" w:rsidRDefault="00892948">
      <w:pPr>
        <w:numPr>
          <w:ilvl w:val="0"/>
          <w:numId w:val="177"/>
        </w:numPr>
      </w:pPr>
      <w:r>
        <w:rPr>
          <w:lang w:val="de-AT"/>
        </w:rPr>
        <w:t xml:space="preserve">Exoplaneten-Transit-Beobachtungen: Zeitpunkt und Dauer eines Transits wird gemessen. </w:t>
      </w:r>
      <w:r>
        <w:t>Kleine Abweichungen vom berechneten Zeitpunkt deuten auf weitere Planeten hin</w:t>
      </w:r>
    </w:p>
    <w:p w14:paraId="63EE6126" w14:textId="77777777" w:rsidR="00D1028B" w:rsidRDefault="00892948">
      <w:pPr>
        <w:numPr>
          <w:ilvl w:val="0"/>
          <w:numId w:val="177"/>
        </w:numPr>
      </w:pPr>
      <w:r>
        <w:rPr>
          <w:lang w:val="de-AT"/>
        </w:rPr>
        <w:t xml:space="preserve">Sonnensystem-Ephemeris: Positionen von Planeten und Kleinkörpern werden für Jahrzehnte im Voraus berechnet. </w:t>
      </w:r>
      <w:r>
        <w:t>Zeitstandard TDB (Barycentric Dynamical Time) als ChronoGrid-Bridge</w:t>
      </w:r>
    </w:p>
    <w:p w14:paraId="63EE612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28" w14:textId="77777777" w:rsidR="00D1028B" w:rsidRDefault="00892948">
      <w:pPr>
        <w:numPr>
          <w:ilvl w:val="0"/>
          <w:numId w:val="178"/>
        </w:numPr>
        <w:pBdr>
          <w:left w:val="single" w:sz="20" w:space="8" w:color="17A589"/>
        </w:pBdr>
        <w:shd w:val="clear" w:color="auto" w:fill="EAF7F4"/>
        <w:spacing w:before="40" w:after="40"/>
        <w:ind w:left="240"/>
      </w:pPr>
      <w:r>
        <w:rPr>
          <w:i/>
          <w:iCs/>
          <w:color w:val="0D4035"/>
          <w:sz w:val="20"/>
          <w:szCs w:val="20"/>
        </w:rPr>
        <w:t>TCB (Barycentric Coordinate Time) und TDB (Barycentric Dynamical Time) als CTDDL-Domains: ChronoGrid kann als Bridge-Standard zwischen astronomischen Zeitskalen und UTC/TAI dienen — formale Mappings statt proprietärer Konversionsbibliotheken</w:t>
      </w:r>
    </w:p>
    <w:p w14:paraId="63EE6129" w14:textId="77777777" w:rsidR="00D1028B" w:rsidRPr="00260DEC" w:rsidRDefault="00892948">
      <w:pPr>
        <w:numPr>
          <w:ilvl w:val="0"/>
          <w:numId w:val="178"/>
        </w:numPr>
        <w:pBdr>
          <w:left w:val="single" w:sz="20" w:space="8" w:color="17A589"/>
        </w:pBdr>
        <w:shd w:val="clear" w:color="auto" w:fill="EAF7F4"/>
        <w:spacing w:before="40" w:after="40"/>
        <w:ind w:left="240"/>
        <w:rPr>
          <w:lang w:val="de-AT"/>
        </w:rPr>
      </w:pPr>
      <w:r>
        <w:rPr>
          <w:i/>
          <w:iCs/>
          <w:color w:val="0D4035"/>
          <w:sz w:val="20"/>
          <w:szCs w:val="20"/>
          <w:lang w:val="de-AT"/>
        </w:rPr>
        <w:t>Ephemeridenberechnungen und Teleskop-Beobachtungsplanung mit CGTA: koordinierte Beobachtungskampagnen über globale Teleskopnetze (VLBI, Event Horizon Telescope) erhalten eine einheitliche Zeitreferenz</w:t>
      </w:r>
    </w:p>
    <w:p w14:paraId="63EE612A" w14:textId="77777777" w:rsidR="00D1028B" w:rsidRPr="00260DEC" w:rsidRDefault="00892948">
      <w:pPr>
        <w:numPr>
          <w:ilvl w:val="0"/>
          <w:numId w:val="178"/>
        </w:numPr>
        <w:pBdr>
          <w:left w:val="single" w:sz="20" w:space="8" w:color="17A589"/>
        </w:pBdr>
        <w:shd w:val="clear" w:color="auto" w:fill="EAF7F4"/>
        <w:spacing w:before="40" w:after="40"/>
        <w:ind w:left="240"/>
        <w:rPr>
          <w:lang w:val="de-AT"/>
        </w:rPr>
      </w:pPr>
      <w:r>
        <w:rPr>
          <w:i/>
          <w:iCs/>
          <w:color w:val="0D4035"/>
          <w:sz w:val="20"/>
          <w:szCs w:val="20"/>
          <w:lang w:val="de-AT"/>
        </w:rPr>
        <w:t>Langzeitarchivierung von Beobachtungsdaten (FITS-Format) mit CGTA: Epochen-Konvertierungen (J2000, B1950) werden durch normierte CTDDL-Mappings reproduzierbar statt von einzelnen Softwarebibliotheken abhängig</w:t>
      </w:r>
    </w:p>
    <w:p w14:paraId="63EE612B" w14:textId="77777777" w:rsidR="00D1028B" w:rsidRDefault="00892948">
      <w:pPr>
        <w:numPr>
          <w:ilvl w:val="0"/>
          <w:numId w:val="178"/>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12C" w14:textId="77777777" w:rsidR="00D1028B" w:rsidRDefault="00892948">
      <w:pPr>
        <w:pStyle w:val="berschrift3"/>
      </w:pPr>
      <w:bookmarkStart w:id="248" w:name="X2843fc197b481a48e7147576c7989697b7b1002"/>
      <w:bookmarkStart w:id="249" w:name="_Toc226452000"/>
      <w:bookmarkEnd w:id="246"/>
      <w:r>
        <w:t>22.5 Medizinische Forschung und klinische Studien</w:t>
      </w:r>
      <w:bookmarkEnd w:id="249"/>
    </w:p>
    <w:p w14:paraId="63EE612D" w14:textId="77777777" w:rsidR="00D1028B" w:rsidRDefault="00892948">
      <w:pPr>
        <w:numPr>
          <w:ilvl w:val="0"/>
          <w:numId w:val="179"/>
        </w:numPr>
      </w:pPr>
      <w:r>
        <w:rPr>
          <w:lang w:val="de-AT"/>
        </w:rPr>
        <w:t xml:space="preserve">Klinische Studien (Phase I-III): Zeitpunkte von Messungen, Medikamentengaben und Beobachtungen müssen präzise und reproduzierbar dokumentiert sein. </w:t>
      </w:r>
      <w:r>
        <w:t>FDA und EMA schreiben 21 CFR Part 11 / EU Annex 11 vor</w:t>
      </w:r>
    </w:p>
    <w:p w14:paraId="63EE612E" w14:textId="77777777" w:rsidR="00D1028B" w:rsidRPr="00260DEC" w:rsidRDefault="00892948">
      <w:pPr>
        <w:numPr>
          <w:ilvl w:val="0"/>
          <w:numId w:val="179"/>
        </w:numPr>
        <w:rPr>
          <w:lang w:val="de-AT"/>
        </w:rPr>
      </w:pPr>
      <w:r>
        <w:rPr>
          <w:lang w:val="de-AT"/>
        </w:rPr>
        <w:t>Genomik und Biobanken: Probenentnahmezeitpunkte und Lagerungszeitstempel sind für biologische Validität kritisch</w:t>
      </w:r>
    </w:p>
    <w:p w14:paraId="63EE612F" w14:textId="77777777" w:rsidR="00D1028B" w:rsidRPr="00260DEC" w:rsidRDefault="00892948">
      <w:pPr>
        <w:numPr>
          <w:ilvl w:val="0"/>
          <w:numId w:val="179"/>
        </w:numPr>
        <w:rPr>
          <w:lang w:val="de-AT"/>
        </w:rPr>
      </w:pPr>
      <w:r>
        <w:rPr>
          <w:lang w:val="de-AT"/>
        </w:rPr>
        <w:t>Epidemiologie: Ausbreitungsmodelle (wie COVID-19) benötigen präzise Zeitachsen für Inkubationszeit, Meldeverzug und Interventionswirkung</w:t>
      </w:r>
    </w:p>
    <w:p w14:paraId="63EE6130" w14:textId="77777777" w:rsidR="00D1028B" w:rsidRPr="00260DEC" w:rsidRDefault="00892948">
      <w:pPr>
        <w:numPr>
          <w:ilvl w:val="0"/>
          <w:numId w:val="179"/>
        </w:numPr>
        <w:rPr>
          <w:lang w:val="de-AT"/>
        </w:rPr>
      </w:pPr>
      <w:r>
        <w:rPr>
          <w:lang w:val="de-AT"/>
        </w:rPr>
        <w:t>EEG/MEG-Neuroimaging: Hirnaktivität wird mit Millisekunden-Präzision gemessen. Zeitstempel-Konsistenz zwischen Stimulation und Messung ist Voraussetzung für valide Ergebnisse</w:t>
      </w:r>
    </w:p>
    <w:p w14:paraId="63EE6131" w14:textId="77777777" w:rsidR="00D1028B" w:rsidRDefault="00892948">
      <w:pPr>
        <w:numPr>
          <w:ilvl w:val="0"/>
          <w:numId w:val="179"/>
        </w:numPr>
      </w:pPr>
      <w:r>
        <w:rPr>
          <w:lang w:val="de-AT"/>
        </w:rPr>
        <w:t xml:space="preserve">ICH E6 (Good Clinical Practice): Internationaler Standard für klinische Studien. </w:t>
      </w:r>
      <w:r>
        <w:t>Zeitstempel in Studienprotokollen sind Compliance-Anforderung</w:t>
      </w:r>
    </w:p>
    <w:p w14:paraId="63EE6132"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33" w14:textId="77777777" w:rsidR="00D1028B" w:rsidRDefault="00892948">
      <w:pPr>
        <w:numPr>
          <w:ilvl w:val="0"/>
          <w:numId w:val="180"/>
        </w:numPr>
        <w:pBdr>
          <w:left w:val="single" w:sz="20" w:space="8" w:color="17A589"/>
        </w:pBdr>
        <w:shd w:val="clear" w:color="auto" w:fill="EAF7F4"/>
        <w:spacing w:before="40" w:after="40"/>
        <w:ind w:left="240"/>
      </w:pPr>
      <w:r>
        <w:rPr>
          <w:i/>
          <w:iCs/>
          <w:color w:val="0D4035"/>
          <w:sz w:val="20"/>
          <w:szCs w:val="20"/>
        </w:rPr>
        <w:t>Klinische Studien-Zeitpläne (Dosierungsintervalle, Follow-Up-Besuche, Primärendpunkte) als CTDDL-Intervalle: CGTA berechnet Studienzeitpunkte über Zeitzonen und Datumsgrenzen deterministisch — ICH E6 GCP-Compliance vereinfacht sich</w:t>
      </w:r>
    </w:p>
    <w:p w14:paraId="63EE6134" w14:textId="77777777" w:rsidR="00D1028B" w:rsidRPr="00260DEC" w:rsidRDefault="00892948">
      <w:pPr>
        <w:numPr>
          <w:ilvl w:val="0"/>
          <w:numId w:val="180"/>
        </w:numPr>
        <w:pBdr>
          <w:left w:val="single" w:sz="20" w:space="8" w:color="17A589"/>
        </w:pBdr>
        <w:shd w:val="clear" w:color="auto" w:fill="EAF7F4"/>
        <w:spacing w:before="40" w:after="40"/>
        <w:ind w:left="240"/>
        <w:rPr>
          <w:lang w:val="de-AT"/>
        </w:rPr>
      </w:pPr>
      <w:r>
        <w:rPr>
          <w:i/>
          <w:iCs/>
          <w:color w:val="0D4035"/>
          <w:sz w:val="20"/>
          <w:szCs w:val="20"/>
          <w:lang w:val="de-AT"/>
        </w:rPr>
        <w:t>Patientendaten in multizentrischen Studien über Ländergrenzen: CGTA als normierter Zeittyp in CDISC-Standards (CDASH, SDTM) macht zeitbezogene Endpunkte jurisdiktionsübergreifend vergleichbar</w:t>
      </w:r>
    </w:p>
    <w:p w14:paraId="63EE6135" w14:textId="77777777" w:rsidR="00D1028B" w:rsidRPr="00260DEC" w:rsidRDefault="00892948">
      <w:pPr>
        <w:numPr>
          <w:ilvl w:val="0"/>
          <w:numId w:val="180"/>
        </w:numPr>
        <w:pBdr>
          <w:left w:val="single" w:sz="20" w:space="8" w:color="17A589"/>
        </w:pBdr>
        <w:shd w:val="clear" w:color="auto" w:fill="EAF7F4"/>
        <w:spacing w:before="40" w:after="40"/>
        <w:ind w:left="240"/>
        <w:rPr>
          <w:lang w:val="de-AT"/>
        </w:rPr>
      </w:pPr>
      <w:r>
        <w:rPr>
          <w:i/>
          <w:iCs/>
          <w:color w:val="0D4035"/>
          <w:sz w:val="20"/>
          <w:szCs w:val="20"/>
          <w:lang w:val="de-AT"/>
        </w:rPr>
        <w:lastRenderedPageBreak/>
        <w:t>Regulatorische Einreichungen bei EMA und FDA: CGTA-Zeitstempel in klinischen Studiendaten sind für Jahrzehnte ohne Interpretationsverlust reproduzierbar — Post-Market-Surveillance über den Produktlebenszyklus wird erleichtert</w:t>
      </w:r>
    </w:p>
    <w:p w14:paraId="63EE6136" w14:textId="77777777" w:rsidR="00D1028B" w:rsidRPr="00260DEC" w:rsidRDefault="00892948">
      <w:pPr>
        <w:numPr>
          <w:ilvl w:val="0"/>
          <w:numId w:val="180"/>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137" w14:textId="77777777" w:rsidR="00D1028B" w:rsidRPr="00260DEC" w:rsidRDefault="00892948">
      <w:pPr>
        <w:pStyle w:val="berschrift1"/>
        <w:rPr>
          <w:lang w:val="de-AT"/>
        </w:rPr>
      </w:pPr>
      <w:bookmarkStart w:id="250" w:name="X90edab666f159cf8f4ecc542f9cdb79476fbcaf"/>
      <w:bookmarkStart w:id="251" w:name="_Toc226452001"/>
      <w:bookmarkEnd w:id="228"/>
      <w:bookmarkEnd w:id="238"/>
      <w:bookmarkEnd w:id="248"/>
      <w:r>
        <w:rPr>
          <w:lang w:val="de-AT"/>
        </w:rPr>
        <w:t>Teil IX: Flugverkehr, Luftraummanagement und ATM-Software</w:t>
      </w:r>
      <w:bookmarkEnd w:id="251"/>
    </w:p>
    <w:p w14:paraId="63EE6138" w14:textId="77777777" w:rsidR="00D1028B" w:rsidRPr="00260DEC" w:rsidRDefault="00892948">
      <w:pPr>
        <w:pStyle w:val="berschrift2"/>
        <w:rPr>
          <w:lang w:val="de-AT"/>
        </w:rPr>
      </w:pPr>
      <w:bookmarkStart w:id="252" w:name="X84bbf5e8d5d37bc2a43b261c7d6e1bad0e0f176"/>
      <w:bookmarkStart w:id="253" w:name="_Toc226452002"/>
      <w:r>
        <w:rPr>
          <w:lang w:val="de-AT"/>
        </w:rPr>
        <w:t>23 Zeitdarstellung im Flugverkehr: Grundproblematik</w:t>
      </w:r>
      <w:bookmarkEnd w:id="253"/>
    </w:p>
    <w:p w14:paraId="63EE6139" w14:textId="77777777" w:rsidR="00D1028B" w:rsidRPr="00260DEC" w:rsidRDefault="00892948">
      <w:pPr>
        <w:rPr>
          <w:lang w:val="de-AT"/>
        </w:rPr>
      </w:pPr>
      <w:r>
        <w:rPr>
          <w:lang w:val="de-AT"/>
        </w:rPr>
        <w:t>Die Luftfahrt ist eine der wenigen Branchen, die intern konsequent UTC verwenden — ICAO schreibt dies für alle Flugverkehrsdienste vor. Dennoch bestehen tiefgreifende Inkonsistenzen: Passagiersysteme arbeiten in Lokalzeit, Bordinstrumente in GPS-Zeit, Wetterberichte in UTC, und nationale ATM-Systeme in systemabhängigen Zwischenformaten. Die Konvertierung zwischen diesen Zeitbasen erfolgt ohne universellen semantischen Standard und erzeugt dokumentierte Fehlerquellen.</w:t>
      </w:r>
    </w:p>
    <w:p w14:paraId="63EE613A" w14:textId="77777777" w:rsidR="00D1028B" w:rsidRPr="00260DEC" w:rsidRDefault="00892948">
      <w:pPr>
        <w:pStyle w:val="berschrift3"/>
        <w:rPr>
          <w:lang w:val="de-AT"/>
        </w:rPr>
      </w:pPr>
      <w:bookmarkStart w:id="254" w:name="passagierinformation-und-buchungssysteme"/>
      <w:bookmarkStart w:id="255" w:name="_Toc226452003"/>
      <w:r>
        <w:rPr>
          <w:lang w:val="de-AT"/>
        </w:rPr>
        <w:t>23.1 Passagierinformation und Buchungssysteme</w:t>
      </w:r>
      <w:bookmarkEnd w:id="255"/>
    </w:p>
    <w:p w14:paraId="63EE613B" w14:textId="77777777" w:rsidR="00D1028B" w:rsidRPr="00260DEC" w:rsidRDefault="00892948">
      <w:pPr>
        <w:rPr>
          <w:lang w:val="de-AT"/>
        </w:rPr>
      </w:pPr>
      <w:r>
        <w:rPr>
          <w:i/>
          <w:iCs/>
          <w:lang w:val="de-AT"/>
        </w:rPr>
        <w:t>IATA-Zeitangaben für Abflug und Ankunft werden in der Lokalzeit des jeweiligen Flughafens angegeben. Ein Flug Wien – New York (Abflug 10:00 MEZ, Flugdauer 9,5 Stunden) erscheint im Buchungssystem als Ankunft 12:30 ET — eine scheinbare Reisedauer von 2,5 Stunden. Für automatisierte Systeme (Anschlussflugberechnung, Verspätungsmanagement) ist diese Darstellung ohne zusätzliche Konvertierungslogik nicht verwertbar.</w:t>
      </w:r>
    </w:p>
    <w:p w14:paraId="63EE613C" w14:textId="77777777" w:rsidR="00D1028B" w:rsidRDefault="00892948">
      <w:pPr>
        <w:numPr>
          <w:ilvl w:val="0"/>
          <w:numId w:val="181"/>
        </w:numPr>
      </w:pPr>
      <w:r>
        <w:rPr>
          <w:lang w:val="de-AT"/>
        </w:rPr>
        <w:t xml:space="preserve">GDS-Systeme (Amadeus, Sabre, Travelport): Speichern Flugzeiten als Lokalzeit mit UTC-Offset. </w:t>
      </w:r>
      <w:r>
        <w:t>Historische Daten verlieren den Offset-Kontext nach Zeitzonenreformen</w:t>
      </w:r>
    </w:p>
    <w:p w14:paraId="63EE613D" w14:textId="77777777" w:rsidR="00D1028B" w:rsidRPr="00260DEC" w:rsidRDefault="00892948">
      <w:pPr>
        <w:numPr>
          <w:ilvl w:val="0"/>
          <w:numId w:val="181"/>
        </w:numPr>
        <w:rPr>
          <w:lang w:val="de-AT"/>
        </w:rPr>
      </w:pPr>
      <w:r>
        <w:rPr>
          <w:lang w:val="de-AT"/>
        </w:rPr>
        <w:t>Flüge über die Datumsgrenze (z. B. Tokio → Los Angeles): Ankunft scheinbar vor Abflug — kalendarisch korrekt, für automatisierte Verarbeitung fehleranfällig</w:t>
      </w:r>
    </w:p>
    <w:p w14:paraId="63EE613E" w14:textId="77777777" w:rsidR="00D1028B" w:rsidRPr="00260DEC" w:rsidRDefault="00892948">
      <w:pPr>
        <w:numPr>
          <w:ilvl w:val="0"/>
          <w:numId w:val="181"/>
        </w:numPr>
        <w:rPr>
          <w:lang w:val="de-AT"/>
        </w:rPr>
      </w:pPr>
      <w:r>
        <w:rPr>
          <w:lang w:val="de-AT"/>
        </w:rPr>
        <w:t>DST-Übergänge: Flüge die während der Uhrenumstellung landen haben dokumentierte Buchungsfehler in allen drei großen GDS-Plattformen</w:t>
      </w:r>
    </w:p>
    <w:p w14:paraId="63EE613F" w14:textId="77777777" w:rsidR="00D1028B" w:rsidRPr="00260DEC" w:rsidRDefault="00892948">
      <w:pPr>
        <w:numPr>
          <w:ilvl w:val="0"/>
          <w:numId w:val="181"/>
        </w:numPr>
        <w:rPr>
          <w:lang w:val="de-AT"/>
        </w:rPr>
      </w:pPr>
      <w:r>
        <w:rPr>
          <w:lang w:val="de-AT"/>
        </w:rPr>
        <w:t>Codeshare-Flüge: Dieselbe Strecke erscheint in Systemen verschiedener Airlines mit unterschiedlichen Zeitdarstellungen, da jede Airline eigene Zeitzonenlogik implementiert</w:t>
      </w:r>
    </w:p>
    <w:p w14:paraId="63EE6140" w14:textId="77777777" w:rsidR="00D1028B" w:rsidRPr="00260DEC" w:rsidRDefault="00892948">
      <w:pPr>
        <w:numPr>
          <w:ilvl w:val="0"/>
          <w:numId w:val="181"/>
        </w:numPr>
        <w:rPr>
          <w:lang w:val="de-AT"/>
        </w:rPr>
      </w:pPr>
      <w:r>
        <w:rPr>
          <w:lang w:val="de-AT"/>
        </w:rPr>
        <w:t>Ticketausstellung: Zeitangaben auf Bordkarten sind rechtlich bindend — Mehrdeutigkeit durch fehlenden Zeitzonenstandard hat Konsequenzen bei Umbuchungen und Rückerstattungen</w:t>
      </w:r>
    </w:p>
    <w:p w14:paraId="63EE6141"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42" w14:textId="77777777" w:rsidR="00D1028B" w:rsidRDefault="00892948">
      <w:pPr>
        <w:numPr>
          <w:ilvl w:val="0"/>
          <w:numId w:val="182"/>
        </w:numPr>
        <w:pBdr>
          <w:left w:val="single" w:sz="20" w:space="8" w:color="17A589"/>
        </w:pBdr>
        <w:shd w:val="clear" w:color="auto" w:fill="EAF7F4"/>
        <w:spacing w:before="40" w:after="40"/>
        <w:ind w:left="240"/>
      </w:pPr>
      <w:r>
        <w:rPr>
          <w:i/>
          <w:iCs/>
          <w:color w:val="0D4035"/>
          <w:sz w:val="20"/>
          <w:szCs w:val="20"/>
        </w:rPr>
        <w:t>GDS-Flugreservierungssysteme (Amadeus, Sabre, Travelport) verwenden proprietäre Zeitrepräsentationen; CGTA als normierter Zeittyp in IATA PADIS und NDC-Standards würde systemübergreifende Konsistenz schaffen</w:t>
      </w:r>
    </w:p>
    <w:p w14:paraId="63EE6143" w14:textId="77777777" w:rsidR="00D1028B" w:rsidRPr="00260DEC" w:rsidRDefault="00892948">
      <w:pPr>
        <w:numPr>
          <w:ilvl w:val="0"/>
          <w:numId w:val="182"/>
        </w:numPr>
        <w:pBdr>
          <w:left w:val="single" w:sz="20" w:space="8" w:color="17A589"/>
        </w:pBdr>
        <w:shd w:val="clear" w:color="auto" w:fill="EAF7F4"/>
        <w:spacing w:before="40" w:after="40"/>
        <w:ind w:left="240"/>
        <w:rPr>
          <w:lang w:val="de-AT"/>
        </w:rPr>
      </w:pPr>
      <w:r>
        <w:rPr>
          <w:i/>
          <w:iCs/>
          <w:color w:val="0D4035"/>
          <w:sz w:val="20"/>
          <w:szCs w:val="20"/>
          <w:lang w:val="de-AT"/>
        </w:rPr>
        <w:t>Passagierinformation auf Anzeigetafeln (FIDS) als CGTA normiert: lokale Uhrzeitdarstellung ist eine reine Präsentationsschicht — keine Synchronisationsprobleme zwischen Flughafen-IT und Airline-Systemen</w:t>
      </w:r>
    </w:p>
    <w:p w14:paraId="63EE6144" w14:textId="77777777" w:rsidR="00D1028B" w:rsidRPr="00260DEC" w:rsidRDefault="00892948">
      <w:pPr>
        <w:numPr>
          <w:ilvl w:val="0"/>
          <w:numId w:val="182"/>
        </w:numPr>
        <w:pBdr>
          <w:left w:val="single" w:sz="20" w:space="8" w:color="17A589"/>
        </w:pBdr>
        <w:shd w:val="clear" w:color="auto" w:fill="EAF7F4"/>
        <w:spacing w:before="40" w:after="40"/>
        <w:ind w:left="240"/>
        <w:rPr>
          <w:lang w:val="de-AT"/>
        </w:rPr>
      </w:pPr>
      <w:r>
        <w:rPr>
          <w:i/>
          <w:iCs/>
          <w:color w:val="0D4035"/>
          <w:sz w:val="20"/>
          <w:szCs w:val="20"/>
          <w:lang w:val="de-AT"/>
        </w:rPr>
        <w:t>Buchungsbestätigungen mit CGTA-Zeitstempeln als zusätzlichem Feld: Passagiere in anderen Zeitzonen sehen immer die korrekte lokale Zeit — DST-Fehlinformationen beim Transatlantik-Umstieg entfallen</w:t>
      </w:r>
    </w:p>
    <w:p w14:paraId="63EE6145" w14:textId="77777777" w:rsidR="00D1028B" w:rsidRPr="00260DEC" w:rsidRDefault="00892948">
      <w:pPr>
        <w:pStyle w:val="berschrift3"/>
        <w:rPr>
          <w:lang w:val="de-AT"/>
        </w:rPr>
      </w:pPr>
      <w:bookmarkStart w:id="256" w:name="kritische-nachtflug-szenarien"/>
      <w:bookmarkStart w:id="257" w:name="_Toc226452004"/>
      <w:bookmarkEnd w:id="254"/>
      <w:r>
        <w:rPr>
          <w:lang w:val="de-AT"/>
        </w:rPr>
        <w:lastRenderedPageBreak/>
        <w:t>23.2 Kritische Nachtflug-Szenarien</w:t>
      </w:r>
      <w:bookmarkEnd w:id="257"/>
    </w:p>
    <w:p w14:paraId="63EE6146" w14:textId="77777777" w:rsidR="00D1028B" w:rsidRPr="00260DEC" w:rsidRDefault="00892948">
      <w:pPr>
        <w:rPr>
          <w:lang w:val="de-AT"/>
        </w:rPr>
      </w:pPr>
      <w:r>
        <w:rPr>
          <w:i/>
          <w:iCs/>
          <w:lang w:val="de-AT"/>
        </w:rPr>
        <w:t>DST-Umstellungsnacht: Ein Flug landet um 01:50 Uhr. In der Frühjahrs-Umstellungsnacht springt die Uhr um 02:00 auf 03:00 — dieser Zeitpunkt existiert nicht. In der Herbst-Umstellungsnacht existiert 02:00 Uhr zweimal. Buchungssysteme, Verspätungsberechnungen und Passagiermanifeste behandeln diese Grenzfälle inkonsistent.</w:t>
      </w:r>
    </w:p>
    <w:p w14:paraId="63EE6147" w14:textId="77777777" w:rsidR="00D1028B" w:rsidRDefault="00892948">
      <w:pPr>
        <w:numPr>
          <w:ilvl w:val="0"/>
          <w:numId w:val="183"/>
        </w:numPr>
      </w:pPr>
      <w:r>
        <w:rPr>
          <w:lang w:val="de-AT"/>
        </w:rPr>
        <w:t xml:space="preserve">Crew-Ruhezeiten: Gesetzlich vorgeschriebene Ruhezeiten (EU-OPS, FAR Part 117) werden in Stunden berechnet. </w:t>
      </w:r>
      <w:r>
        <w:t>DST-Übergänge in Nachtschichten erzeugen Compliance-Grenzfälle</w:t>
      </w:r>
    </w:p>
    <w:p w14:paraId="63EE6148" w14:textId="77777777" w:rsidR="00D1028B" w:rsidRPr="00260DEC" w:rsidRDefault="00892948">
      <w:pPr>
        <w:numPr>
          <w:ilvl w:val="0"/>
          <w:numId w:val="183"/>
        </w:numPr>
        <w:rPr>
          <w:lang w:val="de-AT"/>
        </w:rPr>
      </w:pPr>
      <w:r>
        <w:rPr>
          <w:lang w:val="de-AT"/>
        </w:rPr>
        <w:t>Slot-Koordination: Flughafen-Slots werden in UTC zugeteilt, von Airlines in Lokalzeit verwaltet — Konvertierungsfehler führen zu Slot-Verletzungen</w:t>
      </w:r>
    </w:p>
    <w:p w14:paraId="63EE6149" w14:textId="77777777" w:rsidR="00D1028B" w:rsidRDefault="00892948">
      <w:pPr>
        <w:numPr>
          <w:ilvl w:val="0"/>
          <w:numId w:val="183"/>
        </w:numPr>
      </w:pPr>
      <w:r>
        <w:rPr>
          <w:lang w:val="de-AT"/>
        </w:rPr>
        <w:t xml:space="preserve">Kerosinberechnung: Flüge über Zeitzonen hinweg berechnen Kraftstoffverbrauch gegen Flugdauer. </w:t>
      </w:r>
      <w:r>
        <w:t>Fehlerhafte Zeitbasis erzeugt Fehlberechnungen im Fuel-Management</w:t>
      </w:r>
    </w:p>
    <w:p w14:paraId="63EE614A"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4B" w14:textId="77777777" w:rsidR="00D1028B" w:rsidRPr="00260DEC" w:rsidRDefault="00892948">
      <w:pPr>
        <w:numPr>
          <w:ilvl w:val="0"/>
          <w:numId w:val="184"/>
        </w:numPr>
        <w:pBdr>
          <w:left w:val="single" w:sz="20" w:space="8" w:color="17A589"/>
        </w:pBdr>
        <w:shd w:val="clear" w:color="auto" w:fill="EAF7F4"/>
        <w:spacing w:before="40" w:after="40"/>
        <w:ind w:left="240"/>
        <w:rPr>
          <w:lang w:val="de-AT"/>
        </w:rPr>
      </w:pPr>
      <w:r>
        <w:rPr>
          <w:i/>
          <w:iCs/>
          <w:color w:val="0D4035"/>
          <w:sz w:val="20"/>
          <w:szCs w:val="20"/>
          <w:lang w:val="de-AT"/>
        </w:rPr>
        <w:t>Mitternachts-Überschreitungen bei Nachtflügen als CGTA kodiert: Systemlogiken die nur lokale Datumsangaben verarbeiten, erhalten durch CGTA einen eindeutigen absoluten Zeitpunkt — kein Datumsfehler beim Tageswechsel</w:t>
      </w:r>
    </w:p>
    <w:p w14:paraId="63EE614C" w14:textId="77777777" w:rsidR="00D1028B" w:rsidRPr="00260DEC" w:rsidRDefault="00892948">
      <w:pPr>
        <w:numPr>
          <w:ilvl w:val="0"/>
          <w:numId w:val="184"/>
        </w:numPr>
        <w:pBdr>
          <w:left w:val="single" w:sz="20" w:space="8" w:color="17A589"/>
        </w:pBdr>
        <w:shd w:val="clear" w:color="auto" w:fill="EAF7F4"/>
        <w:spacing w:before="40" w:after="40"/>
        <w:ind w:left="240"/>
        <w:rPr>
          <w:lang w:val="de-AT"/>
        </w:rPr>
      </w:pPr>
      <w:r>
        <w:rPr>
          <w:i/>
          <w:iCs/>
          <w:color w:val="0D4035"/>
          <w:sz w:val="20"/>
          <w:szCs w:val="20"/>
          <w:lang w:val="de-AT"/>
        </w:rPr>
        <w:t>DST-Fallback-Nächte (zwei 01:30-Uhrzeiten): mit CGTA ist jeder Zeitpunkt eindeutig — OPE-Delay-Codes und Slot-Zeiten bleiben korrekt zuordenbar, auch wenn die lokale Uhr zurückgestellt wird</w:t>
      </w:r>
    </w:p>
    <w:p w14:paraId="63EE614D" w14:textId="77777777" w:rsidR="00D1028B" w:rsidRPr="00260DEC" w:rsidRDefault="00892948">
      <w:pPr>
        <w:numPr>
          <w:ilvl w:val="0"/>
          <w:numId w:val="184"/>
        </w:numPr>
        <w:pBdr>
          <w:left w:val="single" w:sz="20" w:space="8" w:color="17A589"/>
        </w:pBdr>
        <w:shd w:val="clear" w:color="auto" w:fill="EAF7F4"/>
        <w:spacing w:before="40" w:after="40"/>
        <w:ind w:left="240"/>
        <w:rPr>
          <w:lang w:val="de-AT"/>
        </w:rPr>
      </w:pPr>
      <w:r>
        <w:rPr>
          <w:i/>
          <w:iCs/>
          <w:color w:val="0D4035"/>
          <w:sz w:val="20"/>
          <w:szCs w:val="20"/>
          <w:lang w:val="de-AT"/>
        </w:rPr>
        <w:t>Crew-Duty-Time-Berechnungen über Mitternacht und DST-Wechsel als CGTA-Intervalle: FTL-Compliance (EU-OPS ORO.FTL) wird deterministisch berechenbar — kein Restrisiko durch Manualkalkulationen</w:t>
      </w:r>
    </w:p>
    <w:p w14:paraId="63EE614E" w14:textId="77777777" w:rsidR="00D1028B" w:rsidRPr="00260DEC" w:rsidRDefault="00892948">
      <w:pPr>
        <w:pStyle w:val="berschrift2"/>
        <w:rPr>
          <w:lang w:val="de-AT"/>
        </w:rPr>
      </w:pPr>
      <w:bookmarkStart w:id="258" w:name="flugsicherung-und-atm-software"/>
      <w:bookmarkStart w:id="259" w:name="_Toc226452005"/>
      <w:bookmarkEnd w:id="252"/>
      <w:bookmarkEnd w:id="256"/>
      <w:r>
        <w:rPr>
          <w:lang w:val="de-AT"/>
        </w:rPr>
        <w:t>24 Flugsicherung und ATM-Software</w:t>
      </w:r>
      <w:bookmarkEnd w:id="259"/>
    </w:p>
    <w:p w14:paraId="63EE614F" w14:textId="77777777" w:rsidR="00D1028B" w:rsidRPr="00260DEC" w:rsidRDefault="00892948">
      <w:pPr>
        <w:rPr>
          <w:lang w:val="de-AT"/>
        </w:rPr>
      </w:pPr>
      <w:r>
        <w:rPr>
          <w:lang w:val="de-AT"/>
        </w:rPr>
        <w:t>Air Traffic Management (ATM) ist der zeitkritischste Bereich der Luftfahrt. Fluglotsen arbeiten mit Sekunden-Präzision. Die Software-Infrastruktur stammt aus verschiedenen Jahrzehnten und Herstellergenerationen — mit entsprechend heterogenen Zeitimplementierungen.</w:t>
      </w:r>
    </w:p>
    <w:p w14:paraId="63EE6150" w14:textId="77777777" w:rsidR="00D1028B" w:rsidRPr="00260DEC" w:rsidRDefault="00892948">
      <w:pPr>
        <w:pStyle w:val="berschrift3"/>
        <w:rPr>
          <w:lang w:val="de-AT"/>
        </w:rPr>
      </w:pPr>
      <w:bookmarkStart w:id="260" w:name="X2be1988c42c6bc3a8e125faeb8f78202b981de7"/>
      <w:bookmarkStart w:id="261" w:name="_Toc226452006"/>
      <w:r>
        <w:rPr>
          <w:lang w:val="de-AT"/>
        </w:rPr>
        <w:t>24.1 Frequentis AG: Systemarchitektur und Zeitproblematik</w:t>
      </w:r>
      <w:bookmarkEnd w:id="261"/>
    </w:p>
    <w:p w14:paraId="63EE6151" w14:textId="77777777" w:rsidR="00D1028B" w:rsidRDefault="00892948">
      <w:r>
        <w:rPr>
          <w:lang w:val="de-AT"/>
        </w:rPr>
        <w:t xml:space="preserve">Frequentis AG (Wien, Börse Wien) ist weltweiter Marktführer für Sprachkommunikationssysteme (VCS) in der Flugsicherung und entwickelt ATM-Software für über 150 Länder. </w:t>
      </w:r>
      <w:r>
        <w:t>Ihre Systeme integrieren Zeitstempel aus heterogenen Quellen:</w:t>
      </w:r>
    </w:p>
    <w:p w14:paraId="63EE6152" w14:textId="77777777" w:rsidR="00D1028B" w:rsidRPr="00260DEC" w:rsidRDefault="00892948">
      <w:pPr>
        <w:numPr>
          <w:ilvl w:val="0"/>
          <w:numId w:val="185"/>
        </w:numPr>
        <w:rPr>
          <w:lang w:val="de-AT"/>
        </w:rPr>
      </w:pPr>
      <w:r>
        <w:rPr>
          <w:lang w:val="de-AT"/>
        </w:rPr>
        <w:t>Radar-Feeds: Primaär- und Sekundärradar liefern Zeitstempel in systemabhängigen Formaten (ASTERIX-Kategorie 048, 062 etc.)</w:t>
      </w:r>
    </w:p>
    <w:p w14:paraId="63EE6153" w14:textId="77777777" w:rsidR="00D1028B" w:rsidRPr="00260DEC" w:rsidRDefault="00892948">
      <w:pPr>
        <w:numPr>
          <w:ilvl w:val="0"/>
          <w:numId w:val="185"/>
        </w:numPr>
        <w:rPr>
          <w:lang w:val="de-AT"/>
        </w:rPr>
      </w:pPr>
      <w:r>
        <w:rPr>
          <w:lang w:val="de-AT"/>
        </w:rPr>
        <w:t>Flugplan-Daten: ICAO-Flugpläne enthalten Zeitangaben in UTC — aber mit unterschiedlicher Präzision je nach Einreichungssystem</w:t>
      </w:r>
    </w:p>
    <w:p w14:paraId="63EE6154" w14:textId="77777777" w:rsidR="00D1028B" w:rsidRPr="00260DEC" w:rsidRDefault="00892948">
      <w:pPr>
        <w:numPr>
          <w:ilvl w:val="0"/>
          <w:numId w:val="185"/>
        </w:numPr>
        <w:rPr>
          <w:lang w:val="de-AT"/>
        </w:rPr>
      </w:pPr>
      <w:r>
        <w:rPr>
          <w:lang w:val="de-AT"/>
        </w:rPr>
        <w:t>Wetterdaten: METAR, TAF, SIGMET — alle UTC, aber Verarbeitungszeiten in Bodensystemen variieren</w:t>
      </w:r>
    </w:p>
    <w:p w14:paraId="63EE6155" w14:textId="77777777" w:rsidR="00D1028B" w:rsidRPr="00260DEC" w:rsidRDefault="00892948">
      <w:pPr>
        <w:numPr>
          <w:ilvl w:val="0"/>
          <w:numId w:val="185"/>
        </w:numPr>
        <w:rPr>
          <w:lang w:val="de-AT"/>
        </w:rPr>
      </w:pPr>
      <w:r>
        <w:rPr>
          <w:lang w:val="de-AT"/>
        </w:rPr>
        <w:t>Nachbarzentren: Datenübergabe zwischen FIRs (Flight Information Regions) verschiedener Länder erfolgt über OLDI (On-Line Data Interchange) mit national unterschiedlicher Zeitzonenbehandlung</w:t>
      </w:r>
    </w:p>
    <w:p w14:paraId="63EE6156" w14:textId="77777777" w:rsidR="00D1028B" w:rsidRPr="00260DEC" w:rsidRDefault="00892948">
      <w:pPr>
        <w:numPr>
          <w:ilvl w:val="0"/>
          <w:numId w:val="185"/>
        </w:numPr>
        <w:rPr>
          <w:lang w:val="de-AT"/>
        </w:rPr>
      </w:pPr>
      <w:r>
        <w:rPr>
          <w:lang w:val="de-AT"/>
        </w:rPr>
        <w:lastRenderedPageBreak/>
        <w:t>Voice Logging: Aufzeichnungen von Sprachkommunikation müssen mit Radar-Tracks korreliert werden — Zeitstempel-Inkonsistenz zwischen Voice-Logger und Radar-Prozessor ist ein bekanntes forensisches Problem nach Zwischenfällen</w:t>
      </w:r>
    </w:p>
    <w:p w14:paraId="63EE615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58" w14:textId="77777777" w:rsidR="00D1028B" w:rsidRDefault="00892948">
      <w:pPr>
        <w:numPr>
          <w:ilvl w:val="0"/>
          <w:numId w:val="186"/>
        </w:numPr>
        <w:pBdr>
          <w:left w:val="single" w:sz="20" w:space="8" w:color="17A589"/>
        </w:pBdr>
        <w:shd w:val="clear" w:color="auto" w:fill="EAF7F4"/>
        <w:spacing w:before="40" w:after="40"/>
        <w:ind w:left="240"/>
      </w:pPr>
      <w:r>
        <w:rPr>
          <w:i/>
          <w:iCs/>
          <w:color w:val="0D4035"/>
          <w:sz w:val="20"/>
          <w:szCs w:val="20"/>
        </w:rPr>
        <w:t>Frequentis-Systeme verarbeiten Zeitstempel aus ASTERIX, ICAO-Protokollen und Windows-Systemuhren; CGTA als normierter Übersetzungslayer würde diese heterogenen Quellen deterministisch harmonisieren</w:t>
      </w:r>
    </w:p>
    <w:p w14:paraId="63EE6159" w14:textId="77777777" w:rsidR="00D1028B" w:rsidRDefault="00892948">
      <w:pPr>
        <w:numPr>
          <w:ilvl w:val="0"/>
          <w:numId w:val="186"/>
        </w:numPr>
        <w:pBdr>
          <w:left w:val="single" w:sz="20" w:space="8" w:color="17A589"/>
        </w:pBdr>
        <w:shd w:val="clear" w:color="auto" w:fill="EAF7F4"/>
        <w:spacing w:before="40" w:after="40"/>
        <w:ind w:left="240"/>
      </w:pPr>
      <w:r>
        <w:rPr>
          <w:i/>
          <w:iCs/>
          <w:color w:val="0D4035"/>
          <w:sz w:val="20"/>
          <w:szCs w:val="20"/>
        </w:rPr>
        <w:t>ATC-Aufzeichnungssysteme (Voice Recording, Radar Recording) mit CGTA-Zeitstempeln: forensische Analysen nach Zwischenfällen sind über Systemgrenzen exakt korrelierbar — keine Offset-Korrekturen bei Unfalluntersuchungen</w:t>
      </w:r>
    </w:p>
    <w:p w14:paraId="63EE615A" w14:textId="77777777" w:rsidR="00D1028B" w:rsidRPr="00260DEC" w:rsidRDefault="00892948">
      <w:pPr>
        <w:numPr>
          <w:ilvl w:val="0"/>
          <w:numId w:val="186"/>
        </w:numPr>
        <w:pBdr>
          <w:left w:val="single" w:sz="20" w:space="8" w:color="17A589"/>
        </w:pBdr>
        <w:shd w:val="clear" w:color="auto" w:fill="EAF7F4"/>
        <w:spacing w:before="40" w:after="40"/>
        <w:ind w:left="240"/>
        <w:rPr>
          <w:lang w:val="de-AT"/>
        </w:rPr>
      </w:pPr>
      <w:r>
        <w:rPr>
          <w:i/>
          <w:iCs/>
          <w:color w:val="0D4035"/>
          <w:sz w:val="20"/>
          <w:szCs w:val="20"/>
          <w:lang w:val="de-AT"/>
        </w:rPr>
        <w:t>Safety-kritische Echtzeit-Systeme mit CGTA: ChronoGrid liefert die formale Zeitmodell-Grundlage die für DO-178C/ED-12C (Luftfahrtsoftware-Zertifizierung) benötigt wird</w:t>
      </w:r>
    </w:p>
    <w:p w14:paraId="63EE615B" w14:textId="77777777" w:rsidR="00D1028B" w:rsidRPr="00260DEC" w:rsidRDefault="00892948">
      <w:pPr>
        <w:numPr>
          <w:ilvl w:val="0"/>
          <w:numId w:val="186"/>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Log-Forensik → </w:t>
      </w:r>
      <w:r>
        <w:rPr>
          <w:b/>
          <w:bCs/>
          <w:i/>
          <w:iCs/>
          <w:color w:val="0D4035"/>
          <w:sz w:val="20"/>
          <w:szCs w:val="20"/>
          <w:lang w:val="de-AT"/>
        </w:rPr>
        <w:t>Anhang B.5</w:t>
      </w:r>
    </w:p>
    <w:p w14:paraId="63EE615C" w14:textId="77777777" w:rsidR="00D1028B" w:rsidRPr="00260DEC" w:rsidRDefault="00892948">
      <w:pPr>
        <w:pStyle w:val="berschrift3"/>
        <w:rPr>
          <w:lang w:val="de-AT"/>
        </w:rPr>
      </w:pPr>
      <w:bookmarkStart w:id="262" w:name="X677a50ab75a7d5242c7c921b30510610395fb47"/>
      <w:bookmarkStart w:id="263" w:name="_Toc226452007"/>
      <w:bookmarkEnd w:id="260"/>
      <w:r>
        <w:rPr>
          <w:lang w:val="de-AT"/>
        </w:rPr>
        <w:t>24.2 ASTERIX: Das europäische Radar-Datenformat</w:t>
      </w:r>
      <w:bookmarkEnd w:id="263"/>
    </w:p>
    <w:p w14:paraId="63EE615D" w14:textId="77777777" w:rsidR="00D1028B" w:rsidRDefault="00892948">
      <w:r>
        <w:rPr>
          <w:lang w:val="de-AT"/>
        </w:rPr>
        <w:t xml:space="preserve">ASTERIX (All Purpose STructured Eurocontrol SuRveillance Information eXchange) ist das Standardformat für Radar- und Surveillance-Daten in Europa. </w:t>
      </w:r>
      <w:r>
        <w:t>Zeitstempel werden in verschiedenen ASTERIX-Kategorien unterschiedlich kodiert:</w:t>
      </w:r>
    </w:p>
    <w:p w14:paraId="63EE615E" w14:textId="77777777" w:rsidR="00D1028B" w:rsidRPr="00260DEC" w:rsidRDefault="00892948">
      <w:pPr>
        <w:numPr>
          <w:ilvl w:val="0"/>
          <w:numId w:val="187"/>
        </w:numPr>
        <w:rPr>
          <w:lang w:val="de-AT"/>
        </w:rPr>
      </w:pPr>
      <w:r>
        <w:rPr>
          <w:lang w:val="de-AT"/>
        </w:rPr>
        <w:t>Zeit als 24-Bit-Wert in 1/128-Sekunden seit Mitternacht UTC — aber 'Mitternacht' ist implementierungsabhängig</w:t>
      </w:r>
    </w:p>
    <w:p w14:paraId="63EE615F" w14:textId="77777777" w:rsidR="00D1028B" w:rsidRPr="00260DEC" w:rsidRDefault="00892948">
      <w:pPr>
        <w:numPr>
          <w:ilvl w:val="0"/>
          <w:numId w:val="187"/>
        </w:numPr>
        <w:rPr>
          <w:lang w:val="de-AT"/>
        </w:rPr>
      </w:pPr>
      <w:r>
        <w:rPr>
          <w:lang w:val="de-AT"/>
        </w:rPr>
        <w:t>Kein explizites Datum im Basisformat — Datumsbestimmung erfolgt durch Kontextinferenz</w:t>
      </w:r>
    </w:p>
    <w:p w14:paraId="63EE6160" w14:textId="77777777" w:rsidR="00D1028B" w:rsidRPr="00260DEC" w:rsidRDefault="00892948">
      <w:pPr>
        <w:numPr>
          <w:ilvl w:val="0"/>
          <w:numId w:val="187"/>
        </w:numPr>
        <w:rPr>
          <w:lang w:val="de-AT"/>
        </w:rPr>
      </w:pPr>
      <w:r>
        <w:rPr>
          <w:lang w:val="de-AT"/>
        </w:rPr>
        <w:t>Unterschiedliche Kategorien (Cat 001, 010, 020, 048, 062) verwenden verschiedene Zeitauflösungen ohne einheitliche Semantik</w:t>
      </w:r>
    </w:p>
    <w:p w14:paraId="63EE6161" w14:textId="77777777" w:rsidR="00D1028B" w:rsidRPr="00260DEC" w:rsidRDefault="00892948">
      <w:pPr>
        <w:numPr>
          <w:ilvl w:val="0"/>
          <w:numId w:val="187"/>
        </w:numPr>
        <w:rPr>
          <w:lang w:val="de-AT"/>
        </w:rPr>
      </w:pPr>
      <w:r>
        <w:rPr>
          <w:lang w:val="de-AT"/>
        </w:rPr>
        <w:t>Konvertierung zwischen ASTERIX-Kategorien bei System-Upgrades ist eine bekannte Fehlerquelle in der Systemintegration</w:t>
      </w:r>
    </w:p>
    <w:p w14:paraId="63EE6162" w14:textId="77777777" w:rsidR="00D1028B" w:rsidRPr="00260DEC" w:rsidRDefault="00892948">
      <w:pPr>
        <w:numPr>
          <w:ilvl w:val="0"/>
          <w:numId w:val="187"/>
        </w:numPr>
        <w:rPr>
          <w:lang w:val="de-AT"/>
        </w:rPr>
      </w:pPr>
      <w:r>
        <w:rPr>
          <w:lang w:val="de-AT"/>
        </w:rPr>
        <w:t>ASTERIX Cat 019 (Multilateration): Zeitstempel für MLAT-Berechnungen erfordern Nanosekunden-Präzision — nicht im Basisstandard definiert</w:t>
      </w:r>
    </w:p>
    <w:p w14:paraId="63EE6163"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64" w14:textId="77777777" w:rsidR="00D1028B" w:rsidRDefault="00892948">
      <w:pPr>
        <w:numPr>
          <w:ilvl w:val="0"/>
          <w:numId w:val="188"/>
        </w:numPr>
        <w:pBdr>
          <w:left w:val="single" w:sz="20" w:space="8" w:color="17A589"/>
        </w:pBdr>
        <w:shd w:val="clear" w:color="auto" w:fill="EAF7F4"/>
        <w:spacing w:before="40" w:after="40"/>
        <w:ind w:left="240"/>
      </w:pPr>
      <w:r>
        <w:rPr>
          <w:i/>
          <w:iCs/>
          <w:color w:val="0D4035"/>
          <w:sz w:val="20"/>
          <w:szCs w:val="20"/>
        </w:rPr>
        <w:t>ASTERIX-Zeitstempel (10 ms Auflösung in Cat 048) als CTDDL-Domain modellierbar: ChronoGrid definiert das Mapping von ASTERIX-Netzwerkzeit auf CGTA formal — Radar-Fusionsalgorithmen werden deterministisch</w:t>
      </w:r>
    </w:p>
    <w:p w14:paraId="63EE6165" w14:textId="77777777" w:rsidR="00D1028B" w:rsidRPr="00260DEC" w:rsidRDefault="00892948">
      <w:pPr>
        <w:numPr>
          <w:ilvl w:val="0"/>
          <w:numId w:val="188"/>
        </w:numPr>
        <w:pBdr>
          <w:left w:val="single" w:sz="20" w:space="8" w:color="17A589"/>
        </w:pBdr>
        <w:shd w:val="clear" w:color="auto" w:fill="EAF7F4"/>
        <w:spacing w:before="40" w:after="40"/>
        <w:ind w:left="240"/>
        <w:rPr>
          <w:lang w:val="de-AT"/>
        </w:rPr>
      </w:pPr>
      <w:r>
        <w:rPr>
          <w:i/>
          <w:iCs/>
          <w:color w:val="0D4035"/>
          <w:sz w:val="20"/>
          <w:szCs w:val="20"/>
          <w:lang w:val="de-AT"/>
        </w:rPr>
        <w:t>Multi-Radar-Tracking über Systemgrenzen: CGTA als normierte Zeitreferenz für ASTERIX-Cat021 (ADS-B) eliminiert Zeitoffset-Fehler zwischen verschiedenen Sensor-Typen und Herstellern</w:t>
      </w:r>
    </w:p>
    <w:p w14:paraId="63EE6166" w14:textId="77777777" w:rsidR="00D1028B" w:rsidRPr="00260DEC" w:rsidRDefault="00892948">
      <w:pPr>
        <w:numPr>
          <w:ilvl w:val="0"/>
          <w:numId w:val="188"/>
        </w:numPr>
        <w:pBdr>
          <w:left w:val="single" w:sz="20" w:space="8" w:color="17A589"/>
        </w:pBdr>
        <w:shd w:val="clear" w:color="auto" w:fill="EAF7F4"/>
        <w:spacing w:before="40" w:after="40"/>
        <w:ind w:left="240"/>
        <w:rPr>
          <w:lang w:val="de-AT"/>
        </w:rPr>
      </w:pPr>
      <w:r>
        <w:rPr>
          <w:i/>
          <w:iCs/>
          <w:color w:val="0D4035"/>
          <w:sz w:val="20"/>
          <w:szCs w:val="20"/>
          <w:lang w:val="de-AT"/>
        </w:rPr>
        <w:t>ASTERIX-Archivierung für Unfalluntersuchung: CGTA-Zeitstempel in archivierten Radar-Daten sind jahrzehntelang ohne Interpretationsverlust reproduzierbar — ICAO Annex 13 Anforderungen werden erfüllt</w:t>
      </w:r>
    </w:p>
    <w:p w14:paraId="63EE6167" w14:textId="77777777" w:rsidR="00D1028B" w:rsidRPr="00260DEC" w:rsidRDefault="00892948">
      <w:pPr>
        <w:pStyle w:val="berschrift3"/>
        <w:rPr>
          <w:lang w:val="de-AT"/>
        </w:rPr>
      </w:pPr>
      <w:bookmarkStart w:id="264" w:name="eurocontrol-swim-und-nm-systeme"/>
      <w:bookmarkStart w:id="265" w:name="_Toc226452008"/>
      <w:bookmarkEnd w:id="262"/>
      <w:r>
        <w:rPr>
          <w:lang w:val="de-AT"/>
        </w:rPr>
        <w:t>24.3 Eurocontrol SWIM und NM-Systeme</w:t>
      </w:r>
      <w:bookmarkEnd w:id="265"/>
    </w:p>
    <w:p w14:paraId="63EE6168" w14:textId="77777777" w:rsidR="00D1028B" w:rsidRDefault="00892948">
      <w:r>
        <w:rPr>
          <w:lang w:val="de-AT"/>
        </w:rPr>
        <w:t xml:space="preserve">SWIM (System Wide Information Management) ist das neue europäische ATM-Datennetz, das Echtzeitdaten zwischen allen Beteiligten — Airlines, Flughäfen, Flugsicherungen, Militär — austauschen soll. </w:t>
      </w:r>
      <w:r>
        <w:t>Zeitstempel-Interoperabilität ist eine der zentralen offenen technischen Fragen:</w:t>
      </w:r>
    </w:p>
    <w:p w14:paraId="63EE6169" w14:textId="77777777" w:rsidR="00D1028B" w:rsidRDefault="00892948">
      <w:pPr>
        <w:numPr>
          <w:ilvl w:val="0"/>
          <w:numId w:val="189"/>
        </w:numPr>
      </w:pPr>
      <w:r>
        <w:lastRenderedPageBreak/>
        <w:t>SWIM verwendet AIXM (Aeronautical Information Exchange Model) und FIXM (Flight Information Exchange Model) — beide mit eigenem Zeitdarstellungsmodell</w:t>
      </w:r>
    </w:p>
    <w:p w14:paraId="63EE616A" w14:textId="77777777" w:rsidR="00D1028B" w:rsidRPr="00260DEC" w:rsidRDefault="00892948">
      <w:pPr>
        <w:numPr>
          <w:ilvl w:val="0"/>
          <w:numId w:val="189"/>
        </w:numPr>
        <w:rPr>
          <w:lang w:val="de-AT"/>
        </w:rPr>
      </w:pPr>
      <w:r>
        <w:rPr>
          <w:lang w:val="de-AT"/>
        </w:rPr>
        <w:t>AIXM 5.1 verwendet xsd:dateTime (ISO 8601) — aber ohne verbindliche Zeitzonensemantik für historische Daten</w:t>
      </w:r>
    </w:p>
    <w:p w14:paraId="63EE616B" w14:textId="77777777" w:rsidR="00D1028B" w:rsidRPr="00260DEC" w:rsidRDefault="00892948">
      <w:pPr>
        <w:numPr>
          <w:ilvl w:val="0"/>
          <w:numId w:val="189"/>
        </w:numPr>
        <w:rPr>
          <w:lang w:val="de-AT"/>
        </w:rPr>
      </w:pPr>
      <w:r>
        <w:rPr>
          <w:lang w:val="de-AT"/>
        </w:rPr>
        <w:t>FIXM 4.2 definiert Zeitangaben als 'dateTimeUtc' — aber die Validierung der UTC-Konformität erfolgt nur syntaktisch, nicht semantisch</w:t>
      </w:r>
    </w:p>
    <w:p w14:paraId="63EE616C" w14:textId="77777777" w:rsidR="00D1028B" w:rsidRPr="00260DEC" w:rsidRDefault="00892948">
      <w:pPr>
        <w:numPr>
          <w:ilvl w:val="0"/>
          <w:numId w:val="189"/>
        </w:numPr>
        <w:rPr>
          <w:lang w:val="de-AT"/>
        </w:rPr>
      </w:pPr>
      <w:r>
        <w:rPr>
          <w:lang w:val="de-AT"/>
        </w:rPr>
        <w:t>Network Manager (NM) Brüssel: Zentrales ATFM-System für Europa verarbeitet täglich Millionen von Zeitstempeln aus 41 Ländern — jede mit nationaler Zeitzonenlogik</w:t>
      </w:r>
    </w:p>
    <w:p w14:paraId="63EE616D" w14:textId="77777777" w:rsidR="00D1028B" w:rsidRPr="00260DEC" w:rsidRDefault="00892948">
      <w:pPr>
        <w:numPr>
          <w:ilvl w:val="0"/>
          <w:numId w:val="189"/>
        </w:numPr>
        <w:rPr>
          <w:lang w:val="de-AT"/>
        </w:rPr>
      </w:pPr>
      <w:r>
        <w:rPr>
          <w:lang w:val="de-AT"/>
        </w:rPr>
        <w:t>CTOT (Calculated Take-Off Time): Vom NM zugeteilte Start-Zeitfenster in UTC — Airlines müssen diese in Lokalzeit für Piloten umrechnen, Fehler führen zu ATFM-Verstößen mit Kostenfolgen</w:t>
      </w:r>
    </w:p>
    <w:p w14:paraId="63EE616E"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6F" w14:textId="77777777" w:rsidR="00D1028B" w:rsidRDefault="00892948">
      <w:pPr>
        <w:numPr>
          <w:ilvl w:val="0"/>
          <w:numId w:val="190"/>
        </w:numPr>
        <w:pBdr>
          <w:left w:val="single" w:sz="20" w:space="8" w:color="17A589"/>
        </w:pBdr>
        <w:shd w:val="clear" w:color="auto" w:fill="EAF7F4"/>
        <w:spacing w:before="40" w:after="40"/>
        <w:ind w:left="240"/>
      </w:pPr>
      <w:r>
        <w:rPr>
          <w:i/>
          <w:iCs/>
          <w:color w:val="0D4035"/>
          <w:sz w:val="20"/>
          <w:szCs w:val="20"/>
        </w:rPr>
        <w:t>Eurocontrol SWIM (System Wide Information Management) als CGTA-kompatibler Zeitstandard: CGTA würde als normierter Zeittyp in SWIM-Datenmodellen (FIXM, IWXXM, AIXM) die Interoperabilität zwischen Anbieterstaaten strukturell verbessern</w:t>
      </w:r>
    </w:p>
    <w:p w14:paraId="63EE6170" w14:textId="77777777" w:rsidR="00D1028B" w:rsidRDefault="00892948">
      <w:pPr>
        <w:numPr>
          <w:ilvl w:val="0"/>
          <w:numId w:val="190"/>
        </w:numPr>
        <w:pBdr>
          <w:left w:val="single" w:sz="20" w:space="8" w:color="17A589"/>
        </w:pBdr>
        <w:shd w:val="clear" w:color="auto" w:fill="EAF7F4"/>
        <w:spacing w:before="40" w:after="40"/>
        <w:ind w:left="240"/>
      </w:pPr>
      <w:r>
        <w:rPr>
          <w:i/>
          <w:iCs/>
          <w:color w:val="0D4035"/>
          <w:sz w:val="20"/>
          <w:szCs w:val="20"/>
        </w:rPr>
        <w:t>NM-Systemzeit (Network Manager Operations Centre, Brüssel) als CGTA-Referenz: alle angebundenen ANSP-Systeme (Austro Control, DFS, NATS) konvertieren deterministisch — Slot-Compliance-Berechnungen werden präziser</w:t>
      </w:r>
    </w:p>
    <w:p w14:paraId="63EE6171" w14:textId="77777777" w:rsidR="00D1028B" w:rsidRPr="00260DEC" w:rsidRDefault="00892948">
      <w:pPr>
        <w:numPr>
          <w:ilvl w:val="0"/>
          <w:numId w:val="190"/>
        </w:numPr>
        <w:pBdr>
          <w:left w:val="single" w:sz="20" w:space="8" w:color="17A589"/>
        </w:pBdr>
        <w:shd w:val="clear" w:color="auto" w:fill="EAF7F4"/>
        <w:spacing w:before="40" w:after="40"/>
        <w:ind w:left="240"/>
        <w:rPr>
          <w:lang w:val="de-AT"/>
        </w:rPr>
      </w:pPr>
      <w:r>
        <w:rPr>
          <w:i/>
          <w:iCs/>
          <w:color w:val="0D4035"/>
          <w:sz w:val="20"/>
          <w:szCs w:val="20"/>
          <w:lang w:val="de-AT"/>
        </w:rPr>
        <w:t>SESAR-Forschungsprojekte zur Zeitharmonisierung profitieren von CGTA als formalem Zeitmodell — ChronoGrid könnte als österreichischer Beitrag in SESAR JU-Ausschreibungen positioniert werden</w:t>
      </w:r>
    </w:p>
    <w:p w14:paraId="63EE6172" w14:textId="77777777" w:rsidR="00D1028B" w:rsidRDefault="00892948">
      <w:pPr>
        <w:pStyle w:val="berschrift3"/>
      </w:pPr>
      <w:bookmarkStart w:id="266" w:name="militärischer-luftraum-und-notam"/>
      <w:bookmarkStart w:id="267" w:name="_Toc226452009"/>
      <w:bookmarkEnd w:id="264"/>
      <w:r>
        <w:t>24.4 Militärischer Luftraum und NOTAM</w:t>
      </w:r>
      <w:bookmarkEnd w:id="267"/>
    </w:p>
    <w:p w14:paraId="63EE6173" w14:textId="77777777" w:rsidR="00D1028B" w:rsidRDefault="00892948">
      <w:pPr>
        <w:numPr>
          <w:ilvl w:val="0"/>
          <w:numId w:val="191"/>
        </w:numPr>
      </w:pPr>
      <w:r>
        <w:t>TRA/TSA (Temporary Reserved/Segregated Areas): Aktivierungszeiträume militärischer Luftraumrestriktionen werden in UTC publiziert — zivile Piloten und zivile Planungssysteme arbeiten in Lokalzeit, Missverständnisse sind dokumentiert</w:t>
      </w:r>
    </w:p>
    <w:p w14:paraId="63EE6174" w14:textId="77777777" w:rsidR="00D1028B" w:rsidRPr="00260DEC" w:rsidRDefault="00892948">
      <w:pPr>
        <w:numPr>
          <w:ilvl w:val="0"/>
          <w:numId w:val="191"/>
        </w:numPr>
        <w:rPr>
          <w:lang w:val="de-AT"/>
        </w:rPr>
      </w:pPr>
      <w:r>
        <w:rPr>
          <w:lang w:val="de-AT"/>
        </w:rPr>
        <w:t>NOTAM (Notice to Air Missions): Zeitangaben in Q-Code-Format — YYMMDDHHMM UTC — werden von Piloten häufig ohne Zeitzonenkonversion gelesen</w:t>
      </w:r>
    </w:p>
    <w:p w14:paraId="63EE6175" w14:textId="77777777" w:rsidR="00D1028B" w:rsidRPr="00260DEC" w:rsidRDefault="00892948">
      <w:pPr>
        <w:numPr>
          <w:ilvl w:val="0"/>
          <w:numId w:val="191"/>
        </w:numPr>
        <w:rPr>
          <w:lang w:val="de-AT"/>
        </w:rPr>
      </w:pPr>
      <w:r>
        <w:rPr>
          <w:lang w:val="de-AT"/>
        </w:rPr>
        <w:t>NATO-Systeme: Link 16 (taktisches Datennetz) verwendet GPS-Zeit — Konvertierung zu UTC/Lokalzeit bei Zusammenarbeit mit ziviler Flugsicherung ist nicht standardisiert</w:t>
      </w:r>
    </w:p>
    <w:p w14:paraId="63EE6176" w14:textId="77777777" w:rsidR="00D1028B" w:rsidRPr="00260DEC" w:rsidRDefault="00892948">
      <w:pPr>
        <w:numPr>
          <w:ilvl w:val="0"/>
          <w:numId w:val="191"/>
        </w:numPr>
        <w:rPr>
          <w:lang w:val="de-AT"/>
        </w:rPr>
      </w:pPr>
      <w:r>
        <w:rPr>
          <w:lang w:val="de-AT"/>
        </w:rPr>
        <w:t>Luftraumkoordination zivil/militär (EUROAT, STANAG 3596): Zeitstempel für Luftraumfreigaben in gemischten Systemen haben keine einheitliche Zeitbasis</w:t>
      </w:r>
    </w:p>
    <w:p w14:paraId="63EE617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78" w14:textId="77777777" w:rsidR="00D1028B" w:rsidRDefault="00892948">
      <w:pPr>
        <w:numPr>
          <w:ilvl w:val="0"/>
          <w:numId w:val="192"/>
        </w:numPr>
        <w:pBdr>
          <w:left w:val="single" w:sz="20" w:space="8" w:color="17A589"/>
        </w:pBdr>
        <w:shd w:val="clear" w:color="auto" w:fill="EAF7F4"/>
        <w:spacing w:before="40" w:after="40"/>
        <w:ind w:left="240"/>
      </w:pPr>
      <w:r>
        <w:rPr>
          <w:i/>
          <w:iCs/>
          <w:color w:val="0D4035"/>
          <w:sz w:val="20"/>
          <w:szCs w:val="20"/>
        </w:rPr>
        <w:t>NOTAM-Gültigkeitszeiträume (FROM/TO in UTC) als CTDDL-Intervalle: automatisierte Relevanzprüfung für Flugplanung wird deterministisch — kein manueller Interpretationsaufwand bei Midnight-Grenzfällen</w:t>
      </w:r>
    </w:p>
    <w:p w14:paraId="63EE6179" w14:textId="77777777" w:rsidR="00D1028B" w:rsidRPr="00260DEC" w:rsidRDefault="00892948">
      <w:pPr>
        <w:numPr>
          <w:ilvl w:val="0"/>
          <w:numId w:val="192"/>
        </w:numPr>
        <w:pBdr>
          <w:left w:val="single" w:sz="20" w:space="8" w:color="17A589"/>
        </w:pBdr>
        <w:shd w:val="clear" w:color="auto" w:fill="EAF7F4"/>
        <w:spacing w:before="40" w:after="40"/>
        <w:ind w:left="240"/>
        <w:rPr>
          <w:lang w:val="de-AT"/>
        </w:rPr>
      </w:pPr>
      <w:r>
        <w:rPr>
          <w:i/>
          <w:iCs/>
          <w:color w:val="0D4035"/>
          <w:sz w:val="20"/>
          <w:szCs w:val="20"/>
          <w:lang w:val="de-AT"/>
        </w:rPr>
        <w:t>Militärische Luftraumreservierungen (TSA, TRA, CBA) mit CGTA-Aktivierungszeitpunkten: zivil-militärische Koordination über NMOCs bekommt eine manipulationsresistente Zeitreferenz</w:t>
      </w:r>
    </w:p>
    <w:p w14:paraId="63EE617A" w14:textId="77777777" w:rsidR="00D1028B" w:rsidRPr="00260DEC" w:rsidRDefault="00892948">
      <w:pPr>
        <w:numPr>
          <w:ilvl w:val="0"/>
          <w:numId w:val="192"/>
        </w:numPr>
        <w:pBdr>
          <w:left w:val="single" w:sz="20" w:space="8" w:color="17A589"/>
        </w:pBdr>
        <w:shd w:val="clear" w:color="auto" w:fill="EAF7F4"/>
        <w:spacing w:before="40" w:after="40"/>
        <w:ind w:left="240"/>
        <w:rPr>
          <w:lang w:val="de-AT"/>
        </w:rPr>
      </w:pPr>
      <w:r>
        <w:rPr>
          <w:i/>
          <w:iCs/>
          <w:color w:val="0D4035"/>
          <w:sz w:val="20"/>
          <w:szCs w:val="20"/>
          <w:lang w:val="de-AT"/>
        </w:rPr>
        <w:t>ACAS/TCAS-Ereigniszeitpunkte als CGTA: Untersuchung von Kollisionswarnungen ist über Bordcomputer- und Radar-Logs hinweg exakt korrelierbar — ASM-Analyse wird präziser</w:t>
      </w:r>
    </w:p>
    <w:p w14:paraId="63EE617B" w14:textId="77777777" w:rsidR="00D1028B" w:rsidRPr="00260DEC" w:rsidRDefault="00892948">
      <w:pPr>
        <w:numPr>
          <w:ilvl w:val="0"/>
          <w:numId w:val="192"/>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CTDDL-Fristen → </w:t>
      </w:r>
      <w:r>
        <w:rPr>
          <w:b/>
          <w:bCs/>
          <w:i/>
          <w:iCs/>
          <w:color w:val="0D4035"/>
          <w:sz w:val="20"/>
          <w:szCs w:val="20"/>
          <w:lang w:val="de-AT"/>
        </w:rPr>
        <w:t>Anhang B.1</w:t>
      </w:r>
    </w:p>
    <w:p w14:paraId="63EE617C" w14:textId="77777777" w:rsidR="00D1028B" w:rsidRPr="00260DEC" w:rsidRDefault="00892948">
      <w:pPr>
        <w:pStyle w:val="berschrift2"/>
        <w:rPr>
          <w:lang w:val="de-AT"/>
        </w:rPr>
      </w:pPr>
      <w:bookmarkStart w:id="268" w:name="bordsysteme-und-datenaufzeichnung"/>
      <w:bookmarkStart w:id="269" w:name="_Toc226452010"/>
      <w:bookmarkEnd w:id="258"/>
      <w:bookmarkEnd w:id="266"/>
      <w:r>
        <w:rPr>
          <w:lang w:val="de-AT"/>
        </w:rPr>
        <w:lastRenderedPageBreak/>
        <w:t>25 Bordsysteme und Datenaufzeichnung</w:t>
      </w:r>
      <w:bookmarkEnd w:id="269"/>
    </w:p>
    <w:p w14:paraId="63EE617D" w14:textId="77777777" w:rsidR="00D1028B" w:rsidRPr="00260DEC" w:rsidRDefault="00892948">
      <w:pPr>
        <w:pStyle w:val="berschrift3"/>
        <w:rPr>
          <w:lang w:val="de-AT"/>
        </w:rPr>
      </w:pPr>
      <w:bookmarkStart w:id="270" w:name="acars-und-bordzeitstempel"/>
      <w:bookmarkStart w:id="271" w:name="_Toc226452011"/>
      <w:r>
        <w:rPr>
          <w:lang w:val="de-AT"/>
        </w:rPr>
        <w:t>25.1 ACARS und Bordzeitstempel</w:t>
      </w:r>
      <w:bookmarkEnd w:id="271"/>
    </w:p>
    <w:p w14:paraId="63EE617E" w14:textId="77777777" w:rsidR="00D1028B" w:rsidRDefault="00892948">
      <w:r>
        <w:rPr>
          <w:lang w:val="de-AT"/>
        </w:rPr>
        <w:t xml:space="preserve">ACARS (Aircraft Communications Addressing and Reporting System) überträgt Betriebsdaten zwischen Flugzeug und Boden. </w:t>
      </w:r>
      <w:r>
        <w:t>Zeitstempel stammen vom Bordcomputer (FMS) mit eigener Uhrenimplementierung:</w:t>
      </w:r>
    </w:p>
    <w:p w14:paraId="63EE617F" w14:textId="77777777" w:rsidR="00D1028B" w:rsidRPr="00260DEC" w:rsidRDefault="00892948">
      <w:pPr>
        <w:numPr>
          <w:ilvl w:val="0"/>
          <w:numId w:val="193"/>
        </w:numPr>
        <w:rPr>
          <w:lang w:val="de-AT"/>
        </w:rPr>
      </w:pPr>
      <w:r>
        <w:rPr>
          <w:lang w:val="de-AT"/>
        </w:rPr>
        <w:t>FMS-Zeit: Synchronisiert über GPS, aber Drift zwischen Synchronisationspunkten ist nicht standardmäßig dokumentiert</w:t>
      </w:r>
    </w:p>
    <w:p w14:paraId="63EE6180" w14:textId="77777777" w:rsidR="00D1028B" w:rsidRPr="00260DEC" w:rsidRDefault="00892948">
      <w:pPr>
        <w:numPr>
          <w:ilvl w:val="0"/>
          <w:numId w:val="193"/>
        </w:numPr>
        <w:rPr>
          <w:lang w:val="de-AT"/>
        </w:rPr>
      </w:pPr>
      <w:r>
        <w:rPr>
          <w:lang w:val="de-AT"/>
        </w:rPr>
        <w:t>OOOI-Meldungen (Out, Off, On, In): Zeitpunkte von Pushback, Abheben, Aufsetzen und Parken — Grundlage für Block-Time-Berechnung und Verspätungserfassung — stammen aus Borduhr ohne verifizierbaren externen Anker</w:t>
      </w:r>
    </w:p>
    <w:p w14:paraId="63EE6181" w14:textId="77777777" w:rsidR="00D1028B" w:rsidRPr="00260DEC" w:rsidRDefault="00892948">
      <w:pPr>
        <w:numPr>
          <w:ilvl w:val="0"/>
          <w:numId w:val="193"/>
        </w:numPr>
        <w:rPr>
          <w:lang w:val="de-AT"/>
        </w:rPr>
      </w:pPr>
      <w:r>
        <w:rPr>
          <w:lang w:val="de-AT"/>
        </w:rPr>
        <w:t>AOC-Systeme (Airline Operations Control): Empfangen ACARS-Zeitstempel und vergleichen mit Bodenzeit — Differenzen bis zu 3 Minuten zwischen Bordzeit und Bodenzeit sind dokumentiert</w:t>
      </w:r>
    </w:p>
    <w:p w14:paraId="63EE6182" w14:textId="77777777" w:rsidR="00D1028B" w:rsidRPr="00260DEC" w:rsidRDefault="00892948">
      <w:pPr>
        <w:numPr>
          <w:ilvl w:val="0"/>
          <w:numId w:val="193"/>
        </w:numPr>
        <w:rPr>
          <w:lang w:val="de-AT"/>
        </w:rPr>
      </w:pPr>
      <w:r>
        <w:rPr>
          <w:lang w:val="de-AT"/>
        </w:rPr>
        <w:t>EFB (Electronic Flight Bag): Tablets im Cockpit mit App-basierten Zeitquellen — nicht synchronisiert mit Bordsystemen</w:t>
      </w:r>
    </w:p>
    <w:p w14:paraId="63EE6183"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84" w14:textId="77777777" w:rsidR="00D1028B" w:rsidRPr="00260DEC" w:rsidRDefault="00892948">
      <w:pPr>
        <w:numPr>
          <w:ilvl w:val="0"/>
          <w:numId w:val="194"/>
        </w:numPr>
        <w:pBdr>
          <w:left w:val="single" w:sz="20" w:space="8" w:color="17A589"/>
        </w:pBdr>
        <w:shd w:val="clear" w:color="auto" w:fill="EAF7F4"/>
        <w:spacing w:before="40" w:after="40"/>
        <w:ind w:left="240"/>
        <w:rPr>
          <w:lang w:val="de-AT"/>
        </w:rPr>
      </w:pPr>
      <w:r>
        <w:rPr>
          <w:i/>
          <w:iCs/>
          <w:color w:val="0D4035"/>
          <w:sz w:val="20"/>
          <w:szCs w:val="20"/>
          <w:lang w:val="de-AT"/>
        </w:rPr>
        <w:t>ACARS-Zeitstempel (VHF, SATCOM) als CGTA normiert: Nachrichten-Korrelation zwischen Bord und Boden über heterogene Netzwerkpfade wird deterministisch — kein Latenz-Interpretationsspielraum</w:t>
      </w:r>
    </w:p>
    <w:p w14:paraId="63EE6185" w14:textId="77777777" w:rsidR="00D1028B" w:rsidRPr="00260DEC" w:rsidRDefault="00892948">
      <w:pPr>
        <w:numPr>
          <w:ilvl w:val="0"/>
          <w:numId w:val="194"/>
        </w:numPr>
        <w:pBdr>
          <w:left w:val="single" w:sz="20" w:space="8" w:color="17A589"/>
        </w:pBdr>
        <w:shd w:val="clear" w:color="auto" w:fill="EAF7F4"/>
        <w:spacing w:before="40" w:after="40"/>
        <w:ind w:left="240"/>
        <w:rPr>
          <w:lang w:val="de-AT"/>
        </w:rPr>
      </w:pPr>
      <w:r>
        <w:rPr>
          <w:i/>
          <w:iCs/>
          <w:color w:val="0D4035"/>
          <w:sz w:val="20"/>
          <w:szCs w:val="20"/>
          <w:lang w:val="de-AT"/>
        </w:rPr>
        <w:t>ACARS-Archivierung für Unfalluntersuchung (ICAO Annex 13): CGTA-Zeitstempel sind jahrzehntelang ohne Konversionsverlust reproduzierbar — Korrelation mit anderen Datenquellen (FDR, CVR, Radar) wird präziser</w:t>
      </w:r>
    </w:p>
    <w:p w14:paraId="63EE6186" w14:textId="77777777" w:rsidR="00D1028B" w:rsidRPr="00260DEC" w:rsidRDefault="00892948">
      <w:pPr>
        <w:numPr>
          <w:ilvl w:val="0"/>
          <w:numId w:val="194"/>
        </w:numPr>
        <w:pBdr>
          <w:left w:val="single" w:sz="20" w:space="8" w:color="17A589"/>
        </w:pBdr>
        <w:shd w:val="clear" w:color="auto" w:fill="EAF7F4"/>
        <w:spacing w:before="40" w:after="40"/>
        <w:ind w:left="240"/>
        <w:rPr>
          <w:lang w:val="de-AT"/>
        </w:rPr>
      </w:pPr>
      <w:r>
        <w:rPr>
          <w:i/>
          <w:iCs/>
          <w:color w:val="0D4035"/>
          <w:sz w:val="20"/>
          <w:szCs w:val="20"/>
          <w:lang w:val="de-AT"/>
        </w:rPr>
        <w:t>Digitale ACARS-Nachfolger (ATN/IPS, VDL Mode 2) könnten CGTA als normierten Zeittyp übernehmen — Grundlage für eine modernisierte, interoperable Luftfahrtkommunikations-Infrastruktur</w:t>
      </w:r>
    </w:p>
    <w:p w14:paraId="63EE6187" w14:textId="77777777" w:rsidR="00D1028B" w:rsidRDefault="00892948">
      <w:pPr>
        <w:numPr>
          <w:ilvl w:val="0"/>
          <w:numId w:val="194"/>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188" w14:textId="77777777" w:rsidR="00D1028B" w:rsidRDefault="00892948">
      <w:pPr>
        <w:pStyle w:val="berschrift3"/>
      </w:pPr>
      <w:bookmarkStart w:id="272" w:name="X86b85ada089c9d380a02af26d01fab3ac5e3f77"/>
      <w:bookmarkStart w:id="273" w:name="_Toc226452012"/>
      <w:bookmarkEnd w:id="270"/>
      <w:r>
        <w:t>25.2 Flight Data Recorder und Unfalluntersuchung</w:t>
      </w:r>
      <w:bookmarkEnd w:id="273"/>
    </w:p>
    <w:p w14:paraId="63EE6189" w14:textId="77777777" w:rsidR="00D1028B" w:rsidRPr="00260DEC" w:rsidRDefault="00892948">
      <w:pPr>
        <w:rPr>
          <w:lang w:val="de-AT"/>
        </w:rPr>
      </w:pPr>
      <w:r>
        <w:rPr>
          <w:i/>
          <w:iCs/>
          <w:lang w:val="de-AT"/>
        </w:rPr>
        <w:t>Nach Flugunfällen müssen FDR-Daten (Flight Data Recorder) mit ATC-Sprachaufzeichnungen, Radar-Tracks und Wetteraufzeichnungen korreliert werden. Jede Quelle hat eine eigene Zeitbasis: FDR in GPS-Zeit, ATC-Aufzeichnungen in Systemzeit des Aufzeichnungsgeräts, Radar in ASTERIX-Zeit. Bei der Untersuchung des Absturzes AF447 (2009) war die Zeitkorrelation zwischen verschiedenen Datenquellen eine dokumentierte Herausforderung.</w:t>
      </w:r>
    </w:p>
    <w:p w14:paraId="63EE618A" w14:textId="77777777" w:rsidR="00D1028B" w:rsidRPr="00260DEC" w:rsidRDefault="00892948">
      <w:pPr>
        <w:numPr>
          <w:ilvl w:val="0"/>
          <w:numId w:val="195"/>
        </w:numPr>
        <w:rPr>
          <w:lang w:val="de-AT"/>
        </w:rPr>
      </w:pPr>
      <w:r>
        <w:rPr>
          <w:lang w:val="de-AT"/>
        </w:rPr>
        <w:t>ICAO Annex 13: Schreibt Zeitstempel für alle Untersuchungsunterlagen vor — ohne universellen Standard für die Zeitbasis</w:t>
      </w:r>
    </w:p>
    <w:p w14:paraId="63EE618B" w14:textId="77777777" w:rsidR="00D1028B" w:rsidRPr="00260DEC" w:rsidRDefault="00892948">
      <w:pPr>
        <w:numPr>
          <w:ilvl w:val="0"/>
          <w:numId w:val="195"/>
        </w:numPr>
        <w:rPr>
          <w:lang w:val="de-AT"/>
        </w:rPr>
      </w:pPr>
      <w:r>
        <w:rPr>
          <w:lang w:val="de-AT"/>
        </w:rPr>
        <w:t>BEA (Frankreich), BFU (Deutschland), Austro Control Safety Investigation: Nationale Untersuchungsbehörden arbeiten mit national unterschiedlichen Zeitstandards</w:t>
      </w:r>
    </w:p>
    <w:p w14:paraId="63EE618C" w14:textId="77777777" w:rsidR="00D1028B" w:rsidRPr="00260DEC" w:rsidRDefault="00892948">
      <w:pPr>
        <w:numPr>
          <w:ilvl w:val="0"/>
          <w:numId w:val="195"/>
        </w:numPr>
        <w:rPr>
          <w:lang w:val="de-AT"/>
        </w:rPr>
      </w:pPr>
      <w:r>
        <w:rPr>
          <w:lang w:val="de-AT"/>
        </w:rPr>
        <w:t>CVR (Cockpit Voice Recorder): Zeitstempel relativ zum Aufzeichnungsbeginn — absolute Weltzeit muss durch Korrelation mit FDR rekonstruiert werden</w:t>
      </w:r>
    </w:p>
    <w:p w14:paraId="63EE618D" w14:textId="77777777" w:rsidR="00D1028B" w:rsidRPr="00260DEC" w:rsidRDefault="00892948">
      <w:pPr>
        <w:numPr>
          <w:ilvl w:val="0"/>
          <w:numId w:val="195"/>
        </w:numPr>
        <w:rPr>
          <w:lang w:val="de-AT"/>
        </w:rPr>
      </w:pPr>
      <w:r>
        <w:rPr>
          <w:lang w:val="de-AT"/>
        </w:rPr>
        <w:t>Datalink-Nachrichten (CPDLC): Zeitstempel im ACARS-Protokoll — Korrelation mit ATC-Sprachaufzeichnung erfordert manuelle Zeitkorrektur</w:t>
      </w:r>
    </w:p>
    <w:p w14:paraId="63EE618E" w14:textId="77777777" w:rsidR="00D1028B" w:rsidRDefault="00892948">
      <w:pPr>
        <w:pBdr>
          <w:left w:val="single" w:sz="20" w:space="8" w:color="17A589"/>
        </w:pBdr>
        <w:shd w:val="clear" w:color="auto" w:fill="EAF7F4"/>
        <w:spacing w:before="40" w:after="40"/>
        <w:ind w:left="240"/>
      </w:pPr>
      <w:r>
        <w:rPr>
          <w:i/>
          <w:iCs/>
          <w:color w:val="0D4035"/>
          <w:sz w:val="20"/>
          <w:szCs w:val="20"/>
        </w:rPr>
        <w:lastRenderedPageBreak/>
        <w:t>ChronoGrid-Opportunity:</w:t>
      </w:r>
    </w:p>
    <w:p w14:paraId="63EE618F" w14:textId="77777777" w:rsidR="00D1028B" w:rsidRDefault="00892948">
      <w:pPr>
        <w:numPr>
          <w:ilvl w:val="0"/>
          <w:numId w:val="196"/>
        </w:numPr>
        <w:pBdr>
          <w:left w:val="single" w:sz="20" w:space="8" w:color="17A589"/>
        </w:pBdr>
        <w:shd w:val="clear" w:color="auto" w:fill="EAF7F4"/>
        <w:spacing w:before="40" w:after="40"/>
        <w:ind w:left="240"/>
      </w:pPr>
      <w:r>
        <w:rPr>
          <w:i/>
          <w:iCs/>
          <w:color w:val="0D4035"/>
          <w:sz w:val="20"/>
          <w:szCs w:val="20"/>
        </w:rPr>
        <w:t>FDR-Zeitachsen als CGTA normiert: Korrelation von FDR-Daten mit CVR, ATC-Aufzeichnungen und Radar-Tracks über Systemgrenzen hinweg wird deterministisch — Unfalluntersuchungen (BFU, AAIB, BEA) profitieren strukturell</w:t>
      </w:r>
    </w:p>
    <w:p w14:paraId="63EE6190" w14:textId="77777777" w:rsidR="00D1028B" w:rsidRPr="00260DEC" w:rsidRDefault="00892948">
      <w:pPr>
        <w:numPr>
          <w:ilvl w:val="0"/>
          <w:numId w:val="196"/>
        </w:numPr>
        <w:pBdr>
          <w:left w:val="single" w:sz="20" w:space="8" w:color="17A589"/>
        </w:pBdr>
        <w:shd w:val="clear" w:color="auto" w:fill="EAF7F4"/>
        <w:spacing w:before="40" w:after="40"/>
        <w:ind w:left="240"/>
        <w:rPr>
          <w:lang w:val="de-AT"/>
        </w:rPr>
      </w:pPr>
      <w:r>
        <w:rPr>
          <w:i/>
          <w:iCs/>
          <w:color w:val="0D4035"/>
          <w:sz w:val="20"/>
          <w:szCs w:val="20"/>
          <w:lang w:val="de-AT"/>
        </w:rPr>
        <w:t>DFDR-Zeitstempel-Kalibrierung: aktuell werden FDR-Zeitachsen manuell gegen GPS-Zeit kalibriert; CGTA als formaler Standard würde diesen Prozess normieren und automatisierbar machen</w:t>
      </w:r>
    </w:p>
    <w:p w14:paraId="63EE6191" w14:textId="77777777" w:rsidR="00D1028B" w:rsidRPr="00260DEC" w:rsidRDefault="00892948">
      <w:pPr>
        <w:numPr>
          <w:ilvl w:val="0"/>
          <w:numId w:val="196"/>
        </w:numPr>
        <w:pBdr>
          <w:left w:val="single" w:sz="20" w:space="8" w:color="17A589"/>
        </w:pBdr>
        <w:shd w:val="clear" w:color="auto" w:fill="EAF7F4"/>
        <w:spacing w:before="40" w:after="40"/>
        <w:ind w:left="240"/>
        <w:rPr>
          <w:lang w:val="de-AT"/>
        </w:rPr>
      </w:pPr>
      <w:r>
        <w:rPr>
          <w:i/>
          <w:iCs/>
          <w:color w:val="0D4035"/>
          <w:sz w:val="20"/>
          <w:szCs w:val="20"/>
          <w:lang w:val="de-AT"/>
        </w:rPr>
        <w:t>Langzeitarchivierung von FDR-Daten (Aufbewahrungspflicht 5–25 Jahre je nach Typ): CGTA übersteht sicher den Unix-2038-Überlauf und ist für den gesamten Flugzeug-Lebenszyklus geeignet</w:t>
      </w:r>
    </w:p>
    <w:p w14:paraId="63EE6192" w14:textId="77777777" w:rsidR="00D1028B" w:rsidRDefault="00892948">
      <w:pPr>
        <w:numPr>
          <w:ilvl w:val="0"/>
          <w:numId w:val="196"/>
        </w:numPr>
        <w:pBdr>
          <w:left w:val="single" w:sz="20" w:space="8" w:color="17A589"/>
        </w:pBdr>
        <w:shd w:val="clear" w:color="auto" w:fill="EAF7F4"/>
        <w:spacing w:before="40" w:after="40"/>
        <w:ind w:left="240"/>
      </w:pPr>
      <w:r>
        <w:rPr>
          <w:i/>
          <w:iCs/>
          <w:color w:val="0D4035"/>
          <w:sz w:val="20"/>
          <w:szCs w:val="20"/>
        </w:rPr>
        <w:t xml:space="preserve">→ Querschnittslösung Langzeitstabilität → </w:t>
      </w:r>
      <w:r>
        <w:rPr>
          <w:b/>
          <w:bCs/>
          <w:i/>
          <w:iCs/>
          <w:color w:val="0D4035"/>
          <w:sz w:val="20"/>
          <w:szCs w:val="20"/>
        </w:rPr>
        <w:t>Anhang B.2</w:t>
      </w:r>
    </w:p>
    <w:p w14:paraId="63EE6193" w14:textId="77777777" w:rsidR="00D1028B" w:rsidRDefault="00892948">
      <w:pPr>
        <w:pStyle w:val="berschrift3"/>
      </w:pPr>
      <w:bookmarkStart w:id="274" w:name="pbn-und-gps-zeitabhängigkeit"/>
      <w:bookmarkStart w:id="275" w:name="_Toc226452013"/>
      <w:bookmarkEnd w:id="272"/>
      <w:r>
        <w:t>25.3 PBN und GPS-Zeitabhängigkeit</w:t>
      </w:r>
      <w:bookmarkEnd w:id="275"/>
    </w:p>
    <w:p w14:paraId="63EE6194" w14:textId="77777777" w:rsidR="00D1028B" w:rsidRPr="00260DEC" w:rsidRDefault="00892948">
      <w:pPr>
        <w:numPr>
          <w:ilvl w:val="0"/>
          <w:numId w:val="197"/>
        </w:numPr>
        <w:rPr>
          <w:lang w:val="de-AT"/>
        </w:rPr>
      </w:pPr>
      <w:r>
        <w:t xml:space="preserve">Performance Based Navigation (PBN): Setzt GPS-Präzision voraus. </w:t>
      </w:r>
      <w:r>
        <w:rPr>
          <w:lang w:val="de-AT"/>
        </w:rPr>
        <w:t>GPS-Zeit weicht derzeit um 18 Sekunden von UTC ab (Schaltsekunden-Differenz) — Konvertierung erfolgt in jedem Empfänger anders</w:t>
      </w:r>
    </w:p>
    <w:p w14:paraId="63EE6195" w14:textId="77777777" w:rsidR="00D1028B" w:rsidRPr="00260DEC" w:rsidRDefault="00892948">
      <w:pPr>
        <w:numPr>
          <w:ilvl w:val="0"/>
          <w:numId w:val="197"/>
        </w:numPr>
        <w:rPr>
          <w:lang w:val="de-AT"/>
        </w:rPr>
      </w:pPr>
      <w:r>
        <w:rPr>
          <w:lang w:val="de-AT"/>
        </w:rPr>
        <w:t>GBAS/SBAS (Differential GPS für Präzisionsanflüge): Korrekturdaten enthalten Zeitstempel — Latenz zwischen Korrekturgenerierung und Empfang ist sicherheitskritisch</w:t>
      </w:r>
    </w:p>
    <w:p w14:paraId="63EE6196" w14:textId="77777777" w:rsidR="00D1028B" w:rsidRPr="00260DEC" w:rsidRDefault="00892948">
      <w:pPr>
        <w:numPr>
          <w:ilvl w:val="0"/>
          <w:numId w:val="197"/>
        </w:numPr>
        <w:rPr>
          <w:lang w:val="de-AT"/>
        </w:rPr>
      </w:pPr>
      <w:r>
        <w:rPr>
          <w:lang w:val="de-AT"/>
        </w:rPr>
        <w:t>ADS-B (Automatic Dependent Surveillance-Broadcast): Positionsdaten mit GPS-Zeitstempel — Bodenempfänger konvertieren in lokale Systemzeit, Genauigkeit variiert</w:t>
      </w:r>
    </w:p>
    <w:p w14:paraId="63EE6197"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98" w14:textId="77777777" w:rsidR="00D1028B" w:rsidRDefault="00892948">
      <w:pPr>
        <w:numPr>
          <w:ilvl w:val="0"/>
          <w:numId w:val="198"/>
        </w:numPr>
        <w:pBdr>
          <w:left w:val="single" w:sz="20" w:space="8" w:color="17A589"/>
        </w:pBdr>
        <w:shd w:val="clear" w:color="auto" w:fill="EAF7F4"/>
        <w:spacing w:before="40" w:after="40"/>
        <w:ind w:left="240"/>
      </w:pPr>
      <w:r>
        <w:rPr>
          <w:i/>
          <w:iCs/>
          <w:color w:val="0D4035"/>
          <w:sz w:val="20"/>
          <w:szCs w:val="20"/>
        </w:rPr>
        <w:t>GPS-Zeit als CTDDL-Domain in ChronoGrid formal modelliert: Konvertierung GPS-Zeit ↔ UTC ↔ TAI ↔ CGTA ist deterministisch und verlustfrei — keine Schaltsekunden-Fehler in GPS-abhängigen Avionik-Systemen</w:t>
      </w:r>
    </w:p>
    <w:p w14:paraId="63EE6199" w14:textId="77777777" w:rsidR="00D1028B" w:rsidRPr="00260DEC" w:rsidRDefault="00892948">
      <w:pPr>
        <w:numPr>
          <w:ilvl w:val="0"/>
          <w:numId w:val="198"/>
        </w:numPr>
        <w:pBdr>
          <w:left w:val="single" w:sz="20" w:space="8" w:color="17A589"/>
        </w:pBdr>
        <w:shd w:val="clear" w:color="auto" w:fill="EAF7F4"/>
        <w:spacing w:before="40" w:after="40"/>
        <w:ind w:left="240"/>
        <w:rPr>
          <w:lang w:val="de-AT"/>
        </w:rPr>
      </w:pPr>
      <w:r>
        <w:rPr>
          <w:i/>
          <w:iCs/>
          <w:color w:val="0D4035"/>
          <w:sz w:val="20"/>
          <w:szCs w:val="20"/>
          <w:lang w:val="de-AT"/>
        </w:rPr>
        <w:t>PBN-Navigationsleistung (RNP, RNAV) hängt von GPS-Zeitgenauigkeit ab: CGTA als übergeordnete Zeitreferenz macht die Zeitabhängigkeit von PBN formal beschreibbar und auditierbar</w:t>
      </w:r>
    </w:p>
    <w:p w14:paraId="63EE619A" w14:textId="77777777" w:rsidR="00D1028B" w:rsidRPr="00260DEC" w:rsidRDefault="00892948">
      <w:pPr>
        <w:numPr>
          <w:ilvl w:val="0"/>
          <w:numId w:val="198"/>
        </w:numPr>
        <w:pBdr>
          <w:left w:val="single" w:sz="20" w:space="8" w:color="17A589"/>
        </w:pBdr>
        <w:shd w:val="clear" w:color="auto" w:fill="EAF7F4"/>
        <w:spacing w:before="40" w:after="40"/>
        <w:ind w:left="240"/>
        <w:rPr>
          <w:lang w:val="de-AT"/>
        </w:rPr>
      </w:pPr>
      <w:r>
        <w:rPr>
          <w:i/>
          <w:iCs/>
          <w:color w:val="0D4035"/>
          <w:sz w:val="20"/>
          <w:szCs w:val="20"/>
          <w:lang w:val="de-AT"/>
        </w:rPr>
        <w:t>GPS-Rollover-Ereignisse (nächstes Rollover 2038/2057): CGTA mit BigInt ist strukturell immun — Avioniksysteme die auf CGTA migrieren, sind dauerhaft GPS-Rollover-sicher</w:t>
      </w:r>
    </w:p>
    <w:p w14:paraId="63EE619B" w14:textId="77777777" w:rsidR="00D1028B" w:rsidRPr="00260DEC" w:rsidRDefault="00892948">
      <w:pPr>
        <w:numPr>
          <w:ilvl w:val="0"/>
          <w:numId w:val="198"/>
        </w:numPr>
        <w:pBdr>
          <w:left w:val="single" w:sz="20" w:space="8" w:color="17A589"/>
        </w:pBdr>
        <w:shd w:val="clear" w:color="auto" w:fill="EAF7F4"/>
        <w:spacing w:before="40" w:after="40"/>
        <w:ind w:left="240"/>
        <w:rPr>
          <w:lang w:val="de-AT"/>
        </w:rPr>
      </w:pPr>
      <w:r>
        <w:rPr>
          <w:i/>
          <w:iCs/>
          <w:color w:val="0D4035"/>
          <w:sz w:val="20"/>
          <w:szCs w:val="20"/>
          <w:lang w:val="de-AT"/>
        </w:rPr>
        <w:t xml:space="preserve">→ Querschnittslösung BigInt-Präzision → </w:t>
      </w:r>
      <w:r>
        <w:rPr>
          <w:b/>
          <w:bCs/>
          <w:i/>
          <w:iCs/>
          <w:color w:val="0D4035"/>
          <w:sz w:val="20"/>
          <w:szCs w:val="20"/>
          <w:lang w:val="de-AT"/>
        </w:rPr>
        <w:t>Anhang B.4</w:t>
      </w:r>
    </w:p>
    <w:p w14:paraId="63EE619C" w14:textId="77777777" w:rsidR="00D1028B" w:rsidRPr="00260DEC" w:rsidRDefault="00892948">
      <w:pPr>
        <w:pStyle w:val="berschrift2"/>
        <w:rPr>
          <w:lang w:val="de-AT"/>
        </w:rPr>
      </w:pPr>
      <w:bookmarkStart w:id="276" w:name="X0b9880ed6577aacee44ba55e37dbc81b396ea93"/>
      <w:bookmarkStart w:id="277" w:name="_Toc226452014"/>
      <w:bookmarkEnd w:id="268"/>
      <w:bookmarkEnd w:id="274"/>
      <w:r>
        <w:rPr>
          <w:lang w:val="de-AT"/>
        </w:rPr>
        <w:t>26 Verspätungsmanagement und Operations Control</w:t>
      </w:r>
      <w:bookmarkEnd w:id="277"/>
    </w:p>
    <w:p w14:paraId="63EE619D" w14:textId="77777777" w:rsidR="00D1028B" w:rsidRPr="00260DEC" w:rsidRDefault="00892948">
      <w:pPr>
        <w:pStyle w:val="berschrift3"/>
        <w:rPr>
          <w:lang w:val="de-AT"/>
        </w:rPr>
      </w:pPr>
      <w:bookmarkStart w:id="278" w:name="iata-delay-codes-und-zeiterfassung"/>
      <w:bookmarkStart w:id="279" w:name="_Toc226452015"/>
      <w:r>
        <w:rPr>
          <w:lang w:val="de-AT"/>
        </w:rPr>
        <w:t>26.1 IATA Delay Codes und Zeiterfassung</w:t>
      </w:r>
      <w:bookmarkEnd w:id="279"/>
    </w:p>
    <w:p w14:paraId="63EE619E" w14:textId="77777777" w:rsidR="00D1028B" w:rsidRPr="00260DEC" w:rsidRDefault="00892948">
      <w:pPr>
        <w:rPr>
          <w:lang w:val="de-AT"/>
        </w:rPr>
      </w:pPr>
      <w:r>
        <w:rPr>
          <w:lang w:val="de-AT"/>
        </w:rPr>
        <w:t>Verspätungen werden nach IATA-Standard mit Delay Codes erfasst. Die Zeiterfassung ist mehrschichtig und inkonsistent:</w:t>
      </w:r>
    </w:p>
    <w:p w14:paraId="63EE619F" w14:textId="77777777" w:rsidR="00D1028B" w:rsidRDefault="00892948">
      <w:pPr>
        <w:numPr>
          <w:ilvl w:val="0"/>
          <w:numId w:val="199"/>
        </w:numPr>
      </w:pPr>
      <w:r>
        <w:t>STD (Scheduled Time of Departure): Aus GDS in Lokalzeit des Abflugorts</w:t>
      </w:r>
    </w:p>
    <w:p w14:paraId="63EE61A0" w14:textId="77777777" w:rsidR="00D1028B" w:rsidRDefault="00892948">
      <w:pPr>
        <w:numPr>
          <w:ilvl w:val="0"/>
          <w:numId w:val="199"/>
        </w:numPr>
      </w:pPr>
      <w:r>
        <w:t>ATD (Actual Time of Departure): Aus ACARS Off-Block-Meldung in Bordzeit</w:t>
      </w:r>
    </w:p>
    <w:p w14:paraId="63EE61A1" w14:textId="77777777" w:rsidR="00D1028B" w:rsidRDefault="00892948">
      <w:pPr>
        <w:numPr>
          <w:ilvl w:val="0"/>
          <w:numId w:val="199"/>
        </w:numPr>
      </w:pPr>
      <w:r>
        <w:t>EOBT (Estimated Off-Block Time): Von Airline an NM gemeldet in UTC</w:t>
      </w:r>
    </w:p>
    <w:p w14:paraId="63EE61A2" w14:textId="77777777" w:rsidR="00D1028B" w:rsidRDefault="00892948">
      <w:pPr>
        <w:numPr>
          <w:ilvl w:val="0"/>
          <w:numId w:val="199"/>
        </w:numPr>
      </w:pPr>
      <w:r>
        <w:t>CTOT (Calculated Take-Off Time): Vom NM zugeteilt in UTC</w:t>
      </w:r>
    </w:p>
    <w:p w14:paraId="63EE61A3" w14:textId="77777777" w:rsidR="00D1028B" w:rsidRPr="00260DEC" w:rsidRDefault="00892948">
      <w:pPr>
        <w:numPr>
          <w:ilvl w:val="0"/>
          <w:numId w:val="199"/>
        </w:numPr>
        <w:rPr>
          <w:lang w:val="de-AT"/>
        </w:rPr>
      </w:pPr>
      <w:r>
        <w:rPr>
          <w:lang w:val="de-AT"/>
        </w:rPr>
        <w:t>Verspätungsberechnung: ATD minus STD — zwei verschiedene Zeitbasen, Konvertierung systemabhängig</w:t>
      </w:r>
    </w:p>
    <w:p w14:paraId="63EE61A4" w14:textId="77777777" w:rsidR="00D1028B" w:rsidRPr="00260DEC" w:rsidRDefault="00892948">
      <w:pPr>
        <w:numPr>
          <w:ilvl w:val="0"/>
          <w:numId w:val="199"/>
        </w:numPr>
        <w:rPr>
          <w:lang w:val="de-AT"/>
        </w:rPr>
      </w:pPr>
      <w:r>
        <w:rPr>
          <w:lang w:val="de-AT"/>
        </w:rPr>
        <w:lastRenderedPageBreak/>
        <w:t>IATA Standard Schedules Information Manual (SSIM): Definiert Zeitformate für Flugpläne — aber nicht die Semantik der Zeitzonenzuordnung bei historischen Daten</w:t>
      </w:r>
    </w:p>
    <w:p w14:paraId="63EE61A5"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A6" w14:textId="77777777" w:rsidR="00D1028B" w:rsidRDefault="00892948">
      <w:pPr>
        <w:numPr>
          <w:ilvl w:val="0"/>
          <w:numId w:val="200"/>
        </w:numPr>
        <w:pBdr>
          <w:left w:val="single" w:sz="20" w:space="8" w:color="17A589"/>
        </w:pBdr>
        <w:shd w:val="clear" w:color="auto" w:fill="EAF7F4"/>
        <w:spacing w:before="40" w:after="40"/>
        <w:ind w:left="240"/>
      </w:pPr>
      <w:r>
        <w:rPr>
          <w:i/>
          <w:iCs/>
          <w:color w:val="0D4035"/>
          <w:sz w:val="20"/>
          <w:szCs w:val="20"/>
        </w:rPr>
        <w:t>IATA-Delay-Codes erfordern exakte Zeiterfassung (OOOI-Zeiten: Out, Off, On, In) als CGTA: Delay-Attribution über Airline, Handling Agent und Flughafen hinweg wird manipulationsresistent</w:t>
      </w:r>
    </w:p>
    <w:p w14:paraId="63EE61A7" w14:textId="77777777" w:rsidR="00D1028B" w:rsidRPr="00260DEC" w:rsidRDefault="00892948">
      <w:pPr>
        <w:numPr>
          <w:ilvl w:val="0"/>
          <w:numId w:val="200"/>
        </w:numPr>
        <w:pBdr>
          <w:left w:val="single" w:sz="20" w:space="8" w:color="17A589"/>
        </w:pBdr>
        <w:shd w:val="clear" w:color="auto" w:fill="EAF7F4"/>
        <w:spacing w:before="40" w:after="40"/>
        <w:ind w:left="240"/>
        <w:rPr>
          <w:lang w:val="de-AT"/>
        </w:rPr>
      </w:pPr>
      <w:r>
        <w:rPr>
          <w:i/>
          <w:iCs/>
          <w:color w:val="0D4035"/>
          <w:sz w:val="20"/>
          <w:szCs w:val="20"/>
          <w:lang w:val="de-AT"/>
        </w:rPr>
        <w:t>Verspätungsberechnung über DST-Grenzen und Mitternacht: mit CGTA sind Delay-Minuten deterministisch berechenbar — kein Interpretationsspielraum bei 23h/25h-Tagen</w:t>
      </w:r>
    </w:p>
    <w:p w14:paraId="63EE61A8" w14:textId="77777777" w:rsidR="00D1028B" w:rsidRPr="00260DEC" w:rsidRDefault="00892948">
      <w:pPr>
        <w:numPr>
          <w:ilvl w:val="0"/>
          <w:numId w:val="200"/>
        </w:numPr>
        <w:pBdr>
          <w:left w:val="single" w:sz="20" w:space="8" w:color="17A589"/>
        </w:pBdr>
        <w:shd w:val="clear" w:color="auto" w:fill="EAF7F4"/>
        <w:spacing w:before="40" w:after="40"/>
        <w:ind w:left="240"/>
        <w:rPr>
          <w:lang w:val="de-AT"/>
        </w:rPr>
      </w:pPr>
      <w:r>
        <w:rPr>
          <w:i/>
          <w:iCs/>
          <w:color w:val="0D4035"/>
          <w:sz w:val="20"/>
          <w:szCs w:val="20"/>
          <w:lang w:val="de-AT"/>
        </w:rPr>
        <w:t>EU-Fluggastrechte (EC 261/2004): Ankunftsverspätung als CGTA-Differenz berechenbar — Ausgleichsansprüche werden objektiv und gerichtsfest dokumentiert; keine Ausreden durch Zeitzonenfehler</w:t>
      </w:r>
    </w:p>
    <w:p w14:paraId="63EE61A9" w14:textId="77777777" w:rsidR="00D1028B" w:rsidRDefault="00892948">
      <w:pPr>
        <w:numPr>
          <w:ilvl w:val="0"/>
          <w:numId w:val="200"/>
        </w:numPr>
        <w:pBdr>
          <w:left w:val="single" w:sz="20" w:space="8" w:color="17A589"/>
        </w:pBdr>
        <w:shd w:val="clear" w:color="auto" w:fill="EAF7F4"/>
        <w:spacing w:before="40" w:after="40"/>
        <w:ind w:left="240"/>
      </w:pPr>
      <w:r>
        <w:rPr>
          <w:i/>
          <w:iCs/>
          <w:color w:val="0D4035"/>
          <w:sz w:val="20"/>
          <w:szCs w:val="20"/>
        </w:rPr>
        <w:t xml:space="preserve">→ Querschnittslösung Manipulationsresistenz → </w:t>
      </w:r>
      <w:r>
        <w:rPr>
          <w:b/>
          <w:bCs/>
          <w:i/>
          <w:iCs/>
          <w:color w:val="0D4035"/>
          <w:sz w:val="20"/>
          <w:szCs w:val="20"/>
        </w:rPr>
        <w:t>Anhang B.3</w:t>
      </w:r>
    </w:p>
    <w:p w14:paraId="63EE61AA" w14:textId="77777777" w:rsidR="00D1028B" w:rsidRDefault="00892948">
      <w:pPr>
        <w:pStyle w:val="berschrift3"/>
      </w:pPr>
      <w:bookmarkStart w:id="280" w:name="anschlussflugmanagement"/>
      <w:bookmarkStart w:id="281" w:name="_Toc226452016"/>
      <w:bookmarkEnd w:id="278"/>
      <w:r>
        <w:t>26.2 Anschlussflugmanagement</w:t>
      </w:r>
      <w:bookmarkEnd w:id="281"/>
    </w:p>
    <w:p w14:paraId="63EE61AB" w14:textId="77777777" w:rsidR="00D1028B" w:rsidRDefault="00892948">
      <w:r>
        <w:rPr>
          <w:i/>
          <w:iCs/>
          <w:lang w:val="de-AT"/>
        </w:rPr>
        <w:t xml:space="preserve">Szenario: Flug LH 400 Frankfurt – Chicago hat 45 Minuten Verspätung. Passagier hat Anschluss auf UA 232 Chicago – Seattle mit 60 Minuten Umsteigezeit. Reicht die Zeit? Die Berechnung erfordert: Ist-Ankunftszeit LH 400 (Bordzeit), Gate-Zeit am O'Hare (Lokalzeit Chicago), Abflugzeit UA 232 (GDS-Lokalzeit), aktuelle Bodenzeit (Systemzeit Airline-OCC). </w:t>
      </w:r>
      <w:r>
        <w:rPr>
          <w:i/>
          <w:iCs/>
        </w:rPr>
        <w:t>Alle vier können voneinander abweichen.</w:t>
      </w:r>
    </w:p>
    <w:p w14:paraId="63EE61AC" w14:textId="77777777" w:rsidR="00D1028B" w:rsidRPr="00260DEC" w:rsidRDefault="00892948">
      <w:pPr>
        <w:numPr>
          <w:ilvl w:val="0"/>
          <w:numId w:val="201"/>
        </w:numPr>
        <w:rPr>
          <w:lang w:val="de-AT"/>
        </w:rPr>
      </w:pPr>
      <w:r>
        <w:rPr>
          <w:lang w:val="de-AT"/>
        </w:rPr>
        <w:t>Minimum Connecting Time (MCT): Flughafen-definierte Mindestumsteigezeit in Lokalzeit — nicht maschinenlesbar standardisiert</w:t>
      </w:r>
    </w:p>
    <w:p w14:paraId="63EE61AD" w14:textId="77777777" w:rsidR="00D1028B" w:rsidRPr="00260DEC" w:rsidRDefault="00892948">
      <w:pPr>
        <w:numPr>
          <w:ilvl w:val="0"/>
          <w:numId w:val="201"/>
        </w:numPr>
        <w:rPr>
          <w:lang w:val="de-AT"/>
        </w:rPr>
      </w:pPr>
      <w:r>
        <w:rPr>
          <w:lang w:val="de-AT"/>
        </w:rPr>
        <w:t>Irregular Operations (IROPS): Automatische Umbuchungsalgorithmen benötigen konsistente Zeitbasis für alle Flugzeiten — fehlende Standardisierung erfordert manuelle Überprüfung</w:t>
      </w:r>
    </w:p>
    <w:p w14:paraId="63EE61AE" w14:textId="77777777" w:rsidR="00D1028B" w:rsidRPr="00260DEC" w:rsidRDefault="00892948">
      <w:pPr>
        <w:numPr>
          <w:ilvl w:val="0"/>
          <w:numId w:val="201"/>
        </w:numPr>
        <w:rPr>
          <w:lang w:val="de-AT"/>
        </w:rPr>
      </w:pPr>
      <w:r>
        <w:rPr>
          <w:lang w:val="de-AT"/>
        </w:rPr>
        <w:t>Hub-Koordination: Große Hubs (Frankfurt, Amsterdam, Dubai) koordinieren täglich tausende Anschlussverbindungen — Zeitstempel-Inkonsistenz zwischen Airlines ist systemischer Faktor für Fehlumleitungen</w:t>
      </w:r>
    </w:p>
    <w:p w14:paraId="63EE61AF"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B0" w14:textId="77777777" w:rsidR="00D1028B" w:rsidRPr="00260DEC" w:rsidRDefault="00892948">
      <w:pPr>
        <w:numPr>
          <w:ilvl w:val="0"/>
          <w:numId w:val="202"/>
        </w:numPr>
        <w:pBdr>
          <w:left w:val="single" w:sz="20" w:space="8" w:color="17A589"/>
        </w:pBdr>
        <w:shd w:val="clear" w:color="auto" w:fill="EAF7F4"/>
        <w:spacing w:before="40" w:after="40"/>
        <w:ind w:left="240"/>
        <w:rPr>
          <w:lang w:val="de-AT"/>
        </w:rPr>
      </w:pPr>
      <w:r>
        <w:rPr>
          <w:i/>
          <w:iCs/>
          <w:color w:val="0D4035"/>
          <w:sz w:val="20"/>
          <w:szCs w:val="20"/>
          <w:lang w:val="de-AT"/>
        </w:rPr>
        <w:t>Anschlussverbindungs-Berechnungen (MCT, Minimum Connection Time) als CGTA-Intervalle: deterministisch über Zeitzonen, Sommer-/Winterzeit und Mitternachtsgrenzen — keine Fehlbuchungen durch Zeitberechnungsfehler</w:t>
      </w:r>
    </w:p>
    <w:p w14:paraId="63EE61B1" w14:textId="77777777" w:rsidR="00D1028B" w:rsidRPr="00260DEC" w:rsidRDefault="00892948">
      <w:pPr>
        <w:numPr>
          <w:ilvl w:val="0"/>
          <w:numId w:val="202"/>
        </w:numPr>
        <w:pBdr>
          <w:left w:val="single" w:sz="20" w:space="8" w:color="17A589"/>
        </w:pBdr>
        <w:shd w:val="clear" w:color="auto" w:fill="EAF7F4"/>
        <w:spacing w:before="40" w:after="40"/>
        <w:ind w:left="240"/>
        <w:rPr>
          <w:lang w:val="de-AT"/>
        </w:rPr>
      </w:pPr>
      <w:r>
        <w:rPr>
          <w:i/>
          <w:iCs/>
          <w:color w:val="0D4035"/>
          <w:sz w:val="20"/>
          <w:szCs w:val="20"/>
          <w:lang w:val="de-AT"/>
        </w:rPr>
        <w:t>Echtzeit-Umbuchungsalgorithmen bei Verspätungen verwenden CGTA als Zeitbasis: Verfügbarkeit, Kapazität und Anschlusszeiten werden in einem einheitlichen Zeitraum bewertet — Optimierungsqualität steigt</w:t>
      </w:r>
    </w:p>
    <w:p w14:paraId="63EE61B2" w14:textId="77777777" w:rsidR="00D1028B" w:rsidRPr="00260DEC" w:rsidRDefault="00892948">
      <w:pPr>
        <w:numPr>
          <w:ilvl w:val="0"/>
          <w:numId w:val="202"/>
        </w:numPr>
        <w:pBdr>
          <w:left w:val="single" w:sz="20" w:space="8" w:color="17A589"/>
        </w:pBdr>
        <w:shd w:val="clear" w:color="auto" w:fill="EAF7F4"/>
        <w:spacing w:before="40" w:after="40"/>
        <w:ind w:left="240"/>
        <w:rPr>
          <w:lang w:val="de-AT"/>
        </w:rPr>
      </w:pPr>
      <w:r>
        <w:rPr>
          <w:i/>
          <w:iCs/>
          <w:color w:val="0D4035"/>
          <w:sz w:val="20"/>
          <w:szCs w:val="20"/>
          <w:lang w:val="de-AT"/>
        </w:rPr>
        <w:t>IROPS (Irregular Operations)-Kosten-Attribution zwischen Airline und Handling Agent: CGTA-Zeitstempel machen Ursachen-Zeitpunkte manipulationsresistent — Streitigkeiten über Kostenverteilung reduzieren sich</w:t>
      </w:r>
    </w:p>
    <w:p w14:paraId="63EE61B3" w14:textId="77777777" w:rsidR="00D1028B" w:rsidRDefault="00892948">
      <w:pPr>
        <w:pStyle w:val="berschrift3"/>
      </w:pPr>
      <w:bookmarkStart w:id="282" w:name="airport-operations-und-slot-management"/>
      <w:bookmarkStart w:id="283" w:name="_Toc226452017"/>
      <w:bookmarkEnd w:id="280"/>
      <w:r>
        <w:t>26.3 Airport Operations und Slot-Management</w:t>
      </w:r>
      <w:bookmarkEnd w:id="283"/>
    </w:p>
    <w:p w14:paraId="63EE61B4" w14:textId="77777777" w:rsidR="00D1028B" w:rsidRPr="00260DEC" w:rsidRDefault="00892948">
      <w:pPr>
        <w:numPr>
          <w:ilvl w:val="0"/>
          <w:numId w:val="203"/>
        </w:numPr>
        <w:rPr>
          <w:lang w:val="de-AT"/>
        </w:rPr>
      </w:pPr>
      <w:r>
        <w:rPr>
          <w:lang w:val="de-AT"/>
        </w:rPr>
        <w:t>AODB (Airport Operational Database): Zentrale Datenbank eines Flughafens — integriert Zeitstempel von Airline-Systemen, ATC, Ground Handler, Zoll, Sicherheit — alle mit eigenem Zeitstandard</w:t>
      </w:r>
    </w:p>
    <w:p w14:paraId="63EE61B5" w14:textId="77777777" w:rsidR="00D1028B" w:rsidRDefault="00892948">
      <w:pPr>
        <w:numPr>
          <w:ilvl w:val="0"/>
          <w:numId w:val="203"/>
        </w:numPr>
      </w:pPr>
      <w:r>
        <w:rPr>
          <w:lang w:val="de-AT"/>
        </w:rPr>
        <w:lastRenderedPageBreak/>
        <w:t xml:space="preserve">A-CDM (Airport Collaborative Decision Making): Europäischer Standard für Flughafen-Koordination. </w:t>
      </w:r>
      <w:r>
        <w:t>Milestones (TSAT, TOBT, TTOT) alle in UTC — Systemimplementierungen weichen ab</w:t>
      </w:r>
    </w:p>
    <w:p w14:paraId="63EE61B6" w14:textId="77777777" w:rsidR="00D1028B" w:rsidRPr="00260DEC" w:rsidRDefault="00892948">
      <w:pPr>
        <w:numPr>
          <w:ilvl w:val="0"/>
          <w:numId w:val="203"/>
        </w:numPr>
        <w:rPr>
          <w:lang w:val="de-AT"/>
        </w:rPr>
      </w:pPr>
      <w:r>
        <w:rPr>
          <w:lang w:val="de-AT"/>
        </w:rPr>
        <w:t>Ground Handling: Betankung, Catering, Cleaning — Zeiterfassung durch Dienstleister mit eigenem ERP, Zeitstempel nicht standardisiert</w:t>
      </w:r>
    </w:p>
    <w:p w14:paraId="63EE61B7" w14:textId="77777777" w:rsidR="00D1028B" w:rsidRPr="00260DEC" w:rsidRDefault="00892948">
      <w:pPr>
        <w:numPr>
          <w:ilvl w:val="0"/>
          <w:numId w:val="203"/>
        </w:numPr>
        <w:rPr>
          <w:lang w:val="de-AT"/>
        </w:rPr>
      </w:pPr>
      <w:r>
        <w:rPr>
          <w:lang w:val="de-AT"/>
        </w:rPr>
        <w:t>CFMU-Slots: Zentral von Eurocontrol NM zugeteilt — Airlines müssen Compliance in Echtzeit nachweisen — Zeitstempel-Genauigkeit ist ATFM-Gebühr-relevant</w:t>
      </w:r>
    </w:p>
    <w:p w14:paraId="63EE61B8" w14:textId="77777777" w:rsidR="00D1028B" w:rsidRDefault="00892948">
      <w:pPr>
        <w:pBdr>
          <w:left w:val="single" w:sz="20" w:space="8" w:color="17A589"/>
        </w:pBdr>
        <w:shd w:val="clear" w:color="auto" w:fill="EAF7F4"/>
        <w:spacing w:before="40" w:after="40"/>
        <w:ind w:left="240"/>
      </w:pPr>
      <w:r>
        <w:rPr>
          <w:i/>
          <w:iCs/>
          <w:color w:val="0D4035"/>
          <w:sz w:val="20"/>
          <w:szCs w:val="20"/>
        </w:rPr>
        <w:t>ChronoGrid-Opportunity:</w:t>
      </w:r>
    </w:p>
    <w:p w14:paraId="63EE61B9" w14:textId="77777777" w:rsidR="00D1028B" w:rsidRDefault="00892948">
      <w:pPr>
        <w:numPr>
          <w:ilvl w:val="0"/>
          <w:numId w:val="204"/>
        </w:numPr>
        <w:pBdr>
          <w:left w:val="single" w:sz="20" w:space="8" w:color="17A589"/>
        </w:pBdr>
        <w:shd w:val="clear" w:color="auto" w:fill="EAF7F4"/>
        <w:spacing w:before="40" w:after="40"/>
        <w:ind w:left="240"/>
      </w:pPr>
      <w:r>
        <w:rPr>
          <w:i/>
          <w:iCs/>
          <w:color w:val="0D4035"/>
          <w:sz w:val="20"/>
          <w:szCs w:val="20"/>
        </w:rPr>
        <w:t>IATA-Slot-Zeiten (SSIM-Format) als CGTA normiert: Slot-Compliance-Berechnungen über Sommerflugplan/Winterflugplan-Grenze werden deterministisch — kein manueller Korrekturbedarf bei IATA-Koordinatoren</w:t>
      </w:r>
    </w:p>
    <w:p w14:paraId="63EE61BA" w14:textId="77777777" w:rsidR="00D1028B" w:rsidRDefault="00892948">
      <w:pPr>
        <w:numPr>
          <w:ilvl w:val="0"/>
          <w:numId w:val="204"/>
        </w:numPr>
        <w:pBdr>
          <w:left w:val="single" w:sz="20" w:space="8" w:color="17A589"/>
        </w:pBdr>
        <w:shd w:val="clear" w:color="auto" w:fill="EAF7F4"/>
        <w:spacing w:before="40" w:after="40"/>
        <w:ind w:left="240"/>
      </w:pPr>
      <w:r>
        <w:rPr>
          <w:i/>
          <w:iCs/>
          <w:color w:val="0D4035"/>
          <w:sz w:val="20"/>
          <w:szCs w:val="20"/>
        </w:rPr>
        <w:t>A-CDM (Airport Collaborative Decision Making, Eurocontrol): TOBT, TTOT, TSAT als CGTA-Zeitpunkte über alle CDM-Partner (Airline, Handling, ATC, Airport) eindeutig geteilt — Milestones-System wird präziser</w:t>
      </w:r>
    </w:p>
    <w:p w14:paraId="63EE61BB" w14:textId="77777777" w:rsidR="00D1028B" w:rsidRDefault="00892948">
      <w:pPr>
        <w:numPr>
          <w:ilvl w:val="0"/>
          <w:numId w:val="204"/>
        </w:numPr>
        <w:pBdr>
          <w:left w:val="single" w:sz="20" w:space="8" w:color="17A589"/>
        </w:pBdr>
        <w:shd w:val="clear" w:color="auto" w:fill="EAF7F4"/>
        <w:spacing w:before="40" w:after="40"/>
        <w:ind w:left="240"/>
      </w:pPr>
      <w:r>
        <w:rPr>
          <w:i/>
          <w:iCs/>
          <w:color w:val="0D4035"/>
          <w:sz w:val="20"/>
          <w:szCs w:val="20"/>
        </w:rPr>
        <w:t>Airside-Kapazitätsplanung (Gate-Belegung, De-Icing, Pushback-Sequencing) auf CGTA-Basis: kollaborative Echtzeit-Entscheidungen über Systemgrenzen hinweg erhalten eine manipulationsresistente, einheitliche Zeitreferenz</w:t>
      </w:r>
    </w:p>
    <w:p w14:paraId="63EE61BC" w14:textId="77777777" w:rsidR="00D1028B" w:rsidRPr="00260DEC" w:rsidRDefault="00892948">
      <w:pPr>
        <w:pStyle w:val="berschrift2"/>
        <w:rPr>
          <w:lang w:val="de-AT"/>
        </w:rPr>
      </w:pPr>
      <w:bookmarkStart w:id="284" w:name="X076eb7fb6892a97d0cf7ce1754c173da4aa5740"/>
      <w:bookmarkStart w:id="285" w:name="_Toc226452018"/>
      <w:bookmarkEnd w:id="276"/>
      <w:bookmarkEnd w:id="282"/>
      <w:r>
        <w:rPr>
          <w:lang w:val="de-AT"/>
        </w:rPr>
        <w:t>Anhang A: Strategische Handlungsempfehlungen</w:t>
      </w:r>
      <w:bookmarkEnd w:id="285"/>
    </w:p>
    <w:p w14:paraId="63EE61BD" w14:textId="77777777" w:rsidR="00D1028B" w:rsidRPr="00260DEC" w:rsidRDefault="00892948">
      <w:pPr>
        <w:rPr>
          <w:lang w:val="de-AT"/>
        </w:rPr>
      </w:pPr>
      <w:r>
        <w:rPr>
          <w:lang w:val="de-AT"/>
        </w:rPr>
        <w:t>Der folgende Anhang fasst die aus der Analyse resultierenden Handlungsempfehlungen zusammen. Er gliedert sich in drei Abschnitte: österreichische Anknüpfungspunkte, internationale Zielorganisationen sowie einen Normierungsfahrplan.</w:t>
      </w:r>
    </w:p>
    <w:p w14:paraId="63EE61BE" w14:textId="77777777" w:rsidR="00D1028B" w:rsidRPr="00260DEC" w:rsidRDefault="00892948">
      <w:pPr>
        <w:pStyle w:val="berschrift2"/>
        <w:rPr>
          <w:lang w:val="de-AT"/>
        </w:rPr>
      </w:pPr>
      <w:bookmarkStart w:id="286" w:name="a.1-österreichische-anknüpfungspunkte"/>
      <w:bookmarkStart w:id="287" w:name="_Toc226452019"/>
      <w:bookmarkEnd w:id="284"/>
      <w:r>
        <w:rPr>
          <w:lang w:val="de-AT"/>
        </w:rPr>
        <w:t>A.1 Österreichische Anknüpfungspunkte</w:t>
      </w:r>
      <w:bookmarkEnd w:id="287"/>
    </w:p>
    <w:p w14:paraId="63EE61BF" w14:textId="77777777" w:rsidR="00D1028B" w:rsidRPr="00260DEC" w:rsidRDefault="00892948">
      <w:pPr>
        <w:rPr>
          <w:lang w:val="de-AT"/>
        </w:rPr>
      </w:pPr>
      <w:r>
        <w:rPr>
          <w:lang w:val="de-AT"/>
        </w:rPr>
        <w:t>Die folgenden österreichischen Institutionen wurden als prioritäre Kooperationspartner identifiziert, gegliedert nach Fachbereich:</w:t>
      </w:r>
    </w:p>
    <w:p w14:paraId="63EE61C0" w14:textId="77777777" w:rsidR="00D1028B" w:rsidRPr="00260DEC" w:rsidRDefault="00892948">
      <w:pPr>
        <w:numPr>
          <w:ilvl w:val="0"/>
          <w:numId w:val="205"/>
        </w:numPr>
        <w:rPr>
          <w:lang w:val="de-AT"/>
        </w:rPr>
      </w:pPr>
      <w:r>
        <w:rPr>
          <w:b/>
          <w:bCs/>
          <w:lang w:val="de-AT"/>
        </w:rPr>
        <w:t>Normierung &amp; Standards:</w:t>
      </w:r>
      <w:r>
        <w:rPr>
          <w:lang w:val="de-AT"/>
        </w:rPr>
        <w:t xml:space="preserve"> Austrian Standards International (ASI) — Einreichung als nationaler Normvorschlag, Weiterleitung über CEN an ISO</w:t>
      </w:r>
    </w:p>
    <w:p w14:paraId="63EE61C1" w14:textId="77777777" w:rsidR="00D1028B" w:rsidRPr="00260DEC" w:rsidRDefault="00892948">
      <w:pPr>
        <w:numPr>
          <w:ilvl w:val="0"/>
          <w:numId w:val="205"/>
        </w:numPr>
        <w:rPr>
          <w:lang w:val="de-AT"/>
        </w:rPr>
      </w:pPr>
      <w:r>
        <w:rPr>
          <w:b/>
          <w:bCs/>
          <w:lang w:val="de-AT"/>
        </w:rPr>
        <w:t>Forschungsförderung:</w:t>
      </w:r>
      <w:r>
        <w:rPr>
          <w:lang w:val="de-AT"/>
        </w:rPr>
        <w:t xml:space="preserve"> FFG (Österreichische Forschungsförderungsgesellschaft) — Programm 'IKT der Zukunft'; FWF (Fonds zur Förderung der wissenschaftlichen Forschung) — Grundlagenforschung zur axiomatischen Zeitarithmetik</w:t>
      </w:r>
    </w:p>
    <w:p w14:paraId="63EE61C2" w14:textId="77777777" w:rsidR="00D1028B" w:rsidRPr="00260DEC" w:rsidRDefault="00892948">
      <w:pPr>
        <w:numPr>
          <w:ilvl w:val="0"/>
          <w:numId w:val="205"/>
        </w:numPr>
        <w:rPr>
          <w:lang w:val="de-AT"/>
        </w:rPr>
      </w:pPr>
      <w:r>
        <w:rPr>
          <w:b/>
          <w:bCs/>
          <w:lang w:val="de-AT"/>
        </w:rPr>
        <w:t>Universitäten &amp; Forschung:</w:t>
      </w:r>
      <w:r>
        <w:rPr>
          <w:lang w:val="de-AT"/>
        </w:rPr>
        <w:t xml:space="preserve"> TU Wien: Institut für Verteilte Systeme, Institut für Astronomie, Institut für Ingenieurgeodäsie, Institut für Verkehrswissenschaften; WU Wien: finanzmathematische Validierung (Day Count Conventions); OEAW (Österreichische Akademie der Wissenschaften)</w:t>
      </w:r>
    </w:p>
    <w:p w14:paraId="63EE61C3" w14:textId="77777777" w:rsidR="00D1028B" w:rsidRPr="00260DEC" w:rsidRDefault="00892948">
      <w:pPr>
        <w:numPr>
          <w:ilvl w:val="0"/>
          <w:numId w:val="205"/>
        </w:numPr>
        <w:rPr>
          <w:lang w:val="de-AT"/>
        </w:rPr>
      </w:pPr>
      <w:r>
        <w:rPr>
          <w:b/>
          <w:bCs/>
          <w:lang w:val="de-AT"/>
        </w:rPr>
        <w:t>Energie &amp; Infrastruktur:</w:t>
      </w:r>
      <w:r>
        <w:rPr>
          <w:lang w:val="de-AT"/>
        </w:rPr>
        <w:t xml:space="preserve"> E-Control (Regulierungsbehörde Energie) — Smart-Meter-Zeitstandard; Austrian Power Grid (APG) — Netzwerkmonitoring-Pilotprojekt; Verbund AG — Energiemarkt-Implementierung</w:t>
      </w:r>
    </w:p>
    <w:p w14:paraId="63EE61C4" w14:textId="77777777" w:rsidR="00D1028B" w:rsidRPr="00260DEC" w:rsidRDefault="00892948">
      <w:pPr>
        <w:numPr>
          <w:ilvl w:val="0"/>
          <w:numId w:val="205"/>
        </w:numPr>
        <w:rPr>
          <w:lang w:val="de-AT"/>
        </w:rPr>
      </w:pPr>
      <w:r>
        <w:rPr>
          <w:b/>
          <w:bCs/>
          <w:lang w:val="de-AT"/>
        </w:rPr>
        <w:t>Telekommunikation &amp; Medien:</w:t>
      </w:r>
      <w:r>
        <w:rPr>
          <w:lang w:val="de-AT"/>
        </w:rPr>
        <w:t xml:space="preserve"> RTR (Rundfunk und Telekom Regulierungs-GmbH) — CDR-Zeitstandard, Trust Service Provider Zertifizierung; ORF (Österreichischer Rundfunk) — Broadcasting-Zeitstandard, EPG</w:t>
      </w:r>
    </w:p>
    <w:p w14:paraId="63EE61C5" w14:textId="77777777" w:rsidR="00D1028B" w:rsidRPr="00260DEC" w:rsidRDefault="00892948">
      <w:pPr>
        <w:numPr>
          <w:ilvl w:val="0"/>
          <w:numId w:val="205"/>
        </w:numPr>
        <w:rPr>
          <w:lang w:val="de-AT"/>
        </w:rPr>
      </w:pPr>
      <w:r>
        <w:rPr>
          <w:b/>
          <w:bCs/>
          <w:lang w:val="de-AT"/>
        </w:rPr>
        <w:lastRenderedPageBreak/>
        <w:t>Recht &amp; Verwaltung:</w:t>
      </w:r>
      <w:r>
        <w:rPr>
          <w:lang w:val="de-AT"/>
        </w:rPr>
        <w:t xml:space="preserve"> Bundesministerium für Justiz — gerichtsfeste digitale Zeitstempel; Österreichisches Patentamt (OPA) — Einreichungssysteme; Bundesrechenzentrum (BRZ) — E-Government-Pilotprojekt; Österreichische Notariatskammer — eIDAS-konformer Zeitstempelservice</w:t>
      </w:r>
    </w:p>
    <w:p w14:paraId="63EE61C6" w14:textId="77777777" w:rsidR="00D1028B" w:rsidRPr="00260DEC" w:rsidRDefault="00892948">
      <w:pPr>
        <w:numPr>
          <w:ilvl w:val="0"/>
          <w:numId w:val="205"/>
        </w:numPr>
        <w:rPr>
          <w:lang w:val="de-AT"/>
        </w:rPr>
      </w:pPr>
      <w:r>
        <w:rPr>
          <w:b/>
          <w:bCs/>
          <w:lang w:val="de-AT"/>
        </w:rPr>
        <w:t>Versicherung &amp; Finanzen:</w:t>
      </w:r>
      <w:r>
        <w:rPr>
          <w:lang w:val="de-AT"/>
        </w:rPr>
        <w:t xml:space="preserve"> FMA (Finanzmarktaufsicht) — Solvency-II-konforme Zeitstandards; Aktuarvereinigung Österreichs (AVP) — Day-Count-Konventionen; A-Trust GmbH — Trust Service Provider für qualifizierte Zeitstempel</w:t>
      </w:r>
    </w:p>
    <w:p w14:paraId="63EE61C7" w14:textId="77777777" w:rsidR="00D1028B" w:rsidRPr="00260DEC" w:rsidRDefault="00892948">
      <w:pPr>
        <w:numPr>
          <w:ilvl w:val="0"/>
          <w:numId w:val="205"/>
        </w:numPr>
        <w:rPr>
          <w:lang w:val="de-AT"/>
        </w:rPr>
      </w:pPr>
      <w:r>
        <w:rPr>
          <w:b/>
          <w:bCs/>
          <w:lang w:val="de-AT"/>
        </w:rPr>
        <w:t>Industrie &amp; Technologie:</w:t>
      </w:r>
      <w:r>
        <w:rPr>
          <w:lang w:val="de-AT"/>
        </w:rPr>
        <w:t xml:space="preserve"> AVL List GmbH (Graz) — Antriebssysteme, Industrie 4.0; Siemens Österreich — OT/IT-Konvergenz; AIT Austrian Institute of Technology — autonome Systeme, Cybersicherheit</w:t>
      </w:r>
    </w:p>
    <w:p w14:paraId="63EE61C8" w14:textId="77777777" w:rsidR="00D1028B" w:rsidRPr="00260DEC" w:rsidRDefault="00892948">
      <w:pPr>
        <w:numPr>
          <w:ilvl w:val="0"/>
          <w:numId w:val="205"/>
        </w:numPr>
        <w:rPr>
          <w:lang w:val="de-AT"/>
        </w:rPr>
      </w:pPr>
      <w:r>
        <w:rPr>
          <w:b/>
          <w:bCs/>
          <w:lang w:val="de-AT"/>
        </w:rPr>
        <w:t>Wissenschaft &amp; Archiv:</w:t>
      </w:r>
      <w:r>
        <w:rPr>
          <w:lang w:val="de-AT"/>
        </w:rPr>
        <w:t xml:space="preserve"> GeoSphere Austria (ZAMG) — Seismologie, Klimaforschung, Meteorologie; Österreichische Nationalbibliothek (ONB) — digitale Langzeitarchivierung; Ludwig Boltzmann Gesellschaft — medizinische Forschung</w:t>
      </w:r>
    </w:p>
    <w:p w14:paraId="63EE61C9" w14:textId="77777777" w:rsidR="00D1028B" w:rsidRPr="00260DEC" w:rsidRDefault="00892948">
      <w:pPr>
        <w:numPr>
          <w:ilvl w:val="0"/>
          <w:numId w:val="205"/>
        </w:numPr>
        <w:rPr>
          <w:lang w:val="de-AT"/>
        </w:rPr>
      </w:pPr>
      <w:r>
        <w:rPr>
          <w:b/>
          <w:bCs/>
          <w:lang w:val="de-AT"/>
        </w:rPr>
        <w:t>Luftfahrt &amp; ATM:</w:t>
      </w:r>
      <w:r>
        <w:rPr>
          <w:lang w:val="de-AT"/>
        </w:rPr>
        <w:t xml:space="preserve"> Frequentis AG (Wien) — ATM-Software, Voice Communication Systems, &gt;150 Länder; Austro Control GmbH — österreichische Flugsicherung, Eurocontrol-Mitglied; Flughafen Wien AG — A-CDM-implementierter Hub, AODB-Zeitstandard</w:t>
      </w:r>
    </w:p>
    <w:p w14:paraId="63EE61CA" w14:textId="77777777" w:rsidR="00D1028B" w:rsidRPr="00260DEC" w:rsidRDefault="00892948">
      <w:pPr>
        <w:pStyle w:val="berschrift2"/>
        <w:rPr>
          <w:lang w:val="de-AT"/>
        </w:rPr>
      </w:pPr>
      <w:bookmarkStart w:id="288" w:name="Xf499b48b9cb9c3af9254d3c4f3f6e8567a11fbb"/>
      <w:bookmarkStart w:id="289" w:name="_Toc226452020"/>
      <w:bookmarkEnd w:id="286"/>
      <w:r>
        <w:rPr>
          <w:lang w:val="de-AT"/>
        </w:rPr>
        <w:t>A.2 Internationale Zielorganisationen und Standardisierungsgremien</w:t>
      </w:r>
      <w:bookmarkEnd w:id="289"/>
    </w:p>
    <w:p w14:paraId="63EE61CB" w14:textId="77777777" w:rsidR="00D1028B" w:rsidRPr="00260DEC" w:rsidRDefault="00892948">
      <w:pPr>
        <w:rPr>
          <w:lang w:val="de-AT"/>
        </w:rPr>
      </w:pPr>
      <w:r>
        <w:rPr>
          <w:lang w:val="de-AT"/>
        </w:rPr>
        <w:t>Die folgenden internationalen Organisationen wurden als relevante Standardisierungspartner oder Zielgremien identifiziert:</w:t>
      </w:r>
    </w:p>
    <w:p w14:paraId="63EE61CC" w14:textId="77777777" w:rsidR="00D1028B" w:rsidRPr="00260DEC" w:rsidRDefault="00892948">
      <w:pPr>
        <w:numPr>
          <w:ilvl w:val="0"/>
          <w:numId w:val="206"/>
        </w:numPr>
        <w:rPr>
          <w:lang w:val="de-AT"/>
        </w:rPr>
      </w:pPr>
      <w:r>
        <w:rPr>
          <w:b/>
          <w:bCs/>
          <w:lang w:val="de-AT"/>
        </w:rPr>
        <w:t>ISO / IEC:</w:t>
      </w:r>
      <w:r>
        <w:rPr>
          <w:lang w:val="de-AT"/>
        </w:rPr>
        <w:t xml:space="preserve"> ISO 8601 (Datums- und Zeitdarstellung) — Erweiterungsvorschlag; ISO/IEC 9075 (SQL) — nativer ChronoGrid-Datentyp; ISO 14721 (OAIS, Langzeitarchivierung) — Zeitstempel-Erweiterung</w:t>
      </w:r>
    </w:p>
    <w:p w14:paraId="63EE61CD" w14:textId="77777777" w:rsidR="00D1028B" w:rsidRPr="00260DEC" w:rsidRDefault="00892948">
      <w:pPr>
        <w:numPr>
          <w:ilvl w:val="0"/>
          <w:numId w:val="206"/>
        </w:numPr>
        <w:rPr>
          <w:lang w:val="de-AT"/>
        </w:rPr>
      </w:pPr>
      <w:r>
        <w:rPr>
          <w:b/>
          <w:bCs/>
          <w:lang w:val="de-AT"/>
        </w:rPr>
        <w:t>IETF:</w:t>
      </w:r>
      <w:r>
        <w:rPr>
          <w:lang w:val="de-AT"/>
        </w:rPr>
        <w:t xml:space="preserve"> RFC-Vorschlag für ChronoGrid als Internet-Zeitstandard; Calendaring &amp; Scheduling Working Group (calsify) — RFC-5545-Nachfolger</w:t>
      </w:r>
    </w:p>
    <w:p w14:paraId="63EE61CE" w14:textId="77777777" w:rsidR="00D1028B" w:rsidRPr="00260DEC" w:rsidRDefault="00892948">
      <w:pPr>
        <w:numPr>
          <w:ilvl w:val="0"/>
          <w:numId w:val="206"/>
        </w:numPr>
        <w:rPr>
          <w:lang w:val="de-AT"/>
        </w:rPr>
      </w:pPr>
      <w:r>
        <w:rPr>
          <w:b/>
          <w:bCs/>
          <w:lang w:val="de-AT"/>
        </w:rPr>
        <w:t>W3C / ECMA:</w:t>
      </w:r>
      <w:r>
        <w:rPr>
          <w:lang w:val="de-AT"/>
        </w:rPr>
        <w:t xml:space="preserve"> W3C: Zeitdarstellung in HTML und HTTP; ECMA TC39: JavaScript Temporal-Proposal — Kompatibilitätsanalyse</w:t>
      </w:r>
    </w:p>
    <w:p w14:paraId="63EE61CF" w14:textId="77777777" w:rsidR="00D1028B" w:rsidRPr="00260DEC" w:rsidRDefault="00892948">
      <w:pPr>
        <w:numPr>
          <w:ilvl w:val="0"/>
          <w:numId w:val="206"/>
        </w:numPr>
        <w:rPr>
          <w:lang w:val="de-AT"/>
        </w:rPr>
      </w:pPr>
      <w:r>
        <w:rPr>
          <w:b/>
          <w:bCs/>
          <w:lang w:val="de-AT"/>
        </w:rPr>
        <w:t>IEEE:</w:t>
      </w:r>
      <w:r>
        <w:rPr>
          <w:lang w:val="de-AT"/>
        </w:rPr>
        <w:t xml:space="preserve"> Time-Sensitive Networking Working Group — Anschluss an IEEE 1588 (PTP); Erweiterung auf Anwendungsschicht</w:t>
      </w:r>
    </w:p>
    <w:p w14:paraId="63EE61D0" w14:textId="77777777" w:rsidR="00D1028B" w:rsidRPr="00260DEC" w:rsidRDefault="00892948">
      <w:pPr>
        <w:numPr>
          <w:ilvl w:val="0"/>
          <w:numId w:val="206"/>
        </w:numPr>
        <w:rPr>
          <w:lang w:val="de-AT"/>
        </w:rPr>
      </w:pPr>
      <w:r>
        <w:rPr>
          <w:b/>
          <w:bCs/>
          <w:lang w:val="de-AT"/>
        </w:rPr>
        <w:t>Finanz &amp; Recht:</w:t>
      </w:r>
      <w:r>
        <w:rPr>
          <w:lang w:val="de-AT"/>
        </w:rPr>
        <w:t xml:space="preserve"> ISDA (International Swaps and Derivatives Association) — Day Count Convention Referenzimplementierung; SWIFT — Zeitstempel-Standard für internationalen Zahlungsverkehr; WIPO (World Intellectual Property Organization) — Patentrecht-Zeitstandards; EPA (Europäisches Patentamt, Wien/München) — Einreichungssysteme; EIOPA — Solvency-II; IAA (International Actuarial Association)</w:t>
      </w:r>
    </w:p>
    <w:p w14:paraId="63EE61D1" w14:textId="77777777" w:rsidR="00D1028B" w:rsidRPr="00260DEC" w:rsidRDefault="00892948">
      <w:pPr>
        <w:numPr>
          <w:ilvl w:val="0"/>
          <w:numId w:val="206"/>
        </w:numPr>
        <w:rPr>
          <w:lang w:val="de-AT"/>
        </w:rPr>
      </w:pPr>
      <w:r>
        <w:rPr>
          <w:b/>
          <w:bCs/>
          <w:lang w:val="de-AT"/>
        </w:rPr>
        <w:t>Energie:</w:t>
      </w:r>
      <w:r>
        <w:rPr>
          <w:lang w:val="de-AT"/>
        </w:rPr>
        <w:t xml:space="preserve"> ENTSO-E (Europäischer Verbund der Übertragungsnetzbetreiber); EPEX Spot — Handelsplattform-Zeitstandard; ETSI (European Telecommunications Standards Institute)</w:t>
      </w:r>
    </w:p>
    <w:p w14:paraId="63EE61D2" w14:textId="77777777" w:rsidR="00D1028B" w:rsidRPr="00260DEC" w:rsidRDefault="00892948">
      <w:pPr>
        <w:numPr>
          <w:ilvl w:val="0"/>
          <w:numId w:val="206"/>
        </w:numPr>
        <w:rPr>
          <w:lang w:val="de-AT"/>
        </w:rPr>
      </w:pPr>
      <w:r>
        <w:rPr>
          <w:b/>
          <w:bCs/>
          <w:lang w:val="de-AT"/>
        </w:rPr>
        <w:lastRenderedPageBreak/>
        <w:t>Wissenschaft &amp; Forschung:</w:t>
      </w:r>
      <w:r>
        <w:rPr>
          <w:lang w:val="de-AT"/>
        </w:rPr>
        <w:t xml:space="preserve"> CERN — Teilchenphysik-Datenarchivierung; ECMWF — Klimadaten-Zeitstandard; FDSN (Federation of Digital Seismograph Networks); ICH (Good Clinical Practice, Pharma); ESA / EUMETSAT — Satellitentelemetrie</w:t>
      </w:r>
    </w:p>
    <w:p w14:paraId="63EE61D3" w14:textId="77777777" w:rsidR="00D1028B" w:rsidRDefault="00892948">
      <w:pPr>
        <w:numPr>
          <w:ilvl w:val="0"/>
          <w:numId w:val="206"/>
        </w:numPr>
      </w:pPr>
      <w:r>
        <w:rPr>
          <w:b/>
          <w:bCs/>
        </w:rPr>
        <w:t>Medien &amp; Broadcast:</w:t>
      </w:r>
      <w:r>
        <w:t xml:space="preserve"> SMPTE (Society of Motion Picture and Television Engineers) — Timecode-Standard</w:t>
      </w:r>
    </w:p>
    <w:p w14:paraId="63EE61D4" w14:textId="77777777" w:rsidR="00D1028B" w:rsidRDefault="00892948">
      <w:pPr>
        <w:numPr>
          <w:ilvl w:val="0"/>
          <w:numId w:val="206"/>
        </w:numPr>
      </w:pPr>
      <w:r>
        <w:rPr>
          <w:b/>
          <w:bCs/>
        </w:rPr>
        <w:t>Luftfahrt:</w:t>
      </w:r>
      <w:r>
        <w:t xml:space="preserve"> ICAO (International Civil Aviation Organization, Montreal) — Annex 2/10/11 Zeitstandards; Eurocontrol (Brüssel) — ASTERIX, SWIM, Network Manager; EUROCAE — Working Groups WG-73 SWIM, WG-78 ADS-B; IATA — SSIM, Delay Codes, GDS-Standards; ACI (Airports Council International) — AODB und A-CDM</w:t>
      </w:r>
    </w:p>
    <w:p w14:paraId="63EE61D5" w14:textId="77777777" w:rsidR="00D1028B" w:rsidRPr="00260DEC" w:rsidRDefault="00892948">
      <w:pPr>
        <w:pStyle w:val="berschrift2"/>
        <w:rPr>
          <w:lang w:val="de-AT"/>
        </w:rPr>
      </w:pPr>
      <w:bookmarkStart w:id="290" w:name="a.3-normierungsfahrplan"/>
      <w:bookmarkStart w:id="291" w:name="_Toc226452021"/>
      <w:bookmarkEnd w:id="288"/>
      <w:r>
        <w:rPr>
          <w:lang w:val="de-AT"/>
        </w:rPr>
        <w:t>A.3 Normierungsfahrplan</w:t>
      </w:r>
      <w:bookmarkEnd w:id="291"/>
    </w:p>
    <w:p w14:paraId="63EE61D6" w14:textId="77777777" w:rsidR="00D1028B" w:rsidRPr="00260DEC" w:rsidRDefault="00892948">
      <w:pPr>
        <w:rPr>
          <w:lang w:val="de-AT"/>
        </w:rPr>
      </w:pPr>
      <w:r>
        <w:rPr>
          <w:lang w:val="de-AT"/>
        </w:rPr>
        <w:t>Auf Basis der Problemanalyse wird folgender dreistufiger Normierungsfahrplan empfohlen:</w:t>
      </w:r>
    </w:p>
    <w:p w14:paraId="63EE61D7" w14:textId="77777777" w:rsidR="00D1028B" w:rsidRDefault="00892948">
      <w:pPr>
        <w:pStyle w:val="berschrift3"/>
      </w:pPr>
      <w:bookmarkStart w:id="292" w:name="a.3.1-kurzfristig-012-monate"/>
      <w:bookmarkStart w:id="293" w:name="_Toc226452022"/>
      <w:r>
        <w:t>A.3.1 Kurzfristig (0–12 Monate)</w:t>
      </w:r>
      <w:bookmarkEnd w:id="293"/>
    </w:p>
    <w:p w14:paraId="63EE61D8" w14:textId="77777777" w:rsidR="00D1028B" w:rsidRPr="00260DEC" w:rsidRDefault="00892948">
      <w:pPr>
        <w:numPr>
          <w:ilvl w:val="0"/>
          <w:numId w:val="207"/>
        </w:numPr>
        <w:rPr>
          <w:lang w:val="de-AT"/>
        </w:rPr>
      </w:pPr>
      <w:r>
        <w:rPr>
          <w:lang w:val="de-AT"/>
        </w:rPr>
        <w:t>Formale Spezifikation des ChronoGrid-Zeitmodells als technisches Dokument (Voraussetzung für alle weiteren Schritte)</w:t>
      </w:r>
    </w:p>
    <w:p w14:paraId="63EE61D9" w14:textId="77777777" w:rsidR="00D1028B" w:rsidRPr="00260DEC" w:rsidRDefault="00892948">
      <w:pPr>
        <w:numPr>
          <w:ilvl w:val="0"/>
          <w:numId w:val="207"/>
        </w:numPr>
        <w:rPr>
          <w:lang w:val="de-AT"/>
        </w:rPr>
      </w:pPr>
      <w:r>
        <w:rPr>
          <w:lang w:val="de-AT"/>
        </w:rPr>
        <w:t>Referenzimplementierungen für Python und JavaScript/TypeScript als Open-Source-Bibliotheken</w:t>
      </w:r>
    </w:p>
    <w:p w14:paraId="63EE61DA" w14:textId="77777777" w:rsidR="00D1028B" w:rsidRDefault="00892948">
      <w:pPr>
        <w:numPr>
          <w:ilvl w:val="0"/>
          <w:numId w:val="207"/>
        </w:numPr>
      </w:pPr>
      <w:r>
        <w:t>EUIPO-Wortmarkenschutz vor öffentlichen Veröffentlichungen</w:t>
      </w:r>
    </w:p>
    <w:p w14:paraId="63EE61DB" w14:textId="77777777" w:rsidR="00D1028B" w:rsidRPr="00260DEC" w:rsidRDefault="00892948">
      <w:pPr>
        <w:numPr>
          <w:ilvl w:val="0"/>
          <w:numId w:val="207"/>
        </w:numPr>
        <w:rPr>
          <w:lang w:val="de-AT"/>
        </w:rPr>
      </w:pPr>
      <w:r>
        <w:rPr>
          <w:lang w:val="de-AT"/>
        </w:rPr>
        <w:t>Kontaktaufnahme mit ASI für österreichischen Normvorschlag</w:t>
      </w:r>
    </w:p>
    <w:p w14:paraId="63EE61DC" w14:textId="77777777" w:rsidR="00D1028B" w:rsidRPr="00260DEC" w:rsidRDefault="00892948">
      <w:pPr>
        <w:numPr>
          <w:ilvl w:val="0"/>
          <w:numId w:val="207"/>
        </w:numPr>
        <w:rPr>
          <w:lang w:val="de-AT"/>
        </w:rPr>
      </w:pPr>
      <w:r>
        <w:rPr>
          <w:lang w:val="de-AT"/>
        </w:rPr>
        <w:t>Kompatibilitätsanalyse mit TC39 Temporal-Proposal (ECMAScript) und IETF calsify (RFC-5545-Nachfolger)</w:t>
      </w:r>
    </w:p>
    <w:p w14:paraId="63EE61DD" w14:textId="77777777" w:rsidR="00D1028B" w:rsidRDefault="00892948">
      <w:pPr>
        <w:pStyle w:val="berschrift3"/>
      </w:pPr>
      <w:bookmarkStart w:id="294" w:name="a.3.2-mittelfristig-13-jahre"/>
      <w:bookmarkStart w:id="295" w:name="_Toc226452023"/>
      <w:bookmarkEnd w:id="292"/>
      <w:r>
        <w:t>A.3.2 Mittelfristig (1–3 Jahre)</w:t>
      </w:r>
      <w:bookmarkEnd w:id="295"/>
    </w:p>
    <w:p w14:paraId="63EE61DE" w14:textId="77777777" w:rsidR="00D1028B" w:rsidRPr="00260DEC" w:rsidRDefault="00892948">
      <w:pPr>
        <w:numPr>
          <w:ilvl w:val="0"/>
          <w:numId w:val="208"/>
        </w:numPr>
        <w:rPr>
          <w:lang w:val="de-AT"/>
        </w:rPr>
      </w:pPr>
      <w:r>
        <w:rPr>
          <w:lang w:val="de-AT"/>
        </w:rPr>
        <w:t>ASI-Einreichung als nationaler Normvorschlag → CEN-Track → ISO</w:t>
      </w:r>
    </w:p>
    <w:p w14:paraId="63EE61DF" w14:textId="77777777" w:rsidR="00D1028B" w:rsidRPr="00260DEC" w:rsidRDefault="00892948">
      <w:pPr>
        <w:numPr>
          <w:ilvl w:val="0"/>
          <w:numId w:val="208"/>
        </w:numPr>
        <w:rPr>
          <w:lang w:val="de-AT"/>
        </w:rPr>
      </w:pPr>
      <w:r>
        <w:rPr>
          <w:lang w:val="de-AT"/>
        </w:rPr>
        <w:t>IETF-Liaison für RFC-Vorschlag (Internet-Zeitstandard)</w:t>
      </w:r>
    </w:p>
    <w:p w14:paraId="63EE61E0" w14:textId="77777777" w:rsidR="00D1028B" w:rsidRPr="00260DEC" w:rsidRDefault="00892948">
      <w:pPr>
        <w:numPr>
          <w:ilvl w:val="0"/>
          <w:numId w:val="208"/>
        </w:numPr>
        <w:rPr>
          <w:lang w:val="de-AT"/>
        </w:rPr>
      </w:pPr>
      <w:r>
        <w:rPr>
          <w:lang w:val="de-AT"/>
        </w:rPr>
        <w:t>Peer-reviewed Publikation zur axiomatischen Zeitarithmetik (Grundlage für Zitierbarkeit in technischen Normen)</w:t>
      </w:r>
    </w:p>
    <w:p w14:paraId="63EE61E1" w14:textId="77777777" w:rsidR="00D1028B" w:rsidRPr="00260DEC" w:rsidRDefault="00892948">
      <w:pPr>
        <w:numPr>
          <w:ilvl w:val="0"/>
          <w:numId w:val="208"/>
        </w:numPr>
        <w:rPr>
          <w:lang w:val="de-AT"/>
        </w:rPr>
      </w:pPr>
      <w:r>
        <w:rPr>
          <w:lang w:val="de-AT"/>
        </w:rPr>
        <w:t>Pilotimplementierung mit mindestens einer österreichischen Institution (z. B. BRZ, APG oder OPA)</w:t>
      </w:r>
    </w:p>
    <w:p w14:paraId="63EE61E2" w14:textId="77777777" w:rsidR="00D1028B" w:rsidRPr="00260DEC" w:rsidRDefault="00892948">
      <w:pPr>
        <w:numPr>
          <w:ilvl w:val="0"/>
          <w:numId w:val="208"/>
        </w:numPr>
        <w:rPr>
          <w:lang w:val="de-AT"/>
        </w:rPr>
      </w:pPr>
      <w:r>
        <w:rPr>
          <w:lang w:val="de-AT"/>
        </w:rPr>
        <w:t>Vorschlag für nativen ChronoGrid-Datentyp in PostgreSQL (Open Source) als Referenz für ISO SQL</w:t>
      </w:r>
    </w:p>
    <w:p w14:paraId="63EE61E3" w14:textId="77777777" w:rsidR="00D1028B" w:rsidRDefault="00892948">
      <w:pPr>
        <w:pStyle w:val="berschrift3"/>
      </w:pPr>
      <w:bookmarkStart w:id="296" w:name="a.3.3-langfristig-3-jahre"/>
      <w:bookmarkStart w:id="297" w:name="_Toc226452024"/>
      <w:bookmarkEnd w:id="294"/>
      <w:r>
        <w:t>A.3.3 Langfristig (3+ Jahre)</w:t>
      </w:r>
      <w:bookmarkEnd w:id="297"/>
    </w:p>
    <w:p w14:paraId="63EE61E4" w14:textId="77777777" w:rsidR="00D1028B" w:rsidRPr="00260DEC" w:rsidRDefault="00892948">
      <w:pPr>
        <w:numPr>
          <w:ilvl w:val="0"/>
          <w:numId w:val="209"/>
        </w:numPr>
        <w:rPr>
          <w:lang w:val="de-AT"/>
        </w:rPr>
      </w:pPr>
      <w:r>
        <w:rPr>
          <w:lang w:val="de-AT"/>
        </w:rPr>
        <w:t>ISO-Normierung als internationaler Standard im Bereich Datums- und Zeitdarstellung</w:t>
      </w:r>
    </w:p>
    <w:p w14:paraId="63EE61E5" w14:textId="77777777" w:rsidR="00D1028B" w:rsidRPr="00260DEC" w:rsidRDefault="00892948">
      <w:pPr>
        <w:numPr>
          <w:ilvl w:val="0"/>
          <w:numId w:val="209"/>
        </w:numPr>
        <w:rPr>
          <w:lang w:val="de-AT"/>
        </w:rPr>
      </w:pPr>
      <w:r>
        <w:rPr>
          <w:lang w:val="de-AT"/>
        </w:rPr>
        <w:t>Integration in wissenschaftliche Datenformate (HDF5, NetCDF, FITS)</w:t>
      </w:r>
    </w:p>
    <w:p w14:paraId="63EE61E6" w14:textId="77777777" w:rsidR="00D1028B" w:rsidRPr="00260DEC" w:rsidRDefault="00892948">
      <w:pPr>
        <w:numPr>
          <w:ilvl w:val="0"/>
          <w:numId w:val="209"/>
        </w:numPr>
        <w:rPr>
          <w:lang w:val="de-AT"/>
        </w:rPr>
      </w:pPr>
      <w:r>
        <w:rPr>
          <w:lang w:val="de-AT"/>
        </w:rPr>
        <w:t>Mitgestaltung eines RFC-5545-Nachfolgers als semantische Grundlage</w:t>
      </w:r>
    </w:p>
    <w:p w14:paraId="63EE61E7" w14:textId="77777777" w:rsidR="00D1028B" w:rsidRPr="00260DEC" w:rsidRDefault="00892948">
      <w:pPr>
        <w:numPr>
          <w:ilvl w:val="0"/>
          <w:numId w:val="209"/>
        </w:numPr>
        <w:rPr>
          <w:lang w:val="de-AT"/>
        </w:rPr>
      </w:pPr>
      <w:r>
        <w:rPr>
          <w:lang w:val="de-AT"/>
        </w:rPr>
        <w:t>Liaison-Status bei ECMA TC39 und W3C</w:t>
      </w:r>
    </w:p>
    <w:p w14:paraId="63EE61E8" w14:textId="77777777" w:rsidR="00D1028B" w:rsidRPr="00260DEC" w:rsidRDefault="00892948">
      <w:pPr>
        <w:pStyle w:val="berschrift2"/>
        <w:rPr>
          <w:lang w:val="de-AT"/>
        </w:rPr>
      </w:pPr>
      <w:bookmarkStart w:id="298" w:name="anhang-b-querschnittslösungen"/>
      <w:bookmarkStart w:id="299" w:name="_Toc226452025"/>
      <w:bookmarkEnd w:id="290"/>
      <w:bookmarkEnd w:id="296"/>
      <w:r>
        <w:rPr>
          <w:lang w:val="de-AT"/>
        </w:rPr>
        <w:lastRenderedPageBreak/>
        <w:t>Anhang B: Querschnittslösungen</w:t>
      </w:r>
      <w:bookmarkEnd w:id="299"/>
    </w:p>
    <w:p w14:paraId="63EE61E9" w14:textId="77777777" w:rsidR="00D1028B" w:rsidRPr="00260DEC" w:rsidRDefault="00892948">
      <w:pPr>
        <w:rPr>
          <w:lang w:val="de-AT"/>
        </w:rPr>
      </w:pPr>
      <w:r>
        <w:rPr>
          <w:lang w:val="de-AT"/>
        </w:rPr>
        <w:t>Dieser Anhang fasst Lösungsansätze zusammen, die in ihrer Grundstruktur für mehrere Anwendungsdomänen gleichermaßen gelten. Sie werden im Haupttext der jeweiligen Abschnitte nur kurz referenziert (→ Anhang B.x), um Wiederholungen zu vermeiden.</w:t>
      </w:r>
    </w:p>
    <w:p w14:paraId="63EE61EB" w14:textId="77777777" w:rsidR="00D1028B" w:rsidRPr="00260DEC" w:rsidRDefault="00892948">
      <w:pPr>
        <w:pStyle w:val="berschrift3"/>
        <w:rPr>
          <w:lang w:val="de-AT"/>
        </w:rPr>
      </w:pPr>
      <w:bookmarkStart w:id="300" w:name="X0b396518a17e3d118c221989dbe799717526a4d"/>
      <w:bookmarkStart w:id="301" w:name="_Toc226452026"/>
      <w:r>
        <w:rPr>
          <w:lang w:val="de-AT"/>
        </w:rPr>
        <w:t>B.1 Querschnittslösung: CTDDL-Fristen und Intervalle</w:t>
      </w:r>
      <w:bookmarkEnd w:id="301"/>
    </w:p>
    <w:p w14:paraId="63EE61EC" w14:textId="77777777" w:rsidR="00D1028B" w:rsidRPr="00260DEC" w:rsidRDefault="00892948">
      <w:pPr>
        <w:rPr>
          <w:lang w:val="de-AT"/>
        </w:rPr>
      </w:pPr>
      <w:r>
        <w:rPr>
          <w:b/>
          <w:bCs/>
          <w:lang w:val="de-AT"/>
        </w:rPr>
        <w:t>Kernlösung:</w:t>
      </w:r>
      <w:r>
        <w:rPr>
          <w:lang w:val="de-AT"/>
        </w:rPr>
        <w:t xml:space="preserve"> Fristen, Gültigkeitsintervalle und Abrechnungsperioden als CTDDL-Intervalle modelliert sind über Zeitzonen, DST-Grenzen und Jurisdiktionsgrenzen deterministisch berechenbar — kein manueller Zeitzonenabgleich, keine Berechnungsfehler bei 23h/25h-Tagen.</w:t>
      </w:r>
    </w:p>
    <w:p w14:paraId="63EE61ED" w14:textId="77777777" w:rsidR="00D1028B" w:rsidRPr="00260DEC" w:rsidRDefault="00892948">
      <w:pPr>
        <w:pStyle w:val="Textkrper"/>
        <w:rPr>
          <w:lang w:val="de-AT"/>
        </w:rPr>
      </w:pPr>
      <w:r>
        <w:rPr>
          <w:b/>
          <w:bCs/>
          <w:lang w:val="de-AT"/>
        </w:rPr>
        <w:t>Technisch:</w:t>
      </w:r>
      <w:r>
        <w:rPr>
          <w:lang w:val="de-AT"/>
        </w:rPr>
        <w:t xml:space="preserve"> CTDDL definiert Intervalle mit expliziter Domain-Semantik (inkl. Kalender, DST-Regeln, Feiertage). Das Fristende wird durch die Engine deterministisch berechnet — unabhängig davon, ob dazwischen eine Uhrenumstellung, ein Schalttag oder ein nationaler Feiertag liegt.</w:t>
      </w:r>
    </w:p>
    <w:p w14:paraId="63EE61EE" w14:textId="77777777" w:rsidR="00D1028B" w:rsidRPr="00260DEC" w:rsidRDefault="00892948">
      <w:pPr>
        <w:pStyle w:val="Textkrper"/>
        <w:rPr>
          <w:lang w:val="de-AT"/>
        </w:rPr>
      </w:pPr>
      <w:r>
        <w:rPr>
          <w:b/>
          <w:bCs/>
          <w:lang w:val="de-AT"/>
        </w:rPr>
        <w:t>Gilt für folgende Abschnitte:</w:t>
      </w:r>
      <w:r>
        <w:rPr>
          <w:lang w:val="de-AT"/>
        </w:rPr>
        <w:t xml:space="preserve"> 10.1 (E-Commerce-Fristen), 12.1 (eIDAS-Zeitstempel), 12.4 (E-Government), 13.2 (Smart-Meter-Abrechnungsperioden), 14.2 (CDN-Cache-Expiry), 15.1 (Patentrechtliche Prioritätsfristen), 15.3 (Gerichtsfristen), 15.4 (Vertragsfristen), 17.1 (Policen-Laufzeiten), 17.2 (Schadensmeldungsfristen), 18.3 (Wartungsintervalle), 19.2 (Aufbewahrungsfristen), 21.2 (EPG-Lizenzfenster), 21.3 (On-Demand-Monetarisierung), 22.5 (Klinische Studien), 24.4 (NOTAM-Gültigkeiten).</w:t>
      </w:r>
    </w:p>
    <w:p w14:paraId="63EE61F0" w14:textId="77777777" w:rsidR="00D1028B" w:rsidRPr="00260DEC" w:rsidRDefault="00892948">
      <w:pPr>
        <w:pStyle w:val="berschrift3"/>
        <w:rPr>
          <w:lang w:val="de-AT"/>
        </w:rPr>
      </w:pPr>
      <w:bookmarkStart w:id="302" w:name="X632b23e5d80a3ffbbbfc75726e17e8bf37d4521"/>
      <w:bookmarkStart w:id="303" w:name="_Toc226452027"/>
      <w:bookmarkEnd w:id="300"/>
      <w:r>
        <w:rPr>
          <w:lang w:val="de-AT"/>
        </w:rPr>
        <w:t>B.2 Querschnittslösung: Langzeitstabilität über Jahrzehnte</w:t>
      </w:r>
      <w:bookmarkEnd w:id="303"/>
    </w:p>
    <w:p w14:paraId="63EE61F1" w14:textId="77777777" w:rsidR="00D1028B" w:rsidRPr="00260DEC" w:rsidRDefault="00892948">
      <w:pPr>
        <w:rPr>
          <w:lang w:val="de-AT"/>
        </w:rPr>
      </w:pPr>
      <w:r>
        <w:rPr>
          <w:b/>
          <w:bCs/>
          <w:lang w:val="de-AT"/>
        </w:rPr>
        <w:t>Kernlösung:</w:t>
      </w:r>
      <w:r>
        <w:rPr>
          <w:lang w:val="de-AT"/>
        </w:rPr>
        <w:t xml:space="preserve"> CGTA-Zeitstempel mit BigInt-Basis überstehen den Unix-2038-Überlauf, Gregorianische Kalenderreformen und Systemmigrationen ohne Konversionsverlust. Zeitachsen bleiben über den gesamten Lebenszyklus von Systemen, Archiven und Normen reproduzierbar.</w:t>
      </w:r>
    </w:p>
    <w:p w14:paraId="63EE61F2" w14:textId="77777777" w:rsidR="00D1028B" w:rsidRPr="00260DEC" w:rsidRDefault="00892948">
      <w:pPr>
        <w:pStyle w:val="Textkrper"/>
        <w:rPr>
          <w:lang w:val="de-AT"/>
        </w:rPr>
      </w:pPr>
      <w:r>
        <w:rPr>
          <w:b/>
          <w:bCs/>
          <w:lang w:val="de-AT"/>
        </w:rPr>
        <w:t>Technisch:</w:t>
      </w:r>
      <w:r>
        <w:rPr>
          <w:lang w:val="de-AT"/>
        </w:rPr>
        <w:t xml:space="preserve"> CGTA hat keine obere Grenze durch Integergröße (BigInt). Das Encoding ist systemunabhängig — ein CGTA-Wert aus dem Jahr 2026 ist in 50 Jahren ohne Interpretation durch eine Zeitzonenbibliothek auflösbar, da Domain-Semantik in der CTDDL-Definition versioniert hinterlegt ist.</w:t>
      </w:r>
    </w:p>
    <w:p w14:paraId="63EE61F3" w14:textId="77777777" w:rsidR="00D1028B" w:rsidRPr="00260DEC" w:rsidRDefault="00892948">
      <w:pPr>
        <w:pStyle w:val="Textkrper"/>
        <w:rPr>
          <w:lang w:val="de-AT"/>
        </w:rPr>
      </w:pPr>
      <w:r>
        <w:rPr>
          <w:b/>
          <w:bCs/>
          <w:lang w:val="de-AT"/>
        </w:rPr>
        <w:t>Gilt für folgende Abschnitte:</w:t>
      </w:r>
      <w:r>
        <w:rPr>
          <w:lang w:val="de-AT"/>
        </w:rPr>
        <w:t xml:space="preserve"> 12.2 (Patientenakten), 13.2 (Smart-Meter-Zeitreihen), 17.3 (Aktuarielle Zeitreihen), 18.1 (SCADA-Historian), 19.1 (Kulturelle Archive), 19.2 (Unternehmensarchive), 20.3 (Industrierobotik-Logs), 21.1 (SMPTE-Archivierung), 22.4 (Astronomische Beobachtungen), 25.1 (ACARS-Archivierung), 25.2 (FDR-Langzeitarchivierung).</w:t>
      </w:r>
    </w:p>
    <w:p w14:paraId="63EE61F4" w14:textId="3449FD45" w:rsidR="00D1028B" w:rsidRPr="0093598C" w:rsidRDefault="00D1028B">
      <w:pPr>
        <w:rPr>
          <w:lang w:val="de-AT"/>
        </w:rPr>
      </w:pPr>
    </w:p>
    <w:p w14:paraId="63EE61F5" w14:textId="77777777" w:rsidR="00D1028B" w:rsidRPr="0093598C" w:rsidRDefault="00892948">
      <w:pPr>
        <w:pStyle w:val="berschrift3"/>
        <w:rPr>
          <w:lang w:val="de-AT"/>
        </w:rPr>
      </w:pPr>
      <w:bookmarkStart w:id="304" w:name="Xd7607f0028ba556232ae9f78dd921fb572faec5"/>
      <w:bookmarkStart w:id="305" w:name="_Toc226452028"/>
      <w:bookmarkEnd w:id="302"/>
      <w:r>
        <w:rPr>
          <w:lang w:val="de-AT"/>
        </w:rPr>
        <w:t>B.3 Querschnittslösung: Manipulationsresistenz und Gerichtsfestigkeit</w:t>
      </w:r>
      <w:bookmarkEnd w:id="305"/>
    </w:p>
    <w:p w14:paraId="63EE61F6" w14:textId="77777777" w:rsidR="00D1028B" w:rsidRPr="00260DEC" w:rsidRDefault="00892948">
      <w:pPr>
        <w:rPr>
          <w:lang w:val="de-AT"/>
        </w:rPr>
      </w:pPr>
      <w:r>
        <w:rPr>
          <w:b/>
          <w:bCs/>
          <w:lang w:val="de-AT"/>
        </w:rPr>
        <w:t>Kernlösung:</w:t>
      </w:r>
      <w:r>
        <w:rPr>
          <w:lang w:val="de-AT"/>
        </w:rPr>
        <w:t xml:space="preserve"> CGTA-Zeitstempel referenzieren den absoluten TAI-Moment — unabhängig von Systemkonfiguration, lokaler Zeitzone und administrativer Zeitzonenpolitik. Der Entstehungszeitpunkt ist jurisdiktionsübergreifend eindeutig belegbar und nicht durch nachträgliche Konfigurationsänderungen manipulierbar.</w:t>
      </w:r>
    </w:p>
    <w:p w14:paraId="63EE61F7" w14:textId="77777777" w:rsidR="00D1028B" w:rsidRPr="00260DEC" w:rsidRDefault="00892948">
      <w:pPr>
        <w:pStyle w:val="Textkrper"/>
        <w:rPr>
          <w:lang w:val="de-AT"/>
        </w:rPr>
      </w:pPr>
      <w:r>
        <w:rPr>
          <w:b/>
          <w:bCs/>
          <w:lang w:val="de-AT"/>
        </w:rPr>
        <w:t>Technisch:</w:t>
      </w:r>
      <w:r>
        <w:rPr>
          <w:lang w:val="de-AT"/>
        </w:rPr>
        <w:t xml:space="preserve"> CGTA kodiert den absoluten Zeitpunkt (TAI-Basis), nicht eine zonenrelative Darstellung. Manipulationen an der lokalen Systemuhr oder der Zeitzonenkonfiguration verändern den CGTA-Wert nicht rückwirkend. Die Verifikation erfordert keine Trust-Service-Provider.</w:t>
      </w:r>
    </w:p>
    <w:p w14:paraId="63EE61F8" w14:textId="77777777" w:rsidR="00D1028B" w:rsidRPr="00260DEC" w:rsidRDefault="00892948">
      <w:pPr>
        <w:pStyle w:val="Textkrper"/>
        <w:rPr>
          <w:lang w:val="de-AT"/>
        </w:rPr>
      </w:pPr>
      <w:r>
        <w:rPr>
          <w:b/>
          <w:bCs/>
          <w:lang w:val="de-AT"/>
        </w:rPr>
        <w:lastRenderedPageBreak/>
        <w:t>Gilt für folgende Abschnitte:</w:t>
      </w:r>
      <w:r>
        <w:rPr>
          <w:lang w:val="de-AT"/>
        </w:rPr>
        <w:t xml:space="preserve"> 11.1 (Anti-Piracy), 15.1–15.2 (Rechts- und Beweismittel), 17.1 (Policen), 17.4 (InsurTech-Trigger), 18.3 (Betriebsstunden-Zertifikate), 20.2 (Drohnen-Logbücher), 20.3 (Robotik-Qualitätsprotokolle), 24.4 (Militärischer Luftraum), 26.1 (IATA-Delay-Nachweis).</w:t>
      </w:r>
    </w:p>
    <w:p w14:paraId="63EE61F9" w14:textId="15860407" w:rsidR="00D1028B" w:rsidRPr="0093598C" w:rsidRDefault="00D1028B">
      <w:pPr>
        <w:rPr>
          <w:lang w:val="de-AT"/>
        </w:rPr>
      </w:pPr>
    </w:p>
    <w:p w14:paraId="63EE61FA" w14:textId="77777777" w:rsidR="00D1028B" w:rsidRPr="00260DEC" w:rsidRDefault="00892948">
      <w:pPr>
        <w:pStyle w:val="berschrift3"/>
        <w:rPr>
          <w:lang w:val="de-AT"/>
        </w:rPr>
      </w:pPr>
      <w:bookmarkStart w:id="306" w:name="Xbc5c4c4b15487b0583f1fba836f8b5b3238f4ed"/>
      <w:bookmarkStart w:id="307" w:name="_Toc226452029"/>
      <w:bookmarkEnd w:id="304"/>
      <w:r>
        <w:rPr>
          <w:lang w:val="de-AT"/>
        </w:rPr>
        <w:t>B.4 Querschnittslösung: BigInt-Präzision für Hochfrequenz- und Wissenschaftsanwendungen</w:t>
      </w:r>
      <w:bookmarkEnd w:id="307"/>
    </w:p>
    <w:p w14:paraId="63EE61FB" w14:textId="77777777" w:rsidR="00D1028B" w:rsidRPr="00260DEC" w:rsidRDefault="00892948">
      <w:pPr>
        <w:rPr>
          <w:lang w:val="de-AT"/>
        </w:rPr>
      </w:pPr>
      <w:r>
        <w:rPr>
          <w:b/>
          <w:bCs/>
          <w:lang w:val="de-AT"/>
        </w:rPr>
        <w:t>Kernlösung:</w:t>
      </w:r>
      <w:r>
        <w:rPr>
          <w:lang w:val="de-AT"/>
        </w:rPr>
        <w:t xml:space="preserve"> CGTA mit BigInt-Skalierung bietet Sub-Nanosekunden-Granularität ohne Überlauf und ohne Rundungsfehler durch Gleitkomma-Arithmetik — formal präziser als aktuelle UTC-Implementierungen, die auf 64-Bit-Integers basieren.</w:t>
      </w:r>
    </w:p>
    <w:p w14:paraId="63EE61FC" w14:textId="77777777" w:rsidR="00D1028B" w:rsidRPr="00260DEC" w:rsidRDefault="00892948">
      <w:pPr>
        <w:pStyle w:val="Textkrper"/>
        <w:rPr>
          <w:lang w:val="de-AT"/>
        </w:rPr>
      </w:pPr>
      <w:r>
        <w:rPr>
          <w:b/>
          <w:bCs/>
          <w:lang w:val="de-AT"/>
        </w:rPr>
        <w:t>Technisch:</w:t>
      </w:r>
      <w:r>
        <w:rPr>
          <w:lang w:val="de-AT"/>
        </w:rPr>
        <w:t xml:space="preserve"> Die ChronoGrid-Engine verwendet ganzzahlige Arithmetik (ℤ∞ / BigInt) statt Floating-Point. Relativistische Korrekturen (Lorentz-Faktor, TCB/TDB-Mappings) werden als Klasse-B-Funktionale in CTDDL beschrieben. Die Invariante I-R1 (Keine Rundungsfehler) gilt für alle Berechnungen.</w:t>
      </w:r>
    </w:p>
    <w:p w14:paraId="63EE61FD" w14:textId="77777777" w:rsidR="00D1028B" w:rsidRPr="00260DEC" w:rsidRDefault="00892948">
      <w:pPr>
        <w:pStyle w:val="Textkrper"/>
        <w:rPr>
          <w:lang w:val="de-AT"/>
        </w:rPr>
      </w:pPr>
      <w:r>
        <w:rPr>
          <w:b/>
          <w:bCs/>
          <w:lang w:val="de-AT"/>
        </w:rPr>
        <w:t>Gilt für folgende Abschnitte:</w:t>
      </w:r>
      <w:r>
        <w:rPr>
          <w:lang w:val="de-AT"/>
        </w:rPr>
        <w:t xml:space="preserve"> 9.2 (MiFID-II-Mikrosekunden), 10.2 (SWIFT-Hochfrequenz), 11.1 (Streaming-Zeitstempel), 13.3 (Netz-Synchronisation), 20.1 (V2X Sub-Millisekunden), 22.1 (CERN LHC), 22.2 (Seismologie), 25.3 (GPS/PBN-Abhängigkeit).</w:t>
      </w:r>
    </w:p>
    <w:p w14:paraId="63EE61FE" w14:textId="515550B7" w:rsidR="00D1028B" w:rsidRPr="0093598C" w:rsidRDefault="00D1028B">
      <w:pPr>
        <w:rPr>
          <w:lang w:val="de-AT"/>
        </w:rPr>
      </w:pPr>
    </w:p>
    <w:p w14:paraId="63EE61FF" w14:textId="77777777" w:rsidR="00D1028B" w:rsidRPr="00260DEC" w:rsidRDefault="00892948">
      <w:pPr>
        <w:pStyle w:val="berschrift3"/>
        <w:rPr>
          <w:lang w:val="de-AT"/>
        </w:rPr>
      </w:pPr>
      <w:bookmarkStart w:id="308" w:name="X07c36ff74894959aa1794f5e5a3e8425c142e89"/>
      <w:bookmarkStart w:id="309" w:name="_Toc226452030"/>
      <w:bookmarkEnd w:id="306"/>
      <w:r>
        <w:rPr>
          <w:lang w:val="de-AT"/>
        </w:rPr>
        <w:t>B.5 Querschnittslösung: Log-Korrelation und digitale Forensik</w:t>
      </w:r>
      <w:bookmarkEnd w:id="309"/>
    </w:p>
    <w:p w14:paraId="63EE6200" w14:textId="77777777" w:rsidR="00D1028B" w:rsidRPr="00260DEC" w:rsidRDefault="00892948">
      <w:pPr>
        <w:rPr>
          <w:lang w:val="de-AT"/>
        </w:rPr>
      </w:pPr>
      <w:r>
        <w:rPr>
          <w:b/>
          <w:bCs/>
          <w:lang w:val="de-AT"/>
        </w:rPr>
        <w:t>Kernlösung:</w:t>
      </w:r>
      <w:r>
        <w:rPr>
          <w:lang w:val="de-AT"/>
        </w:rPr>
        <w:t xml:space="preserve"> CGTA als einheitlicher Zeitstempel in heterogenen Systemlandschaften (SIEM, Betriebssystem-Logs, Netzwerk-Captures, Anwendungslogs) eliminiert die häufigste Quelle von False Negatives bei der Ereigniskorrelation und forensischen Analyse.</w:t>
      </w:r>
    </w:p>
    <w:p w14:paraId="63EE6201" w14:textId="77777777" w:rsidR="00D1028B" w:rsidRPr="00260DEC" w:rsidRDefault="00892948">
      <w:pPr>
        <w:pStyle w:val="Textkrper"/>
        <w:rPr>
          <w:lang w:val="de-AT"/>
        </w:rPr>
      </w:pPr>
      <w:r>
        <w:rPr>
          <w:b/>
          <w:bCs/>
          <w:lang w:val="de-AT"/>
        </w:rPr>
        <w:t>Technisch:</w:t>
      </w:r>
      <w:r>
        <w:rPr>
          <w:lang w:val="de-AT"/>
        </w:rPr>
        <w:t xml:space="preserve"> Verschiedene Systeme verwenden unterschiedliche Zeitquellen (NTP, GPS, Lokalzeit) mit abweichenden Drifts. Ohne gemeinsame Referenz entstehen Zeitoffsets, die Kausalitätsketten in Logs zerreißen. CGTA als kanonische Zeitachse macht Ereignisfolgen über Systemgrenzen hinweg deterministisch rekonstruierbar.</w:t>
      </w:r>
    </w:p>
    <w:p w14:paraId="63EE6202" w14:textId="77777777" w:rsidR="00D1028B" w:rsidRDefault="00892948">
      <w:pPr>
        <w:pStyle w:val="Textkrper"/>
        <w:rPr>
          <w:lang w:val="de-AT"/>
        </w:rPr>
      </w:pPr>
      <w:r>
        <w:rPr>
          <w:b/>
          <w:bCs/>
          <w:lang w:val="de-AT"/>
        </w:rPr>
        <w:t>Gilt für folgende Abschnitte:</w:t>
      </w:r>
      <w:r>
        <w:rPr>
          <w:lang w:val="de-AT"/>
        </w:rPr>
        <w:t xml:space="preserve"> 11.3 (Cybersecurity/SIEM), 14.2 (CDN-Logs), 14.3 (DNS/NTP-Forensik), 15.2 (Digitale Beweismittel), 18.1 (SCADA-Ereignisprotokoll), 24.1 (ATC-Aufzeichnungen).</w:t>
      </w:r>
      <w:bookmarkEnd w:id="250"/>
      <w:bookmarkEnd w:id="298"/>
      <w:bookmarkEnd w:id="308"/>
    </w:p>
    <w:p w14:paraId="0F584FD3" w14:textId="77777777" w:rsidR="00260DEC" w:rsidRPr="00260DEC" w:rsidRDefault="00260DEC" w:rsidP="00260DEC">
      <w:pPr>
        <w:pStyle w:val="berschrift2"/>
        <w:rPr>
          <w:lang w:val="de-AT" w:eastAsia="de-AT"/>
        </w:rPr>
      </w:pPr>
      <w:bookmarkStart w:id="310" w:name="_Toc226452031"/>
      <w:r>
        <w:rPr>
          <w:lang w:val="de-AT" w:eastAsia="de-AT"/>
        </w:rPr>
        <w:t>Anhang C: Abgrenzung zu bestehenden Standards</w:t>
      </w:r>
      <w:bookmarkEnd w:id="3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377"/>
        <w:gridCol w:w="4323"/>
      </w:tblGrid>
      <w:tr w:rsidR="00260DEC" w:rsidRPr="00260DEC" w14:paraId="05363A72" w14:textId="77777777">
        <w:trPr>
          <w:tblHeader/>
          <w:tblCellSpacing w:w="15" w:type="dxa"/>
        </w:trPr>
        <w:tc>
          <w:tcPr>
            <w:tcW w:w="0" w:type="auto"/>
            <w:vAlign w:val="center"/>
            <w:hideMark/>
          </w:tcPr>
          <w:p w14:paraId="49FB0FEB" w14:textId="77777777" w:rsidR="00260DEC" w:rsidRPr="00260DEC" w:rsidRDefault="00260DEC" w:rsidP="00260DEC">
            <w:pPr>
              <w:spacing w:after="0" w:line="240" w:lineRule="auto"/>
              <w:jc w:val="center"/>
              <w:rPr>
                <w:rFonts w:ascii="Times New Roman" w:eastAsia="Times New Roman" w:hAnsi="Times New Roman" w:cs="Times New Roman"/>
                <w:b/>
                <w:bCs/>
                <w:lang w:val="de-AT" w:eastAsia="de-AT"/>
              </w:rPr>
            </w:pPr>
            <w:r>
              <w:rPr>
                <w:rFonts w:ascii="Times New Roman" w:eastAsia="Times New Roman" w:hAnsi="Times New Roman" w:cs="Times New Roman"/>
                <w:b/>
                <w:bCs/>
                <w:lang w:val="de-AT" w:eastAsia="de-AT"/>
              </w:rPr>
              <w:t>Standard</w:t>
            </w:r>
          </w:p>
        </w:tc>
        <w:tc>
          <w:tcPr>
            <w:tcW w:w="0" w:type="auto"/>
            <w:vAlign w:val="center"/>
            <w:hideMark/>
          </w:tcPr>
          <w:p w14:paraId="3F9E820A" w14:textId="77777777" w:rsidR="00260DEC" w:rsidRPr="00260DEC" w:rsidRDefault="00260DEC" w:rsidP="00260DEC">
            <w:pPr>
              <w:spacing w:after="0" w:line="240" w:lineRule="auto"/>
              <w:jc w:val="center"/>
              <w:rPr>
                <w:rFonts w:ascii="Times New Roman" w:eastAsia="Times New Roman" w:hAnsi="Times New Roman" w:cs="Times New Roman"/>
                <w:b/>
                <w:bCs/>
                <w:lang w:val="de-AT" w:eastAsia="de-AT"/>
              </w:rPr>
            </w:pPr>
            <w:r>
              <w:rPr>
                <w:rFonts w:ascii="Times New Roman" w:eastAsia="Times New Roman" w:hAnsi="Times New Roman" w:cs="Times New Roman"/>
                <w:b/>
                <w:bCs/>
                <w:lang w:val="de-AT" w:eastAsia="de-AT"/>
              </w:rPr>
              <w:t>Stärke</w:t>
            </w:r>
          </w:p>
        </w:tc>
        <w:tc>
          <w:tcPr>
            <w:tcW w:w="0" w:type="auto"/>
            <w:vAlign w:val="center"/>
            <w:hideMark/>
          </w:tcPr>
          <w:p w14:paraId="3EEF810A" w14:textId="77777777" w:rsidR="00260DEC" w:rsidRPr="00260DEC" w:rsidRDefault="00260DEC" w:rsidP="00260DEC">
            <w:pPr>
              <w:spacing w:after="0" w:line="240" w:lineRule="auto"/>
              <w:jc w:val="center"/>
              <w:rPr>
                <w:rFonts w:ascii="Times New Roman" w:eastAsia="Times New Roman" w:hAnsi="Times New Roman" w:cs="Times New Roman"/>
                <w:b/>
                <w:bCs/>
                <w:lang w:val="de-AT" w:eastAsia="de-AT"/>
              </w:rPr>
            </w:pPr>
            <w:r>
              <w:rPr>
                <w:rFonts w:ascii="Times New Roman" w:eastAsia="Times New Roman" w:hAnsi="Times New Roman" w:cs="Times New Roman"/>
                <w:b/>
                <w:bCs/>
                <w:lang w:val="de-AT" w:eastAsia="de-AT"/>
              </w:rPr>
              <w:t>Lücke gegenüber ChronoGrid</w:t>
            </w:r>
          </w:p>
        </w:tc>
      </w:tr>
      <w:tr w:rsidR="00260DEC" w:rsidRPr="003B732C" w14:paraId="746E0D09" w14:textId="77777777">
        <w:trPr>
          <w:tblCellSpacing w:w="15" w:type="dxa"/>
        </w:trPr>
        <w:tc>
          <w:tcPr>
            <w:tcW w:w="0" w:type="auto"/>
            <w:vAlign w:val="center"/>
            <w:hideMark/>
          </w:tcPr>
          <w:p w14:paraId="0C6CEAC7"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b/>
                <w:bCs/>
                <w:lang w:val="de-AT" w:eastAsia="de-AT"/>
              </w:rPr>
              <w:t>UTC / ISO 8601</w:t>
            </w:r>
          </w:p>
        </w:tc>
        <w:tc>
          <w:tcPr>
            <w:tcW w:w="0" w:type="auto"/>
            <w:vAlign w:val="center"/>
            <w:hideMark/>
          </w:tcPr>
          <w:p w14:paraId="49779315"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Weltweit verbreitet, IANA TZ Database</w:t>
            </w:r>
          </w:p>
        </w:tc>
        <w:tc>
          <w:tcPr>
            <w:tcW w:w="0" w:type="auto"/>
            <w:vAlign w:val="center"/>
            <w:hideMark/>
          </w:tcPr>
          <w:p w14:paraId="0B526EB7"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Kein formales Axiomensystem; DST-Semantik implementierungsabhängig</w:t>
            </w:r>
          </w:p>
        </w:tc>
      </w:tr>
      <w:tr w:rsidR="00260DEC" w:rsidRPr="003B732C" w14:paraId="03AC1BDA" w14:textId="77777777">
        <w:trPr>
          <w:tblCellSpacing w:w="15" w:type="dxa"/>
        </w:trPr>
        <w:tc>
          <w:tcPr>
            <w:tcW w:w="0" w:type="auto"/>
            <w:vAlign w:val="center"/>
            <w:hideMark/>
          </w:tcPr>
          <w:p w14:paraId="3CF71911"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b/>
                <w:bCs/>
                <w:lang w:val="de-AT" w:eastAsia="de-AT"/>
              </w:rPr>
              <w:t>RFC 3339</w:t>
            </w:r>
          </w:p>
        </w:tc>
        <w:tc>
          <w:tcPr>
            <w:tcW w:w="0" w:type="auto"/>
            <w:vAlign w:val="center"/>
            <w:hideMark/>
          </w:tcPr>
          <w:p w14:paraId="6E897252"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Internet-Standard, subset von ISO 8601</w:t>
            </w:r>
          </w:p>
        </w:tc>
        <w:tc>
          <w:tcPr>
            <w:tcW w:w="0" w:type="auto"/>
            <w:vAlign w:val="center"/>
            <w:hideMark/>
          </w:tcPr>
          <w:p w14:paraId="29F3A921"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Kein BigInt; kein systemübergreifendes Domain-Konzept</w:t>
            </w:r>
          </w:p>
        </w:tc>
      </w:tr>
      <w:tr w:rsidR="00260DEC" w:rsidRPr="003B732C" w14:paraId="0C24C855" w14:textId="77777777">
        <w:trPr>
          <w:tblCellSpacing w:w="15" w:type="dxa"/>
        </w:trPr>
        <w:tc>
          <w:tcPr>
            <w:tcW w:w="0" w:type="auto"/>
            <w:vAlign w:val="center"/>
            <w:hideMark/>
          </w:tcPr>
          <w:p w14:paraId="7CB52AE5"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b/>
                <w:bCs/>
                <w:lang w:val="de-AT" w:eastAsia="de-AT"/>
              </w:rPr>
              <w:t>POSIX time_t</w:t>
            </w:r>
          </w:p>
        </w:tc>
        <w:tc>
          <w:tcPr>
            <w:tcW w:w="0" w:type="auto"/>
            <w:vAlign w:val="center"/>
            <w:hideMark/>
          </w:tcPr>
          <w:p w14:paraId="4D3B95F1"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Einfach, weit verbreitet</w:t>
            </w:r>
          </w:p>
        </w:tc>
        <w:tc>
          <w:tcPr>
            <w:tcW w:w="0" w:type="auto"/>
            <w:vAlign w:val="center"/>
            <w:hideMark/>
          </w:tcPr>
          <w:p w14:paraId="01F4170C"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Jahr-2038-Problem; ignoriert Schaltsekunden; keine Zeitzonensemantik</w:t>
            </w:r>
          </w:p>
        </w:tc>
      </w:tr>
      <w:tr w:rsidR="00260DEC" w:rsidRPr="003B732C" w14:paraId="7FB14061" w14:textId="77777777">
        <w:trPr>
          <w:tblCellSpacing w:w="15" w:type="dxa"/>
        </w:trPr>
        <w:tc>
          <w:tcPr>
            <w:tcW w:w="0" w:type="auto"/>
            <w:vAlign w:val="center"/>
            <w:hideMark/>
          </w:tcPr>
          <w:p w14:paraId="7A26155B"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b/>
                <w:bCs/>
                <w:lang w:val="de-AT" w:eastAsia="de-AT"/>
              </w:rPr>
              <w:t>TAI</w:t>
            </w:r>
          </w:p>
        </w:tc>
        <w:tc>
          <w:tcPr>
            <w:tcW w:w="0" w:type="auto"/>
            <w:vAlign w:val="center"/>
            <w:hideMark/>
          </w:tcPr>
          <w:p w14:paraId="220E48E6"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Kontinuierliche Skala, keine DST</w:t>
            </w:r>
          </w:p>
        </w:tc>
        <w:tc>
          <w:tcPr>
            <w:tcW w:w="0" w:type="auto"/>
            <w:vAlign w:val="center"/>
            <w:hideMark/>
          </w:tcPr>
          <w:p w14:paraId="190F6C0F"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Kein Kalender-Mapping; keine Implementierungsstandards für Anwendungsschicht</w:t>
            </w:r>
          </w:p>
        </w:tc>
      </w:tr>
      <w:tr w:rsidR="00260DEC" w:rsidRPr="003B732C" w14:paraId="2CA7680E" w14:textId="77777777">
        <w:trPr>
          <w:tblCellSpacing w:w="15" w:type="dxa"/>
        </w:trPr>
        <w:tc>
          <w:tcPr>
            <w:tcW w:w="0" w:type="auto"/>
            <w:vAlign w:val="center"/>
            <w:hideMark/>
          </w:tcPr>
          <w:p w14:paraId="4DFFCDA3"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b/>
                <w:bCs/>
                <w:lang w:val="de-AT" w:eastAsia="de-AT"/>
              </w:rPr>
              <w:t>NTP / PTP</w:t>
            </w:r>
          </w:p>
        </w:tc>
        <w:tc>
          <w:tcPr>
            <w:tcW w:w="0" w:type="auto"/>
            <w:vAlign w:val="center"/>
            <w:hideMark/>
          </w:tcPr>
          <w:p w14:paraId="6980BE8E"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Synchronisation, hohe Präzision</w:t>
            </w:r>
          </w:p>
        </w:tc>
        <w:tc>
          <w:tcPr>
            <w:tcW w:w="0" w:type="auto"/>
            <w:vAlign w:val="center"/>
            <w:hideMark/>
          </w:tcPr>
          <w:p w14:paraId="0B1B2D59"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Adressiert Übertragung, nicht Darstellung oder Arithmetikaxiome</w:t>
            </w:r>
          </w:p>
        </w:tc>
      </w:tr>
      <w:tr w:rsidR="00260DEC" w:rsidRPr="003B732C" w14:paraId="67182686" w14:textId="77777777">
        <w:trPr>
          <w:tblCellSpacing w:w="15" w:type="dxa"/>
        </w:trPr>
        <w:tc>
          <w:tcPr>
            <w:tcW w:w="0" w:type="auto"/>
            <w:vAlign w:val="center"/>
            <w:hideMark/>
          </w:tcPr>
          <w:p w14:paraId="2D4FA7D2"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b/>
                <w:bCs/>
                <w:lang w:val="de-AT" w:eastAsia="de-AT"/>
              </w:rPr>
              <w:lastRenderedPageBreak/>
              <w:t>ChronoGrid</w:t>
            </w:r>
          </w:p>
        </w:tc>
        <w:tc>
          <w:tcPr>
            <w:tcW w:w="0" w:type="auto"/>
            <w:vAlign w:val="center"/>
            <w:hideMark/>
          </w:tcPr>
          <w:p w14:paraId="63E5E8BF"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Formales Axiomensystem (CG-STD-0000), BigInt, versionierte Domains</w:t>
            </w:r>
          </w:p>
        </w:tc>
        <w:tc>
          <w:tcPr>
            <w:tcW w:w="0" w:type="auto"/>
            <w:vAlign w:val="center"/>
            <w:hideMark/>
          </w:tcPr>
          <w:p w14:paraId="061ECFD7" w14:textId="77777777" w:rsidR="00260DEC" w:rsidRPr="00260DEC" w:rsidRDefault="00260DEC" w:rsidP="00260DEC">
            <w:pPr>
              <w:spacing w:after="0" w:line="240" w:lineRule="auto"/>
              <w:rPr>
                <w:rFonts w:ascii="Times New Roman" w:eastAsia="Times New Roman" w:hAnsi="Times New Roman" w:cs="Times New Roman"/>
                <w:lang w:val="de-AT" w:eastAsia="de-AT"/>
              </w:rPr>
            </w:pPr>
            <w:r>
              <w:rPr>
                <w:rFonts w:ascii="Times New Roman" w:eastAsia="Times New Roman" w:hAnsi="Times New Roman" w:cs="Times New Roman"/>
                <w:lang w:val="de-AT" w:eastAsia="de-AT"/>
              </w:rPr>
              <w:t>Noch keine Referenzimplementierung; in Standardisierung</w:t>
            </w:r>
          </w:p>
        </w:tc>
      </w:tr>
    </w:tbl>
    <w:p w14:paraId="79AB6945" w14:textId="38BF4EC0" w:rsidR="00260DEC" w:rsidRPr="00260DEC" w:rsidRDefault="00260DEC" w:rsidP="00F41487">
      <w:pPr>
        <w:pStyle w:val="berschrift2"/>
        <w:rPr>
          <w:lang w:val="de-AT" w:eastAsia="de-AT"/>
        </w:rPr>
      </w:pPr>
      <w:bookmarkStart w:id="311" w:name="_Toc226452032"/>
      <w:r>
        <w:rPr>
          <w:lang w:val="de-AT" w:eastAsia="de-AT"/>
        </w:rPr>
        <w:t>Anhang D: Grenzen des Ansatzes</w:t>
      </w:r>
      <w:bookmarkEnd w:id="311"/>
    </w:p>
    <w:p w14:paraId="3FF27201" w14:textId="77777777" w:rsidR="00260DEC" w:rsidRPr="00260DEC" w:rsidRDefault="00260DEC" w:rsidP="00260DEC">
      <w:pPr>
        <w:spacing w:before="100" w:beforeAutospacing="1" w:after="100" w:afterAutospacing="1" w:line="240" w:lineRule="auto"/>
        <w:rPr>
          <w:rFonts w:ascii="Times New Roman" w:eastAsia="Times New Roman" w:hAnsi="Times New Roman" w:cs="Times New Roman"/>
          <w:sz w:val="24"/>
          <w:szCs w:val="24"/>
          <w:lang w:val="de-AT" w:eastAsia="de-AT"/>
        </w:rPr>
      </w:pPr>
      <w:r>
        <w:rPr>
          <w:rFonts w:ascii="Times New Roman" w:eastAsia="Times New Roman" w:hAnsi="Times New Roman" w:cs="Times New Roman"/>
          <w:sz w:val="24"/>
          <w:szCs w:val="24"/>
          <w:lang w:val="de-AT" w:eastAsia="de-AT"/>
        </w:rPr>
        <w:t>ChronoGrid adressiert Zeitdarstellung, Zeitarithmetik und Interoperabilität. Folgende Probleme bleiben außerhalb des Scope:</w:t>
      </w:r>
    </w:p>
    <w:p w14:paraId="530C669B" w14:textId="77777777" w:rsidR="00260DEC" w:rsidRPr="00260DEC" w:rsidRDefault="00260DEC" w:rsidP="00260DEC">
      <w:pPr>
        <w:numPr>
          <w:ilvl w:val="0"/>
          <w:numId w:val="210"/>
        </w:numPr>
        <w:spacing w:before="100" w:beforeAutospacing="1" w:after="100" w:afterAutospacing="1" w:line="240" w:lineRule="auto"/>
        <w:rPr>
          <w:rFonts w:ascii="Times New Roman" w:eastAsia="Times New Roman" w:hAnsi="Times New Roman" w:cs="Times New Roman"/>
          <w:sz w:val="24"/>
          <w:szCs w:val="24"/>
          <w:lang w:val="de-AT" w:eastAsia="de-AT"/>
        </w:rPr>
      </w:pPr>
      <w:r>
        <w:rPr>
          <w:rFonts w:ascii="Times New Roman" w:eastAsia="Times New Roman" w:hAnsi="Times New Roman" w:cs="Times New Roman"/>
          <w:b/>
          <w:bCs/>
          <w:sz w:val="24"/>
          <w:szCs w:val="24"/>
          <w:lang w:val="de-AT" w:eastAsia="de-AT"/>
        </w:rPr>
        <w:t>Konsensprobleme in verteilten Systemen</w:t>
      </w:r>
      <w:r>
        <w:rPr>
          <w:rFonts w:ascii="Times New Roman" w:eastAsia="Times New Roman" w:hAnsi="Times New Roman" w:cs="Times New Roman"/>
          <w:sz w:val="24"/>
          <w:szCs w:val="24"/>
          <w:lang w:val="de-AT" w:eastAsia="de-AT"/>
        </w:rPr>
        <w:t>: Blockchain-Zeitstempel-Manipulation ist ein Trust- und Konsensproblem, kein Formatproblem. ChronoGrid liefert eine externe Zeitreferenz, ersetzt aber kein Konsensprotokoll.</w:t>
      </w:r>
    </w:p>
    <w:p w14:paraId="1DC924C6" w14:textId="77777777" w:rsidR="00260DEC" w:rsidRPr="00260DEC" w:rsidRDefault="00260DEC" w:rsidP="00260DEC">
      <w:pPr>
        <w:numPr>
          <w:ilvl w:val="0"/>
          <w:numId w:val="210"/>
        </w:numPr>
        <w:spacing w:before="100" w:beforeAutospacing="1" w:after="100" w:afterAutospacing="1" w:line="240" w:lineRule="auto"/>
        <w:rPr>
          <w:rFonts w:ascii="Times New Roman" w:eastAsia="Times New Roman" w:hAnsi="Times New Roman" w:cs="Times New Roman"/>
          <w:sz w:val="24"/>
          <w:szCs w:val="24"/>
          <w:lang w:val="de-AT" w:eastAsia="de-AT"/>
        </w:rPr>
      </w:pPr>
      <w:r>
        <w:rPr>
          <w:rFonts w:ascii="Times New Roman" w:eastAsia="Times New Roman" w:hAnsi="Times New Roman" w:cs="Times New Roman"/>
          <w:b/>
          <w:bCs/>
          <w:sz w:val="24"/>
          <w:szCs w:val="24"/>
          <w:lang w:val="de-AT" w:eastAsia="de-AT"/>
        </w:rPr>
        <w:t>Physikalische Zeitsynchronisation</w:t>
      </w:r>
      <w:r>
        <w:rPr>
          <w:rFonts w:ascii="Times New Roman" w:eastAsia="Times New Roman" w:hAnsi="Times New Roman" w:cs="Times New Roman"/>
          <w:sz w:val="24"/>
          <w:szCs w:val="24"/>
          <w:lang w:val="de-AT" w:eastAsia="de-AT"/>
        </w:rPr>
        <w:t>: NTP/PTP-Genauigkeit und Netzwerk-Jitter sind Hardware- und Protokollprobleme; ChronoGrid setzt auf synchronisierten Zeitquellen auf.</w:t>
      </w:r>
    </w:p>
    <w:p w14:paraId="489478F3" w14:textId="77777777" w:rsidR="00260DEC" w:rsidRPr="00260DEC" w:rsidRDefault="00260DEC" w:rsidP="00260DEC">
      <w:pPr>
        <w:numPr>
          <w:ilvl w:val="0"/>
          <w:numId w:val="210"/>
        </w:numPr>
        <w:spacing w:before="100" w:beforeAutospacing="1" w:after="100" w:afterAutospacing="1" w:line="240" w:lineRule="auto"/>
        <w:rPr>
          <w:rFonts w:ascii="Times New Roman" w:eastAsia="Times New Roman" w:hAnsi="Times New Roman" w:cs="Times New Roman"/>
          <w:sz w:val="24"/>
          <w:szCs w:val="24"/>
          <w:lang w:val="de-AT" w:eastAsia="de-AT"/>
        </w:rPr>
      </w:pPr>
      <w:r>
        <w:rPr>
          <w:rFonts w:ascii="Times New Roman" w:eastAsia="Times New Roman" w:hAnsi="Times New Roman" w:cs="Times New Roman"/>
          <w:b/>
          <w:bCs/>
          <w:sz w:val="24"/>
          <w:szCs w:val="24"/>
          <w:lang w:val="de-AT" w:eastAsia="de-AT"/>
        </w:rPr>
        <w:t>Adoption</w:t>
      </w:r>
      <w:r>
        <w:rPr>
          <w:rFonts w:ascii="Times New Roman" w:eastAsia="Times New Roman" w:hAnsi="Times New Roman" w:cs="Times New Roman"/>
          <w:sz w:val="24"/>
          <w:szCs w:val="24"/>
          <w:lang w:val="de-AT" w:eastAsia="de-AT"/>
        </w:rPr>
        <w:t>: Die praktische Wirkung hängt von Adoption durch Plattformen, Datenbanken und Standards ab. Ohne Referenzimplementierung sind Interoperabilitätsgewinne theoretisch.</w:t>
      </w:r>
    </w:p>
    <w:p w14:paraId="02F0E4E3" w14:textId="77777777" w:rsidR="00260DEC" w:rsidRPr="00260DEC" w:rsidRDefault="00260DEC" w:rsidP="00260DEC">
      <w:pPr>
        <w:numPr>
          <w:ilvl w:val="0"/>
          <w:numId w:val="210"/>
        </w:numPr>
        <w:spacing w:before="100" w:beforeAutospacing="1" w:after="100" w:afterAutospacing="1" w:line="240" w:lineRule="auto"/>
        <w:rPr>
          <w:rFonts w:ascii="Times New Roman" w:eastAsia="Times New Roman" w:hAnsi="Times New Roman" w:cs="Times New Roman"/>
          <w:sz w:val="24"/>
          <w:szCs w:val="24"/>
          <w:lang w:val="de-AT" w:eastAsia="de-AT"/>
        </w:rPr>
      </w:pPr>
      <w:r>
        <w:rPr>
          <w:rFonts w:ascii="Times New Roman" w:eastAsia="Times New Roman" w:hAnsi="Times New Roman" w:cs="Times New Roman"/>
          <w:b/>
          <w:bCs/>
          <w:sz w:val="24"/>
          <w:szCs w:val="24"/>
          <w:lang w:val="de-AT" w:eastAsia="de-AT"/>
        </w:rPr>
        <w:t>Empirische Belege</w:t>
      </w:r>
      <w:r>
        <w:rPr>
          <w:rFonts w:ascii="Times New Roman" w:eastAsia="Times New Roman" w:hAnsi="Times New Roman" w:cs="Times New Roman"/>
          <w:sz w:val="24"/>
          <w:szCs w:val="24"/>
          <w:lang w:val="de-AT" w:eastAsia="de-AT"/>
        </w:rPr>
        <w:t>: Kompressionsgewinne, Parsing-Geschwindigkeit und Fehlerreduktion sind analytisch plausibel, aber noch nicht durch Benchmarks oder Fallstudien belegt (geplant für v2.0).</w:t>
      </w:r>
    </w:p>
    <w:p w14:paraId="32A01001" w14:textId="77777777" w:rsidR="00000000" w:rsidRDefault="00000000">
      <w:pPr>
        <w:spacing w:before="60" w:after="60"/>
        <w:rPr>
          <w:lang w:val="de-AT" w:eastAsia="de-AT"/>
        </w:rPr>
      </w:pPr>
    </w:p>
    <w:p w14:paraId="32A01002" w14:textId="77777777" w:rsidR="00000000" w:rsidRDefault="00000000">
      <w:pPr>
        <w:pStyle w:val="berschrift2"/>
        <w:rPr>
          <w:lang w:val="de-AT" w:eastAsia="de-AT"/>
        </w:rPr>
      </w:pPr>
      <w:bookmarkStart w:id="312" w:name="_Toc226452033"/>
      <w:r>
        <w:rPr>
          <w:lang w:val="de-AT" w:eastAsia="de-AT"/>
        </w:rPr>
        <w:t>Anhang E: Kanonische Problem-Szenarien (CG-STD-0001)</w:t>
      </w:r>
      <w:bookmarkEnd w:id="312"/>
    </w:p>
    <w:p w14:paraId="32A01003" w14:textId="77777777" w:rsidR="00000000" w:rsidRDefault="00000000">
      <w:pPr>
        <w:spacing w:before="60" w:after="60"/>
        <w:rPr>
          <w:lang w:val="de-AT" w:eastAsia="de-AT"/>
        </w:rPr>
      </w:pPr>
      <w:r>
        <w:rPr>
          <w:rFonts w:ascii="Calibri" w:eastAsia="Calibri" w:hAnsi="Calibri" w:cs="Calibri"/>
          <w:color w:val="1A1A1A"/>
          <w:lang w:val="de-AT" w:eastAsia="de-AT"/>
        </w:rPr>
        <w:t>Der folgende Katalog dokumentiert elf kanonische Zeitdarstellungsprobleme die ChronoGrid adressiert. Jedes Szenario zeigt das Versagen bestehender Systeme und die spezifische ChronoGrid-Invariante, die das Problem strukturell löst. Quelle: CG-STD-0001 – Canonical Problem Scenarios (normatives Testdokument zur Validierung der ChronoGrid-Semantik, Mapping-Logik und Invarianten).</w:t>
      </w:r>
    </w:p>
    <w:tbl>
      <w:tblPr>
        <w:tblW w:w="9000" w:type="dxa"/>
        <w:tblBorders>
          <w:top w:val="single" w:sz="4" w:space="0" w:color="C8D8E8"/>
          <w:left w:val="single" w:sz="4" w:space="0" w:color="C8D8E8"/>
          <w:bottom w:val="single" w:sz="4" w:space="0" w:color="C8D8E8"/>
          <w:right w:val="single" w:sz="4" w:space="0" w:color="C8D8E8"/>
          <w:insideH w:val="single" w:sz="4" w:space="0" w:color="C8D8E8"/>
          <w:insideV w:val="single" w:sz="4" w:space="0" w:color="C8D8E8"/>
        </w:tblBorders>
        <w:tblCellMar>
          <w:top w:w="60" w:type="dxa"/>
          <w:left w:w="80" w:type="dxa"/>
          <w:bottom w:w="60" w:type="dxa"/>
          <w:right w:w="80" w:type="dxa"/>
        </w:tblCellMar>
        <w:tblLook w:val="04A0" w:firstRow="1" w:lastRow="0" w:firstColumn="1" w:lastColumn="0" w:noHBand="0" w:noVBand="1"/>
      </w:tblPr>
      <w:tblGrid>
        <w:gridCol w:w="1596"/>
        <w:gridCol w:w="2356"/>
        <w:gridCol w:w="2711"/>
        <w:gridCol w:w="2337"/>
      </w:tblGrid>
      <w:tr w:rsidR="00C1200C" w14:paraId="68373C48" w14:textId="77777777">
        <w:trPr>
          <w:tblHeader/>
        </w:trPr>
        <w:tc>
          <w:tcPr>
            <w:tcW w:w="1400" w:type="dxa"/>
            <w:shd w:val="clear" w:color="auto" w:fill="1B3A6B"/>
          </w:tcPr>
          <w:p w14:paraId="3BDA407B" w14:textId="77777777" w:rsidR="003A5626" w:rsidRDefault="00000000">
            <w:r>
              <w:rPr>
                <w:b/>
                <w:color w:val="FFFFFF"/>
                <w:sz w:val="19"/>
              </w:rPr>
              <w:t>Szenario</w:t>
            </w:r>
          </w:p>
        </w:tc>
        <w:tc>
          <w:tcPr>
            <w:tcW w:w="2400" w:type="dxa"/>
            <w:shd w:val="clear" w:color="auto" w:fill="1B3A6B"/>
          </w:tcPr>
          <w:p w14:paraId="3EE884DA" w14:textId="77777777" w:rsidR="003A5626" w:rsidRDefault="00000000">
            <w:r>
              <w:rPr>
                <w:b/>
                <w:color w:val="FFFFFF"/>
                <w:sz w:val="19"/>
              </w:rPr>
              <w:t>Problem / Eingabe</w:t>
            </w:r>
          </w:p>
        </w:tc>
        <w:tc>
          <w:tcPr>
            <w:tcW w:w="2800" w:type="dxa"/>
            <w:shd w:val="clear" w:color="auto" w:fill="1B3A6B"/>
          </w:tcPr>
          <w:p w14:paraId="793D74AF" w14:textId="77777777" w:rsidR="003A5626" w:rsidRDefault="00000000">
            <w:r>
              <w:rPr>
                <w:b/>
                <w:color w:val="FFFFFF"/>
                <w:sz w:val="19"/>
              </w:rPr>
              <w:t>Versagen bestehender Systeme</w:t>
            </w:r>
          </w:p>
        </w:tc>
        <w:tc>
          <w:tcPr>
            <w:tcW w:w="2400" w:type="dxa"/>
            <w:shd w:val="clear" w:color="auto" w:fill="1B3A6B"/>
          </w:tcPr>
          <w:p w14:paraId="45B26771" w14:textId="77777777" w:rsidR="003A5626" w:rsidRDefault="00000000">
            <w:r>
              <w:rPr>
                <w:b/>
                <w:color w:val="FFFFFF"/>
                <w:sz w:val="19"/>
              </w:rPr>
              <w:t>ChronoGrid-Invariante / Lösung</w:t>
            </w:r>
          </w:p>
        </w:tc>
      </w:tr>
      <w:tr w:rsidR="00C1200C" w:rsidRPr="003B732C" w14:paraId="3847B49B" w14:textId="77777777">
        <w:tc>
          <w:tcPr>
            <w:tcW w:w="1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2A107504" w14:textId="77777777" w:rsidR="003A5626" w:rsidRDefault="00000000">
            <w:pPr>
              <w:spacing w:before="20" w:after="20"/>
            </w:pPr>
            <w:r>
              <w:rPr>
                <w:rFonts w:ascii="Calibri" w:hAnsi="Calibri"/>
                <w:b/>
                <w:bCs/>
                <w:color w:val="1B3A6B"/>
                <w:sz w:val="19"/>
                <w:szCs w:val="19"/>
              </w:rPr>
              <w:t>S1 DST Nicht-Existenz</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5465F2A5" w14:textId="77777777" w:rsidR="003A5626" w:rsidRPr="003B732C" w:rsidRDefault="00000000">
            <w:pPr>
              <w:spacing w:before="20" w:after="20"/>
              <w:rPr>
                <w:lang w:val="de-AT"/>
              </w:rPr>
            </w:pPr>
            <w:r>
              <w:rPr>
                <w:rFonts w:ascii="Calibri" w:hAnsi="Calibri"/>
                <w:color w:val="1A1A1A"/>
                <w:sz w:val="19"/>
                <w:szCs w:val="19"/>
                <w:lang w:val="de-AT"/>
              </w:rPr>
              <w:t>2026-03-29 02:30 Europe/Vienna existiert nicht (Sommerzeitsprung)</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661A75C3" w14:textId="77777777" w:rsidR="003A5626" w:rsidRPr="003B732C" w:rsidRDefault="00000000">
            <w:pPr>
              <w:spacing w:before="20" w:after="20"/>
              <w:rPr>
                <w:lang w:val="de-AT"/>
              </w:rPr>
            </w:pPr>
            <w:r>
              <w:rPr>
                <w:rFonts w:ascii="Calibri" w:hAnsi="Calibri"/>
                <w:color w:val="1A1A1A"/>
                <w:sz w:val="19"/>
                <w:szCs w:val="19"/>
                <w:lang w:val="de-AT"/>
              </w:rPr>
              <w:t>Systeme korrigieren still oder werfen keinen Fehler</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2024A12B" w14:textId="77777777" w:rsidR="003A5626" w:rsidRPr="003B732C" w:rsidRDefault="00000000">
            <w:pPr>
              <w:spacing w:before="20" w:after="20"/>
              <w:rPr>
                <w:lang w:val="de-AT"/>
              </w:rPr>
            </w:pPr>
            <w:r>
              <w:rPr>
                <w:rFonts w:ascii="Calibri" w:hAnsi="Calibri"/>
                <w:color w:val="1A1A1A"/>
                <w:sz w:val="19"/>
                <w:szCs w:val="19"/>
                <w:lang w:val="de-AT"/>
              </w:rPr>
              <w:t>Keine stillschweigende Korrektur ungültiger Zeit (I-R1)</w:t>
            </w:r>
          </w:p>
        </w:tc>
      </w:tr>
      <w:tr w:rsidR="00C1200C" w:rsidRPr="003B732C" w14:paraId="735FF00A" w14:textId="77777777">
        <w:tc>
          <w:tcPr>
            <w:tcW w:w="1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31E86AD0" w14:textId="77777777" w:rsidR="003A5626" w:rsidRDefault="00000000">
            <w:pPr>
              <w:spacing w:before="20" w:after="20"/>
            </w:pPr>
            <w:r>
              <w:rPr>
                <w:rFonts w:ascii="Calibri" w:hAnsi="Calibri"/>
                <w:b/>
                <w:bCs/>
                <w:color w:val="1B3A6B"/>
                <w:sz w:val="19"/>
                <w:szCs w:val="19"/>
              </w:rPr>
              <w:t>S2 DST Doppelte Zeit</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3C56727F" w14:textId="77777777" w:rsidR="003A5626" w:rsidRPr="003B732C" w:rsidRDefault="00000000">
            <w:pPr>
              <w:spacing w:before="20" w:after="20"/>
              <w:rPr>
                <w:lang w:val="de-AT"/>
              </w:rPr>
            </w:pPr>
            <w:r>
              <w:rPr>
                <w:rFonts w:ascii="Calibri" w:hAnsi="Calibri"/>
                <w:color w:val="1A1A1A"/>
                <w:sz w:val="19"/>
                <w:szCs w:val="19"/>
                <w:lang w:val="de-AT"/>
              </w:rPr>
              <w:t>2026-10-25 02:30 Europe/Vienna tritt zweimal auf (Rückstellung)</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B73502C" w14:textId="77777777" w:rsidR="003A5626" w:rsidRPr="003B732C" w:rsidRDefault="00000000">
            <w:pPr>
              <w:spacing w:before="20" w:after="20"/>
              <w:rPr>
                <w:lang w:val="de-AT"/>
              </w:rPr>
            </w:pPr>
            <w:r>
              <w:rPr>
                <w:rFonts w:ascii="Calibri" w:hAnsi="Calibri"/>
                <w:color w:val="1A1A1A"/>
                <w:sz w:val="19"/>
                <w:szCs w:val="19"/>
                <w:lang w:val="de-AT"/>
              </w:rPr>
              <w:t>Systeme wählen implizit eine Variante</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71D7803F" w14:textId="77777777" w:rsidR="003A5626" w:rsidRPr="003B732C" w:rsidRDefault="00000000">
            <w:pPr>
              <w:spacing w:before="20" w:after="20"/>
              <w:rPr>
                <w:lang w:val="de-AT"/>
              </w:rPr>
            </w:pPr>
            <w:r>
              <w:rPr>
                <w:rFonts w:ascii="Calibri" w:hAnsi="Calibri"/>
                <w:color w:val="1A1A1A"/>
                <w:sz w:val="19"/>
                <w:szCs w:val="19"/>
                <w:lang w:val="de-AT"/>
              </w:rPr>
              <w:t>Ambiguität muss explizit behandelt werden</w:t>
            </w:r>
          </w:p>
        </w:tc>
      </w:tr>
      <w:tr w:rsidR="00C1200C" w:rsidRPr="003B732C" w14:paraId="6B328A2D" w14:textId="77777777">
        <w:tc>
          <w:tcPr>
            <w:tcW w:w="1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428892EA" w14:textId="77777777" w:rsidR="003A5626" w:rsidRDefault="00000000">
            <w:pPr>
              <w:spacing w:before="20" w:after="20"/>
            </w:pPr>
            <w:r>
              <w:rPr>
                <w:rFonts w:ascii="Calibri" w:hAnsi="Calibri"/>
                <w:b/>
                <w:bCs/>
                <w:color w:val="1B3A6B"/>
                <w:sz w:val="19"/>
                <w:szCs w:val="19"/>
              </w:rPr>
              <w:t>S3 Schaltsekunde</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0C78E86A" w14:textId="77777777" w:rsidR="003A5626" w:rsidRPr="003B732C" w:rsidRDefault="00000000">
            <w:pPr>
              <w:spacing w:before="20" w:after="20"/>
              <w:rPr>
                <w:lang w:val="de-AT"/>
              </w:rPr>
            </w:pPr>
            <w:r>
              <w:rPr>
                <w:rFonts w:ascii="Calibri" w:hAnsi="Calibri"/>
                <w:color w:val="1A1A1A"/>
                <w:sz w:val="19"/>
                <w:szCs w:val="19"/>
                <w:lang w:val="de-AT"/>
              </w:rPr>
              <w:t>2016-12-31 23:59:60 UTC — POSIX ignoriert sie, UTC zählt sie</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1578CFFA" w14:textId="77777777" w:rsidR="003A5626" w:rsidRPr="003B732C" w:rsidRDefault="00000000">
            <w:pPr>
              <w:spacing w:before="20" w:after="20"/>
              <w:rPr>
                <w:lang w:val="de-AT"/>
              </w:rPr>
            </w:pPr>
            <w:r>
              <w:rPr>
                <w:rFonts w:ascii="Calibri" w:hAnsi="Calibri"/>
                <w:color w:val="1A1A1A"/>
                <w:sz w:val="19"/>
                <w:szCs w:val="19"/>
                <w:lang w:val="de-AT"/>
              </w:rPr>
              <w:t>POSIX ignoriert, UTC zählt: unterschiedliche Ergebnisse</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56CF5667" w14:textId="77777777" w:rsidR="003A5626" w:rsidRPr="003B732C" w:rsidRDefault="00000000">
            <w:pPr>
              <w:spacing w:before="20" w:after="20"/>
              <w:rPr>
                <w:lang w:val="de-AT"/>
              </w:rPr>
            </w:pPr>
            <w:r>
              <w:rPr>
                <w:rFonts w:ascii="Calibri" w:hAnsi="Calibri"/>
                <w:color w:val="1A1A1A"/>
                <w:sz w:val="19"/>
                <w:szCs w:val="19"/>
                <w:lang w:val="de-AT"/>
              </w:rPr>
              <w:t>Domain bestimmt Gültigkeit; TAI ist monoton (I-R1)</w:t>
            </w:r>
          </w:p>
        </w:tc>
      </w:tr>
      <w:tr w:rsidR="00C1200C" w:rsidRPr="003B732C" w14:paraId="723426BB" w14:textId="77777777">
        <w:tc>
          <w:tcPr>
            <w:tcW w:w="1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0CEBDB9C" w14:textId="77777777" w:rsidR="003A5626" w:rsidRDefault="00000000">
            <w:pPr>
              <w:spacing w:before="20" w:after="20"/>
            </w:pPr>
            <w:r>
              <w:rPr>
                <w:rFonts w:ascii="Calibri" w:hAnsi="Calibri"/>
                <w:b/>
                <w:bCs/>
                <w:color w:val="1B3A6B"/>
                <w:sz w:val="19"/>
                <w:szCs w:val="19"/>
              </w:rPr>
              <w:t>S4 Monatsarithmetik</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4F549B81" w14:textId="77777777" w:rsidR="003A5626" w:rsidRDefault="00000000">
            <w:pPr>
              <w:spacing w:before="20" w:after="20"/>
            </w:pPr>
            <w:r>
              <w:rPr>
                <w:rFonts w:ascii="Calibri" w:hAnsi="Calibri"/>
                <w:color w:val="1A1A1A"/>
                <w:sz w:val="19"/>
                <w:szCs w:val="19"/>
              </w:rPr>
              <w:t>2024-01-31 + 1 Monat: kein einheitliches Ergebnis</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7BDE87AA" w14:textId="77777777" w:rsidR="003A5626" w:rsidRPr="003B732C" w:rsidRDefault="00000000">
            <w:pPr>
              <w:spacing w:before="20" w:after="20"/>
              <w:rPr>
                <w:lang w:val="de-AT"/>
              </w:rPr>
            </w:pPr>
            <w:r>
              <w:rPr>
                <w:rFonts w:ascii="Calibri" w:hAnsi="Calibri"/>
                <w:color w:val="1A1A1A"/>
                <w:sz w:val="19"/>
                <w:szCs w:val="19"/>
                <w:lang w:val="de-AT"/>
              </w:rPr>
              <w:t>Java, Python, SQL liefern verschiedene Ergebnisse</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230782DD" w14:textId="77777777" w:rsidR="003A5626" w:rsidRPr="003B732C" w:rsidRDefault="00000000">
            <w:pPr>
              <w:spacing w:before="20" w:after="20"/>
              <w:rPr>
                <w:lang w:val="de-AT"/>
              </w:rPr>
            </w:pPr>
            <w:r>
              <w:rPr>
                <w:rFonts w:ascii="Calibri" w:hAnsi="Calibri"/>
                <w:color w:val="1A1A1A"/>
                <w:sz w:val="19"/>
                <w:szCs w:val="19"/>
                <w:lang w:val="de-AT"/>
              </w:rPr>
              <w:t>Arithmetik ist Domain-abhängig und explizit definiert</w:t>
            </w:r>
          </w:p>
        </w:tc>
      </w:tr>
      <w:tr w:rsidR="00C1200C" w:rsidRPr="003B732C" w14:paraId="281EC342" w14:textId="77777777">
        <w:tc>
          <w:tcPr>
            <w:tcW w:w="1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55BEDAF4" w14:textId="77777777" w:rsidR="003A5626" w:rsidRDefault="00000000">
            <w:pPr>
              <w:spacing w:before="20" w:after="20"/>
            </w:pPr>
            <w:r>
              <w:rPr>
                <w:rFonts w:ascii="Calibri" w:hAnsi="Calibri"/>
                <w:b/>
                <w:bCs/>
                <w:color w:val="1B3A6B"/>
                <w:sz w:val="19"/>
                <w:szCs w:val="19"/>
              </w:rPr>
              <w:lastRenderedPageBreak/>
              <w:t>S5 Kalender-Interoperabilität</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15E2A8C5" w14:textId="77777777" w:rsidR="003A5626" w:rsidRDefault="00000000">
            <w:pPr>
              <w:spacing w:before="20" w:after="20"/>
            </w:pPr>
            <w:r>
              <w:rPr>
                <w:rFonts w:ascii="Calibri" w:hAnsi="Calibri"/>
                <w:color w:val="1A1A1A"/>
                <w:sz w:val="19"/>
                <w:szCs w:val="19"/>
              </w:rPr>
              <w:t>Outlook → Google → Apple: Roundtrip verschiebt Events</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33715726" w14:textId="77777777" w:rsidR="003A5626" w:rsidRPr="003B732C" w:rsidRDefault="00000000">
            <w:pPr>
              <w:spacing w:before="20" w:after="20"/>
              <w:rPr>
                <w:lang w:val="de-AT"/>
              </w:rPr>
            </w:pPr>
            <w:r>
              <w:rPr>
                <w:rFonts w:ascii="Calibri" w:hAnsi="Calibri"/>
                <w:color w:val="1A1A1A"/>
                <w:sz w:val="19"/>
                <w:szCs w:val="19"/>
                <w:lang w:val="de-AT"/>
              </w:rPr>
              <w:t>Timezone-Interpretation divergiert zwischen Anbietern</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1E290E85" w14:textId="77777777" w:rsidR="003A5626" w:rsidRPr="003B732C" w:rsidRDefault="00000000">
            <w:pPr>
              <w:spacing w:before="20" w:after="20"/>
              <w:rPr>
                <w:lang w:val="sv-SE"/>
              </w:rPr>
            </w:pPr>
            <w:r>
              <w:rPr>
                <w:rFonts w:ascii="Calibri" w:hAnsi="Calibri"/>
                <w:color w:val="1A1A1A"/>
                <w:sz w:val="19"/>
                <w:szCs w:val="19"/>
                <w:lang w:val="sv-SE"/>
              </w:rPr>
              <w:t>Roundtrip-Invarianz: CGTA bleibt unverändert (I-M1)</w:t>
            </w:r>
          </w:p>
        </w:tc>
      </w:tr>
      <w:tr w:rsidR="00C1200C" w:rsidRPr="003B732C" w14:paraId="4CDD43A0" w14:textId="77777777">
        <w:tc>
          <w:tcPr>
            <w:tcW w:w="1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3F3584A2" w14:textId="77777777" w:rsidR="003A5626" w:rsidRDefault="00000000">
            <w:pPr>
              <w:spacing w:before="20" w:after="20"/>
            </w:pPr>
            <w:r>
              <w:rPr>
                <w:rFonts w:ascii="Calibri" w:hAnsi="Calibri"/>
                <w:b/>
                <w:bCs/>
                <w:color w:val="1B3A6B"/>
                <w:sz w:val="19"/>
                <w:szCs w:val="19"/>
              </w:rPr>
              <w:t>S6 Year 2038</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032E0389" w14:textId="77777777" w:rsidR="003A5626" w:rsidRPr="003B732C" w:rsidRDefault="00000000">
            <w:pPr>
              <w:spacing w:before="20" w:after="20"/>
              <w:rPr>
                <w:lang w:val="de-AT"/>
              </w:rPr>
            </w:pPr>
            <w:r>
              <w:rPr>
                <w:rFonts w:ascii="Calibri" w:hAnsi="Calibri"/>
                <w:color w:val="1A1A1A"/>
                <w:sz w:val="19"/>
                <w:szCs w:val="19"/>
                <w:lang w:val="de-AT"/>
              </w:rPr>
              <w:t>2038-01-19: 32-bit Unix-Timestamp läuft über</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174A5997" w14:textId="77777777" w:rsidR="003A5626" w:rsidRPr="003B732C" w:rsidRDefault="00000000">
            <w:pPr>
              <w:spacing w:before="20" w:after="20"/>
              <w:rPr>
                <w:lang w:val="de-AT"/>
              </w:rPr>
            </w:pPr>
            <w:r>
              <w:rPr>
                <w:rFonts w:ascii="Calibri" w:hAnsi="Calibri"/>
                <w:color w:val="1A1A1A"/>
                <w:sz w:val="19"/>
                <w:szCs w:val="19"/>
                <w:lang w:val="de-AT"/>
              </w:rPr>
              <w:t>32-bit Systeme brechen, Workarounds nötig</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1A5BBFE4" w14:textId="77777777" w:rsidR="003A5626" w:rsidRPr="003B732C" w:rsidRDefault="00000000">
            <w:pPr>
              <w:spacing w:before="20" w:after="20"/>
              <w:rPr>
                <w:lang w:val="de-AT"/>
              </w:rPr>
            </w:pPr>
            <w:r>
              <w:rPr>
                <w:rFonts w:ascii="Calibri" w:hAnsi="Calibri"/>
                <w:color w:val="1A1A1A"/>
                <w:sz w:val="19"/>
                <w:szCs w:val="19"/>
                <w:lang w:val="de-AT"/>
              </w:rPr>
              <w:t>ℤ∞-Arithmetik: kein Overflow, unbegrenzte Darstellung</w:t>
            </w:r>
          </w:p>
        </w:tc>
      </w:tr>
      <w:tr w:rsidR="00C1200C" w:rsidRPr="003B732C" w14:paraId="778CCC50" w14:textId="77777777">
        <w:tc>
          <w:tcPr>
            <w:tcW w:w="1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5F783AFF" w14:textId="77777777" w:rsidR="003A5626" w:rsidRDefault="00000000">
            <w:pPr>
              <w:spacing w:before="20" w:after="20"/>
            </w:pPr>
            <w:r>
              <w:rPr>
                <w:rFonts w:ascii="Calibri" w:hAnsi="Calibri"/>
                <w:b/>
                <w:bCs/>
                <w:color w:val="1B3A6B"/>
                <w:sz w:val="19"/>
                <w:szCs w:val="19"/>
              </w:rPr>
              <w:t>S7 Excel 1900-02-29</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227C3BBB" w14:textId="77777777" w:rsidR="003A5626" w:rsidRDefault="00000000">
            <w:pPr>
              <w:spacing w:before="20" w:after="20"/>
            </w:pPr>
            <w:r>
              <w:rPr>
                <w:rFonts w:ascii="Calibri" w:hAnsi="Calibri"/>
                <w:color w:val="1A1A1A"/>
                <w:sz w:val="19"/>
                <w:szCs w:val="19"/>
              </w:rPr>
              <w:t>Excel Serial 60 → 1900-02-29 (existiert nicht)</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130C286A" w14:textId="77777777" w:rsidR="003A5626" w:rsidRPr="003B732C" w:rsidRDefault="00000000">
            <w:pPr>
              <w:spacing w:before="20" w:after="20"/>
              <w:rPr>
                <w:lang w:val="de-AT"/>
              </w:rPr>
            </w:pPr>
            <w:r>
              <w:rPr>
                <w:rFonts w:ascii="Calibri" w:hAnsi="Calibri"/>
                <w:color w:val="1A1A1A"/>
                <w:sz w:val="19"/>
                <w:szCs w:val="19"/>
                <w:lang w:val="de-AT"/>
              </w:rPr>
              <w:t>Excel akzeptiert falsches Datum stillschweigend</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547715D1" w14:textId="77777777" w:rsidR="003A5626" w:rsidRPr="003B732C" w:rsidRDefault="00000000">
            <w:pPr>
              <w:spacing w:before="20" w:after="20"/>
              <w:rPr>
                <w:lang w:val="de-AT"/>
              </w:rPr>
            </w:pPr>
            <w:r>
              <w:rPr>
                <w:rFonts w:ascii="Calibri" w:hAnsi="Calibri"/>
                <w:color w:val="1A1A1A"/>
                <w:sz w:val="19"/>
                <w:szCs w:val="19"/>
                <w:lang w:val="de-AT"/>
              </w:rPr>
              <w:t>Mathematische Korrektheit: ungültige Daten werden abgelehnt</w:t>
            </w:r>
          </w:p>
        </w:tc>
      </w:tr>
      <w:tr w:rsidR="00C1200C" w:rsidRPr="003B732C" w14:paraId="1E2E4EEA" w14:textId="77777777">
        <w:tc>
          <w:tcPr>
            <w:tcW w:w="1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6F870DA6" w14:textId="77777777" w:rsidR="003A5626" w:rsidRDefault="00000000">
            <w:pPr>
              <w:spacing w:before="20" w:after="20"/>
            </w:pPr>
            <w:r>
              <w:rPr>
                <w:rFonts w:ascii="Calibri" w:hAnsi="Calibri"/>
                <w:b/>
                <w:bCs/>
                <w:color w:val="1B3A6B"/>
                <w:sz w:val="19"/>
                <w:szCs w:val="19"/>
              </w:rPr>
              <w:t>S8 Verteilte Systeme</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2B238B6C" w14:textId="77777777" w:rsidR="003A5626" w:rsidRDefault="00000000">
            <w:pPr>
              <w:spacing w:before="20" w:after="20"/>
            </w:pPr>
            <w:r>
              <w:rPr>
                <w:rFonts w:ascii="Calibri" w:hAnsi="Calibri"/>
                <w:color w:val="1A1A1A"/>
                <w:sz w:val="19"/>
                <w:szCs w:val="19"/>
              </w:rPr>
              <w:t>Event A vs. Event B: unsynchrone Uhren, nur lokale Kausalität</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0DA87A4A" w14:textId="77777777" w:rsidR="003A5626" w:rsidRPr="003B732C" w:rsidRDefault="00000000">
            <w:pPr>
              <w:spacing w:before="20" w:after="20"/>
              <w:rPr>
                <w:lang w:val="de-AT"/>
              </w:rPr>
            </w:pPr>
            <w:r>
              <w:rPr>
                <w:rFonts w:ascii="Calibri" w:hAnsi="Calibri"/>
                <w:color w:val="1A1A1A"/>
                <w:sz w:val="19"/>
                <w:szCs w:val="19"/>
                <w:lang w:val="de-AT"/>
              </w:rPr>
              <w:t>Zeitstempel nicht vergleichbar ohne globale Referenz</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13682A60" w14:textId="77777777" w:rsidR="003A5626" w:rsidRPr="003B732C" w:rsidRDefault="00000000">
            <w:pPr>
              <w:spacing w:before="20" w:after="20"/>
              <w:rPr>
                <w:lang w:val="de-AT"/>
              </w:rPr>
            </w:pPr>
            <w:r>
              <w:rPr>
                <w:rFonts w:ascii="Calibri" w:hAnsi="Calibri"/>
                <w:color w:val="1A1A1A"/>
                <w:sz w:val="19"/>
                <w:szCs w:val="19"/>
                <w:lang w:val="de-AT"/>
              </w:rPr>
              <w:t>TAI als globale monotone Referenz ermöglicht Ordnung (I-R2)</w:t>
            </w:r>
          </w:p>
        </w:tc>
      </w:tr>
      <w:tr w:rsidR="00C1200C" w:rsidRPr="003B732C" w14:paraId="0A435402" w14:textId="77777777">
        <w:tc>
          <w:tcPr>
            <w:tcW w:w="1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719616A9" w14:textId="77777777" w:rsidR="003A5626" w:rsidRDefault="00000000">
            <w:pPr>
              <w:spacing w:before="20" w:after="20"/>
            </w:pPr>
            <w:r>
              <w:rPr>
                <w:rFonts w:ascii="Calibri" w:hAnsi="Calibri"/>
                <w:b/>
                <w:bCs/>
                <w:color w:val="1B3A6B"/>
                <w:sz w:val="19"/>
                <w:szCs w:val="19"/>
              </w:rPr>
              <w:t>S9 Log-Forensik</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25F03F51" w14:textId="77777777" w:rsidR="003A5626" w:rsidRPr="003B732C" w:rsidRDefault="00000000">
            <w:pPr>
              <w:spacing w:before="20" w:after="20"/>
              <w:rPr>
                <w:lang w:val="de-AT"/>
              </w:rPr>
            </w:pPr>
            <w:r>
              <w:rPr>
                <w:rFonts w:ascii="Calibri" w:hAnsi="Calibri"/>
                <w:color w:val="1A1A1A"/>
                <w:sz w:val="19"/>
                <w:szCs w:val="19"/>
                <w:lang w:val="de-AT"/>
              </w:rPr>
              <w:t>Multi-source Logs: unterschiedliche Zeitquellen</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0CB9CBE3" w14:textId="77777777" w:rsidR="003A5626" w:rsidRDefault="00000000">
            <w:pPr>
              <w:spacing w:before="20" w:after="20"/>
            </w:pPr>
            <w:r>
              <w:rPr>
                <w:rFonts w:ascii="Calibri" w:hAnsi="Calibri"/>
                <w:color w:val="1A1A1A"/>
                <w:sz w:val="19"/>
                <w:szCs w:val="19"/>
              </w:rPr>
              <w:t>Zeitinkonsistenz verhindert deterministische Reihenfolge</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80" w:type="dxa"/>
              <w:bottom w:w="60" w:type="dxa"/>
              <w:right w:w="80" w:type="dxa"/>
            </w:tcMar>
          </w:tcPr>
          <w:p w14:paraId="4ECF858D" w14:textId="77777777" w:rsidR="003A5626" w:rsidRPr="003B732C" w:rsidRDefault="00000000">
            <w:pPr>
              <w:spacing w:before="20" w:after="20"/>
              <w:rPr>
                <w:lang w:val="de-AT"/>
              </w:rPr>
            </w:pPr>
            <w:r>
              <w:rPr>
                <w:rFonts w:ascii="Calibri" w:hAnsi="Calibri"/>
                <w:color w:val="1A1A1A"/>
                <w:sz w:val="19"/>
                <w:szCs w:val="19"/>
                <w:lang w:val="de-AT"/>
              </w:rPr>
              <w:t>Konsistente Zeitachse über alle Domains (MachineID)</w:t>
            </w:r>
          </w:p>
        </w:tc>
      </w:tr>
      <w:tr w:rsidR="00C1200C" w:rsidRPr="003B732C" w14:paraId="06BCD3FB" w14:textId="77777777">
        <w:tc>
          <w:tcPr>
            <w:tcW w:w="1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3FA85C6" w14:textId="77777777" w:rsidR="003A5626" w:rsidRDefault="00000000">
            <w:pPr>
              <w:spacing w:before="20" w:after="20"/>
            </w:pPr>
            <w:r>
              <w:rPr>
                <w:rFonts w:ascii="Calibri" w:hAnsi="Calibri"/>
                <w:b/>
                <w:bCs/>
                <w:color w:val="1B3A6B"/>
                <w:sz w:val="19"/>
                <w:szCs w:val="19"/>
              </w:rPr>
              <w:t>S10 Blockchain-Zeit</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4CEAEDD9" w14:textId="77777777" w:rsidR="003A5626" w:rsidRDefault="00000000">
            <w:pPr>
              <w:spacing w:before="20" w:after="20"/>
            </w:pPr>
            <w:r>
              <w:rPr>
                <w:rFonts w:ascii="Calibri" w:hAnsi="Calibri"/>
                <w:color w:val="1A1A1A"/>
                <w:sz w:val="19"/>
                <w:szCs w:val="19"/>
              </w:rPr>
              <w:t>Block Timestamp ±15s: manipulierbar, kein Konsens</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6BB36D67" w14:textId="77777777" w:rsidR="003A5626" w:rsidRDefault="00000000">
            <w:pPr>
              <w:spacing w:before="20" w:after="20"/>
            </w:pPr>
            <w:r>
              <w:rPr>
                <w:rFonts w:ascii="Calibri" w:hAnsi="Calibri"/>
                <w:color w:val="1A1A1A"/>
                <w:sz w:val="19"/>
                <w:szCs w:val="19"/>
              </w:rPr>
              <w:t>Zeitstempel können manipuliert werden</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D7904DF" w14:textId="77777777" w:rsidR="003A5626" w:rsidRPr="003B732C" w:rsidRDefault="00000000">
            <w:pPr>
              <w:spacing w:before="20" w:after="20"/>
              <w:rPr>
                <w:lang w:val="de-AT"/>
              </w:rPr>
            </w:pPr>
            <w:r>
              <w:rPr>
                <w:rFonts w:ascii="Calibri" w:hAnsi="Calibri"/>
                <w:color w:val="1A1A1A"/>
                <w:sz w:val="19"/>
                <w:szCs w:val="19"/>
                <w:lang w:val="de-AT"/>
              </w:rPr>
              <w:t>Trennung von Format und Trust: ChronoGrid als Referenz, nicht Wahrheit</w:t>
            </w:r>
          </w:p>
        </w:tc>
      </w:tr>
      <w:tr w:rsidR="00C1200C" w:rsidRPr="003B732C" w14:paraId="5F10D3FB" w14:textId="77777777">
        <w:tc>
          <w:tcPr>
            <w:tcW w:w="1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F1085C6" w14:textId="77777777" w:rsidR="003A5626" w:rsidRDefault="00000000">
            <w:pPr>
              <w:spacing w:before="20" w:after="20"/>
            </w:pPr>
            <w:r>
              <w:rPr>
                <w:rFonts w:ascii="Calibri" w:hAnsi="Calibri"/>
                <w:b/>
                <w:bCs/>
                <w:color w:val="1B3A6B"/>
                <w:sz w:val="19"/>
                <w:szCs w:val="19"/>
              </w:rPr>
              <w:t>S11 QKD Photonen-Kollision</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F10EDD9" w14:textId="77777777" w:rsidR="003A5626" w:rsidRDefault="00000000">
            <w:pPr>
              <w:spacing w:before="20" w:after="20"/>
            </w:pPr>
            <w:r>
              <w:rPr>
                <w:rFonts w:ascii="Calibri" w:hAnsi="Calibri"/>
                <w:color w:val="1A1A1A"/>
                <w:sz w:val="19"/>
                <w:szCs w:val="19"/>
              </w:rPr>
              <w:t>~10⁸ Photonen/s in einer QKD-Link-Domäne: identischer ns-Zeitstempel möglich</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F106D67" w14:textId="77777777" w:rsidR="003A5626" w:rsidRDefault="00000000">
            <w:pPr>
              <w:spacing w:before="20" w:after="20"/>
            </w:pPr>
            <w:r>
              <w:rPr>
                <w:rFonts w:ascii="Calibri" w:hAnsi="Calibri"/>
                <w:color w:val="1A1A1A"/>
                <w:sz w:val="19"/>
                <w:szCs w:val="19"/>
              </w:rPr>
              <w:t>Kein Standard-Protokoll sichert CGTA-Eindeutigkeit unter Hochlast</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80" w:type="dxa"/>
              <w:bottom w:w="60" w:type="dxa"/>
              <w:right w:w="80" w:type="dxa"/>
            </w:tcMar>
          </w:tcPr>
          <w:p w14:paraId="5F1004DF" w14:textId="77777777" w:rsidR="003A5626" w:rsidRPr="003B732C" w:rsidRDefault="00000000">
            <w:pPr>
              <w:spacing w:before="20" w:after="20"/>
              <w:rPr>
                <w:lang w:val="de-AT"/>
              </w:rPr>
            </w:pPr>
            <w:r>
              <w:rPr>
                <w:rFonts w:ascii="Calibri" w:hAnsi="Calibri"/>
                <w:color w:val="1A1A1A"/>
                <w:sz w:val="19"/>
                <w:szCs w:val="19"/>
                <w:lang w:val="de-AT"/>
              </w:rPr>
              <w:t>OP-12-Namespace + ω-Sequenz (I-QKD-1), normativ in CG-STD-6100 v0.5 §7.4</w:t>
            </w:r>
          </w:p>
        </w:tc>
      </w:tr>
    </w:tbl>
    <w:p w14:paraId="32A01004" w14:textId="77777777" w:rsidR="00000000" w:rsidRDefault="00000000">
      <w:pPr>
        <w:spacing w:before="60" w:after="60"/>
        <w:rPr>
          <w:lang w:val="de-AT" w:eastAsia="de-AT"/>
        </w:rPr>
      </w:pPr>
      <w:r>
        <w:rPr>
          <w:rFonts w:ascii="Calibri" w:eastAsia="Calibri" w:hAnsi="Calibri" w:cs="Calibri"/>
          <w:color w:val="1A1A1A"/>
          <w:lang w:val="de-AT" w:eastAsia="de-AT"/>
        </w:rPr>
        <w:t>Die Szenarien S1–S10 sind repräsentativ, nicht erschöpfend. Sie dienen als Mindesttestfälle für konforme Implementierungen (vgl. CG-STD-3100 Kap. 11.2 Testsuite). S1 und S2 (Sommerzeit) sowie S3 (Schaltsekunde) haben direkte Testvektor-Relevanz und sind in der normativen Testsuite referenziert. S6 (Year 2038) und S7 (Excel 1900) belegen die Notwendigkeit von ℤ∞-Arithmetik (CG-STD-0000 Kap. 1.2).</w:t>
      </w:r>
    </w:p>
    <w:sectPr w:rsidR="00C1200C" w:rsidSect="005530CB">
      <w:footerReference w:type="default" r:id="rId9"/>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81A6" w14:textId="77777777" w:rsidR="0048669A" w:rsidRDefault="0048669A">
      <w:pPr>
        <w:spacing w:after="0" w:line="240" w:lineRule="auto"/>
      </w:pPr>
      <w:r>
        <w:separator/>
      </w:r>
    </w:p>
  </w:endnote>
  <w:endnote w:type="continuationSeparator" w:id="0">
    <w:p w14:paraId="350A12A5" w14:textId="77777777" w:rsidR="0048669A" w:rsidRDefault="00486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620A" w14:textId="77777777" w:rsidR="00FC6733" w:rsidRPr="008D0539" w:rsidRDefault="00892948">
    <w:pPr>
      <w:pStyle w:val="Fuzeile"/>
      <w:rPr>
        <w:lang w:val="de-DE"/>
      </w:rPr>
    </w:pPr>
    <w:r>
      <w:rPr>
        <w:lang w:val="de-DE"/>
      </w:rPr>
      <w:tab/>
    </w:r>
    <w:r>
      <w:rPr>
        <w:lang w:val="de-DE"/>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BE32" w14:textId="273FE122" w:rsidR="00416821" w:rsidRPr="008D0539" w:rsidRDefault="00416821">
    <w:pPr>
      <w:pStyle w:val="Fuzeile"/>
      <w:rPr>
        <w:lang w:val="de-DE"/>
      </w:rPr>
    </w:pPr>
    <w:r>
      <w:rPr>
        <w:lang w:val="de-DE"/>
      </w:rPr>
      <w:tab/>
    </w:r>
    <w:r>
      <w:rPr>
        <w:lang w:val="de-DE"/>
      </w:rPr>
      <w:tab/>
    </w:r>
    <w:r w:rsidR="005530CB" w:rsidRPr="005530CB">
      <w:rPr>
        <w:lang w:val="de-DE"/>
      </w:rPr>
      <w:fldChar w:fldCharType="begin"/>
    </w:r>
    <w:r w:rsidR="005530CB" w:rsidRPr="005530CB">
      <w:rPr>
        <w:lang w:val="de-DE"/>
      </w:rPr>
      <w:instrText>PAGE   \* MERGEFORMAT</w:instrText>
    </w:r>
    <w:r w:rsidR="005530CB" w:rsidRPr="005530CB">
      <w:rPr>
        <w:lang w:val="de-DE"/>
      </w:rPr>
      <w:fldChar w:fldCharType="separate"/>
    </w:r>
    <w:r w:rsidR="005530CB" w:rsidRPr="005530CB">
      <w:rPr>
        <w:lang w:val="de-DE"/>
      </w:rPr>
      <w:t>1</w:t>
    </w:r>
    <w:r w:rsidR="005530CB" w:rsidRPr="005530CB">
      <w:rPr>
        <w:lang w:val="de-DE"/>
      </w:rPr>
      <w:fldChar w:fldCharType="end"/>
    </w:r>
    <w:r>
      <w:rPr>
        <w:lang w:val="de-DE"/>
      </w:rPr>
      <w:tab/>
    </w:r>
    <w:r>
      <w:rPr>
        <w:lang w:val="de-DE"/>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230CF" w14:textId="77777777" w:rsidR="0048669A" w:rsidRDefault="0048669A">
      <w:r>
        <w:separator/>
      </w:r>
    </w:p>
  </w:footnote>
  <w:footnote w:type="continuationSeparator" w:id="0">
    <w:p w14:paraId="5747B776" w14:textId="77777777" w:rsidR="0048669A" w:rsidRDefault="00486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6187D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8DFA19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1E462421"/>
    <w:multiLevelType w:val="multilevel"/>
    <w:tmpl w:val="723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028162">
    <w:abstractNumId w:val="8"/>
  </w:num>
  <w:num w:numId="2" w16cid:durableId="996495092">
    <w:abstractNumId w:val="6"/>
  </w:num>
  <w:num w:numId="3" w16cid:durableId="822282400">
    <w:abstractNumId w:val="5"/>
  </w:num>
  <w:num w:numId="4" w16cid:durableId="1008866676">
    <w:abstractNumId w:val="4"/>
  </w:num>
  <w:num w:numId="5" w16cid:durableId="1830051155">
    <w:abstractNumId w:val="7"/>
  </w:num>
  <w:num w:numId="6" w16cid:durableId="394353262">
    <w:abstractNumId w:val="3"/>
  </w:num>
  <w:num w:numId="7" w16cid:durableId="1213731796">
    <w:abstractNumId w:val="2"/>
  </w:num>
  <w:num w:numId="8" w16cid:durableId="1918592077">
    <w:abstractNumId w:val="1"/>
  </w:num>
  <w:num w:numId="9" w16cid:durableId="1091854892">
    <w:abstractNumId w:val="0"/>
  </w:num>
  <w:num w:numId="10" w16cid:durableId="1481187086">
    <w:abstractNumId w:val="9"/>
  </w:num>
  <w:num w:numId="11" w16cid:durableId="1974869371">
    <w:abstractNumId w:val="10"/>
  </w:num>
  <w:num w:numId="12" w16cid:durableId="2051301635">
    <w:abstractNumId w:val="10"/>
  </w:num>
  <w:num w:numId="13" w16cid:durableId="422342887">
    <w:abstractNumId w:val="10"/>
  </w:num>
  <w:num w:numId="14" w16cid:durableId="1697078435">
    <w:abstractNumId w:val="10"/>
  </w:num>
  <w:num w:numId="15" w16cid:durableId="1215387761">
    <w:abstractNumId w:val="10"/>
  </w:num>
  <w:num w:numId="16" w16cid:durableId="672614118">
    <w:abstractNumId w:val="10"/>
  </w:num>
  <w:num w:numId="17" w16cid:durableId="1994479481">
    <w:abstractNumId w:val="10"/>
  </w:num>
  <w:num w:numId="18" w16cid:durableId="1323970655">
    <w:abstractNumId w:val="10"/>
  </w:num>
  <w:num w:numId="19" w16cid:durableId="558368610">
    <w:abstractNumId w:val="10"/>
  </w:num>
  <w:num w:numId="20" w16cid:durableId="15425428">
    <w:abstractNumId w:val="10"/>
  </w:num>
  <w:num w:numId="21" w16cid:durableId="2117019396">
    <w:abstractNumId w:val="10"/>
  </w:num>
  <w:num w:numId="22" w16cid:durableId="1361737258">
    <w:abstractNumId w:val="10"/>
  </w:num>
  <w:num w:numId="23" w16cid:durableId="1157502809">
    <w:abstractNumId w:val="10"/>
  </w:num>
  <w:num w:numId="24" w16cid:durableId="1577010093">
    <w:abstractNumId w:val="10"/>
  </w:num>
  <w:num w:numId="25" w16cid:durableId="563375838">
    <w:abstractNumId w:val="10"/>
  </w:num>
  <w:num w:numId="26" w16cid:durableId="614142784">
    <w:abstractNumId w:val="10"/>
  </w:num>
  <w:num w:numId="27" w16cid:durableId="1623540561">
    <w:abstractNumId w:val="10"/>
  </w:num>
  <w:num w:numId="28" w16cid:durableId="2146922395">
    <w:abstractNumId w:val="10"/>
  </w:num>
  <w:num w:numId="29" w16cid:durableId="1715228270">
    <w:abstractNumId w:val="10"/>
  </w:num>
  <w:num w:numId="30" w16cid:durableId="1320500296">
    <w:abstractNumId w:val="10"/>
  </w:num>
  <w:num w:numId="31" w16cid:durableId="95754377">
    <w:abstractNumId w:val="10"/>
  </w:num>
  <w:num w:numId="32" w16cid:durableId="766733685">
    <w:abstractNumId w:val="10"/>
  </w:num>
  <w:num w:numId="33" w16cid:durableId="217479717">
    <w:abstractNumId w:val="10"/>
  </w:num>
  <w:num w:numId="34" w16cid:durableId="631251327">
    <w:abstractNumId w:val="10"/>
  </w:num>
  <w:num w:numId="35" w16cid:durableId="2081899049">
    <w:abstractNumId w:val="10"/>
  </w:num>
  <w:num w:numId="36" w16cid:durableId="1711294374">
    <w:abstractNumId w:val="10"/>
  </w:num>
  <w:num w:numId="37" w16cid:durableId="1823934036">
    <w:abstractNumId w:val="10"/>
  </w:num>
  <w:num w:numId="38" w16cid:durableId="1799103334">
    <w:abstractNumId w:val="10"/>
  </w:num>
  <w:num w:numId="39" w16cid:durableId="895974987">
    <w:abstractNumId w:val="10"/>
  </w:num>
  <w:num w:numId="40" w16cid:durableId="1231847378">
    <w:abstractNumId w:val="10"/>
  </w:num>
  <w:num w:numId="41" w16cid:durableId="1533955121">
    <w:abstractNumId w:val="10"/>
  </w:num>
  <w:num w:numId="42" w16cid:durableId="1595090056">
    <w:abstractNumId w:val="10"/>
  </w:num>
  <w:num w:numId="43" w16cid:durableId="1165124180">
    <w:abstractNumId w:val="10"/>
  </w:num>
  <w:num w:numId="44" w16cid:durableId="275986901">
    <w:abstractNumId w:val="10"/>
  </w:num>
  <w:num w:numId="45" w16cid:durableId="1611544577">
    <w:abstractNumId w:val="10"/>
  </w:num>
  <w:num w:numId="46" w16cid:durableId="1178232812">
    <w:abstractNumId w:val="10"/>
  </w:num>
  <w:num w:numId="47" w16cid:durableId="1459495212">
    <w:abstractNumId w:val="10"/>
  </w:num>
  <w:num w:numId="48" w16cid:durableId="307823076">
    <w:abstractNumId w:val="10"/>
  </w:num>
  <w:num w:numId="49" w16cid:durableId="1169909363">
    <w:abstractNumId w:val="10"/>
  </w:num>
  <w:num w:numId="50" w16cid:durableId="1878590753">
    <w:abstractNumId w:val="10"/>
  </w:num>
  <w:num w:numId="51" w16cid:durableId="1427845980">
    <w:abstractNumId w:val="10"/>
  </w:num>
  <w:num w:numId="52" w16cid:durableId="307173721">
    <w:abstractNumId w:val="10"/>
  </w:num>
  <w:num w:numId="53" w16cid:durableId="289364740">
    <w:abstractNumId w:val="10"/>
  </w:num>
  <w:num w:numId="54" w16cid:durableId="85349914">
    <w:abstractNumId w:val="10"/>
  </w:num>
  <w:num w:numId="55" w16cid:durableId="1103501540">
    <w:abstractNumId w:val="10"/>
  </w:num>
  <w:num w:numId="56" w16cid:durableId="75564072">
    <w:abstractNumId w:val="10"/>
  </w:num>
  <w:num w:numId="57" w16cid:durableId="762069039">
    <w:abstractNumId w:val="10"/>
  </w:num>
  <w:num w:numId="58" w16cid:durableId="593514493">
    <w:abstractNumId w:val="10"/>
  </w:num>
  <w:num w:numId="59" w16cid:durableId="1821381816">
    <w:abstractNumId w:val="10"/>
  </w:num>
  <w:num w:numId="60" w16cid:durableId="2009559025">
    <w:abstractNumId w:val="10"/>
  </w:num>
  <w:num w:numId="61" w16cid:durableId="639772020">
    <w:abstractNumId w:val="10"/>
  </w:num>
  <w:num w:numId="62" w16cid:durableId="1677995388">
    <w:abstractNumId w:val="10"/>
  </w:num>
  <w:num w:numId="63" w16cid:durableId="800268432">
    <w:abstractNumId w:val="10"/>
  </w:num>
  <w:num w:numId="64" w16cid:durableId="1941133894">
    <w:abstractNumId w:val="10"/>
  </w:num>
  <w:num w:numId="65" w16cid:durableId="497695226">
    <w:abstractNumId w:val="10"/>
  </w:num>
  <w:num w:numId="66" w16cid:durableId="766267562">
    <w:abstractNumId w:val="10"/>
  </w:num>
  <w:num w:numId="67" w16cid:durableId="253124798">
    <w:abstractNumId w:val="10"/>
  </w:num>
  <w:num w:numId="68" w16cid:durableId="1492332272">
    <w:abstractNumId w:val="10"/>
  </w:num>
  <w:num w:numId="69" w16cid:durableId="1640301819">
    <w:abstractNumId w:val="10"/>
  </w:num>
  <w:num w:numId="70" w16cid:durableId="1669673885">
    <w:abstractNumId w:val="10"/>
  </w:num>
  <w:num w:numId="71" w16cid:durableId="1393507219">
    <w:abstractNumId w:val="10"/>
  </w:num>
  <w:num w:numId="72" w16cid:durableId="1352338169">
    <w:abstractNumId w:val="10"/>
  </w:num>
  <w:num w:numId="73" w16cid:durableId="1626232661">
    <w:abstractNumId w:val="10"/>
  </w:num>
  <w:num w:numId="74" w16cid:durableId="493490782">
    <w:abstractNumId w:val="10"/>
  </w:num>
  <w:num w:numId="75" w16cid:durableId="1073311819">
    <w:abstractNumId w:val="10"/>
  </w:num>
  <w:num w:numId="76" w16cid:durableId="942420872">
    <w:abstractNumId w:val="10"/>
  </w:num>
  <w:num w:numId="77" w16cid:durableId="1575041874">
    <w:abstractNumId w:val="10"/>
  </w:num>
  <w:num w:numId="78" w16cid:durableId="814956935">
    <w:abstractNumId w:val="10"/>
  </w:num>
  <w:num w:numId="79" w16cid:durableId="719475769">
    <w:abstractNumId w:val="10"/>
  </w:num>
  <w:num w:numId="80" w16cid:durableId="1923443254">
    <w:abstractNumId w:val="10"/>
  </w:num>
  <w:num w:numId="81" w16cid:durableId="1025794011">
    <w:abstractNumId w:val="10"/>
  </w:num>
  <w:num w:numId="82" w16cid:durableId="1630013188">
    <w:abstractNumId w:val="10"/>
  </w:num>
  <w:num w:numId="83" w16cid:durableId="138035854">
    <w:abstractNumId w:val="10"/>
  </w:num>
  <w:num w:numId="84" w16cid:durableId="241722176">
    <w:abstractNumId w:val="10"/>
  </w:num>
  <w:num w:numId="85" w16cid:durableId="1529683997">
    <w:abstractNumId w:val="10"/>
  </w:num>
  <w:num w:numId="86" w16cid:durableId="509759326">
    <w:abstractNumId w:val="10"/>
  </w:num>
  <w:num w:numId="87" w16cid:durableId="518590651">
    <w:abstractNumId w:val="10"/>
  </w:num>
  <w:num w:numId="88" w16cid:durableId="1757554879">
    <w:abstractNumId w:val="10"/>
  </w:num>
  <w:num w:numId="89" w16cid:durableId="1884826794">
    <w:abstractNumId w:val="10"/>
  </w:num>
  <w:num w:numId="90" w16cid:durableId="1953973923">
    <w:abstractNumId w:val="10"/>
  </w:num>
  <w:num w:numId="91" w16cid:durableId="1208491128">
    <w:abstractNumId w:val="10"/>
  </w:num>
  <w:num w:numId="92" w16cid:durableId="62413873">
    <w:abstractNumId w:val="10"/>
  </w:num>
  <w:num w:numId="93" w16cid:durableId="104422766">
    <w:abstractNumId w:val="10"/>
  </w:num>
  <w:num w:numId="94" w16cid:durableId="1062872878">
    <w:abstractNumId w:val="10"/>
  </w:num>
  <w:num w:numId="95" w16cid:durableId="1560359640">
    <w:abstractNumId w:val="10"/>
  </w:num>
  <w:num w:numId="96" w16cid:durableId="1750619952">
    <w:abstractNumId w:val="10"/>
  </w:num>
  <w:num w:numId="97" w16cid:durableId="185214407">
    <w:abstractNumId w:val="10"/>
  </w:num>
  <w:num w:numId="98" w16cid:durableId="139620656">
    <w:abstractNumId w:val="10"/>
  </w:num>
  <w:num w:numId="99" w16cid:durableId="578445158">
    <w:abstractNumId w:val="10"/>
  </w:num>
  <w:num w:numId="100" w16cid:durableId="2097020938">
    <w:abstractNumId w:val="10"/>
  </w:num>
  <w:num w:numId="101" w16cid:durableId="1561361602">
    <w:abstractNumId w:val="10"/>
  </w:num>
  <w:num w:numId="102" w16cid:durableId="417412336">
    <w:abstractNumId w:val="10"/>
  </w:num>
  <w:num w:numId="103" w16cid:durableId="1403142356">
    <w:abstractNumId w:val="10"/>
  </w:num>
  <w:num w:numId="104" w16cid:durableId="1727876565">
    <w:abstractNumId w:val="10"/>
  </w:num>
  <w:num w:numId="105" w16cid:durableId="1116103295">
    <w:abstractNumId w:val="10"/>
  </w:num>
  <w:num w:numId="106" w16cid:durableId="1693802632">
    <w:abstractNumId w:val="10"/>
  </w:num>
  <w:num w:numId="107" w16cid:durableId="298078709">
    <w:abstractNumId w:val="10"/>
  </w:num>
  <w:num w:numId="108" w16cid:durableId="254020741">
    <w:abstractNumId w:val="10"/>
  </w:num>
  <w:num w:numId="109" w16cid:durableId="1149247905">
    <w:abstractNumId w:val="10"/>
  </w:num>
  <w:num w:numId="110" w16cid:durableId="1482651905">
    <w:abstractNumId w:val="10"/>
  </w:num>
  <w:num w:numId="111" w16cid:durableId="1964454685">
    <w:abstractNumId w:val="10"/>
  </w:num>
  <w:num w:numId="112" w16cid:durableId="1163198824">
    <w:abstractNumId w:val="10"/>
  </w:num>
  <w:num w:numId="113" w16cid:durableId="1894270894">
    <w:abstractNumId w:val="10"/>
  </w:num>
  <w:num w:numId="114" w16cid:durableId="386298771">
    <w:abstractNumId w:val="10"/>
  </w:num>
  <w:num w:numId="115" w16cid:durableId="199442117">
    <w:abstractNumId w:val="10"/>
  </w:num>
  <w:num w:numId="116" w16cid:durableId="1641183158">
    <w:abstractNumId w:val="10"/>
  </w:num>
  <w:num w:numId="117" w16cid:durableId="130095275">
    <w:abstractNumId w:val="10"/>
  </w:num>
  <w:num w:numId="118" w16cid:durableId="644236042">
    <w:abstractNumId w:val="10"/>
  </w:num>
  <w:num w:numId="119" w16cid:durableId="514616594">
    <w:abstractNumId w:val="10"/>
  </w:num>
  <w:num w:numId="120" w16cid:durableId="31467424">
    <w:abstractNumId w:val="10"/>
  </w:num>
  <w:num w:numId="121" w16cid:durableId="45951538">
    <w:abstractNumId w:val="10"/>
  </w:num>
  <w:num w:numId="122" w16cid:durableId="1193105834">
    <w:abstractNumId w:val="10"/>
  </w:num>
  <w:num w:numId="123" w16cid:durableId="1867675074">
    <w:abstractNumId w:val="10"/>
  </w:num>
  <w:num w:numId="124" w16cid:durableId="759643939">
    <w:abstractNumId w:val="10"/>
  </w:num>
  <w:num w:numId="125" w16cid:durableId="978075511">
    <w:abstractNumId w:val="10"/>
  </w:num>
  <w:num w:numId="126" w16cid:durableId="1575621222">
    <w:abstractNumId w:val="10"/>
  </w:num>
  <w:num w:numId="127" w16cid:durableId="1666854295">
    <w:abstractNumId w:val="10"/>
  </w:num>
  <w:num w:numId="128" w16cid:durableId="199830514">
    <w:abstractNumId w:val="10"/>
  </w:num>
  <w:num w:numId="129" w16cid:durableId="200898271">
    <w:abstractNumId w:val="10"/>
  </w:num>
  <w:num w:numId="130" w16cid:durableId="1520510297">
    <w:abstractNumId w:val="10"/>
  </w:num>
  <w:num w:numId="131" w16cid:durableId="665014894">
    <w:abstractNumId w:val="10"/>
  </w:num>
  <w:num w:numId="132" w16cid:durableId="1623075004">
    <w:abstractNumId w:val="10"/>
  </w:num>
  <w:num w:numId="133" w16cid:durableId="1752501090">
    <w:abstractNumId w:val="10"/>
  </w:num>
  <w:num w:numId="134" w16cid:durableId="1089498032">
    <w:abstractNumId w:val="10"/>
  </w:num>
  <w:num w:numId="135" w16cid:durableId="605231243">
    <w:abstractNumId w:val="10"/>
  </w:num>
  <w:num w:numId="136" w16cid:durableId="1164782236">
    <w:abstractNumId w:val="10"/>
  </w:num>
  <w:num w:numId="137" w16cid:durableId="1533111421">
    <w:abstractNumId w:val="10"/>
  </w:num>
  <w:num w:numId="138" w16cid:durableId="1897353722">
    <w:abstractNumId w:val="10"/>
  </w:num>
  <w:num w:numId="139" w16cid:durableId="1837765988">
    <w:abstractNumId w:val="10"/>
  </w:num>
  <w:num w:numId="140" w16cid:durableId="1615361946">
    <w:abstractNumId w:val="10"/>
  </w:num>
  <w:num w:numId="141" w16cid:durableId="1932004265">
    <w:abstractNumId w:val="10"/>
  </w:num>
  <w:num w:numId="142" w16cid:durableId="398022562">
    <w:abstractNumId w:val="10"/>
  </w:num>
  <w:num w:numId="143" w16cid:durableId="560792045">
    <w:abstractNumId w:val="10"/>
  </w:num>
  <w:num w:numId="144" w16cid:durableId="1588536710">
    <w:abstractNumId w:val="10"/>
  </w:num>
  <w:num w:numId="145" w16cid:durableId="102307224">
    <w:abstractNumId w:val="10"/>
  </w:num>
  <w:num w:numId="146" w16cid:durableId="494608637">
    <w:abstractNumId w:val="10"/>
  </w:num>
  <w:num w:numId="147" w16cid:durableId="300311621">
    <w:abstractNumId w:val="10"/>
  </w:num>
  <w:num w:numId="148" w16cid:durableId="2033333002">
    <w:abstractNumId w:val="10"/>
  </w:num>
  <w:num w:numId="149" w16cid:durableId="931086196">
    <w:abstractNumId w:val="10"/>
  </w:num>
  <w:num w:numId="150" w16cid:durableId="1149401442">
    <w:abstractNumId w:val="10"/>
  </w:num>
  <w:num w:numId="151" w16cid:durableId="1633248345">
    <w:abstractNumId w:val="10"/>
  </w:num>
  <w:num w:numId="152" w16cid:durableId="573198303">
    <w:abstractNumId w:val="10"/>
  </w:num>
  <w:num w:numId="153" w16cid:durableId="1446577024">
    <w:abstractNumId w:val="10"/>
  </w:num>
  <w:num w:numId="154" w16cid:durableId="1807968576">
    <w:abstractNumId w:val="10"/>
  </w:num>
  <w:num w:numId="155" w16cid:durableId="582027211">
    <w:abstractNumId w:val="10"/>
  </w:num>
  <w:num w:numId="156" w16cid:durableId="7370954">
    <w:abstractNumId w:val="10"/>
  </w:num>
  <w:num w:numId="157" w16cid:durableId="1224489148">
    <w:abstractNumId w:val="10"/>
  </w:num>
  <w:num w:numId="158" w16cid:durableId="2000881524">
    <w:abstractNumId w:val="10"/>
  </w:num>
  <w:num w:numId="159" w16cid:durableId="532961665">
    <w:abstractNumId w:val="10"/>
  </w:num>
  <w:num w:numId="160" w16cid:durableId="827133903">
    <w:abstractNumId w:val="10"/>
  </w:num>
  <w:num w:numId="161" w16cid:durableId="1492679871">
    <w:abstractNumId w:val="10"/>
  </w:num>
  <w:num w:numId="162" w16cid:durableId="1631786720">
    <w:abstractNumId w:val="10"/>
  </w:num>
  <w:num w:numId="163" w16cid:durableId="741829104">
    <w:abstractNumId w:val="10"/>
  </w:num>
  <w:num w:numId="164" w16cid:durableId="176308760">
    <w:abstractNumId w:val="10"/>
  </w:num>
  <w:num w:numId="165" w16cid:durableId="2048725090">
    <w:abstractNumId w:val="10"/>
  </w:num>
  <w:num w:numId="166" w16cid:durableId="278996641">
    <w:abstractNumId w:val="10"/>
  </w:num>
  <w:num w:numId="167" w16cid:durableId="2109423407">
    <w:abstractNumId w:val="10"/>
  </w:num>
  <w:num w:numId="168" w16cid:durableId="1046225461">
    <w:abstractNumId w:val="10"/>
  </w:num>
  <w:num w:numId="169" w16cid:durableId="1239176211">
    <w:abstractNumId w:val="10"/>
  </w:num>
  <w:num w:numId="170" w16cid:durableId="123887695">
    <w:abstractNumId w:val="10"/>
  </w:num>
  <w:num w:numId="171" w16cid:durableId="34237145">
    <w:abstractNumId w:val="10"/>
  </w:num>
  <w:num w:numId="172" w16cid:durableId="1933124731">
    <w:abstractNumId w:val="10"/>
  </w:num>
  <w:num w:numId="173" w16cid:durableId="1629823524">
    <w:abstractNumId w:val="10"/>
  </w:num>
  <w:num w:numId="174" w16cid:durableId="773287200">
    <w:abstractNumId w:val="10"/>
  </w:num>
  <w:num w:numId="175" w16cid:durableId="1204245803">
    <w:abstractNumId w:val="10"/>
  </w:num>
  <w:num w:numId="176" w16cid:durableId="616644480">
    <w:abstractNumId w:val="10"/>
  </w:num>
  <w:num w:numId="177" w16cid:durableId="894781814">
    <w:abstractNumId w:val="10"/>
  </w:num>
  <w:num w:numId="178" w16cid:durableId="1683047123">
    <w:abstractNumId w:val="10"/>
  </w:num>
  <w:num w:numId="179" w16cid:durableId="654071885">
    <w:abstractNumId w:val="10"/>
  </w:num>
  <w:num w:numId="180" w16cid:durableId="368648280">
    <w:abstractNumId w:val="10"/>
  </w:num>
  <w:num w:numId="181" w16cid:durableId="1386367641">
    <w:abstractNumId w:val="10"/>
  </w:num>
  <w:num w:numId="182" w16cid:durableId="448210777">
    <w:abstractNumId w:val="10"/>
  </w:num>
  <w:num w:numId="183" w16cid:durableId="1690717772">
    <w:abstractNumId w:val="10"/>
  </w:num>
  <w:num w:numId="184" w16cid:durableId="979916863">
    <w:abstractNumId w:val="10"/>
  </w:num>
  <w:num w:numId="185" w16cid:durableId="1810584666">
    <w:abstractNumId w:val="10"/>
  </w:num>
  <w:num w:numId="186" w16cid:durableId="973023540">
    <w:abstractNumId w:val="10"/>
  </w:num>
  <w:num w:numId="187" w16cid:durableId="1389649753">
    <w:abstractNumId w:val="10"/>
  </w:num>
  <w:num w:numId="188" w16cid:durableId="373776328">
    <w:abstractNumId w:val="10"/>
  </w:num>
  <w:num w:numId="189" w16cid:durableId="394205737">
    <w:abstractNumId w:val="10"/>
  </w:num>
  <w:num w:numId="190" w16cid:durableId="1405570597">
    <w:abstractNumId w:val="10"/>
  </w:num>
  <w:num w:numId="191" w16cid:durableId="23791344">
    <w:abstractNumId w:val="10"/>
  </w:num>
  <w:num w:numId="192" w16cid:durableId="1531144415">
    <w:abstractNumId w:val="10"/>
  </w:num>
  <w:num w:numId="193" w16cid:durableId="1883977086">
    <w:abstractNumId w:val="10"/>
  </w:num>
  <w:num w:numId="194" w16cid:durableId="1964069976">
    <w:abstractNumId w:val="10"/>
  </w:num>
  <w:num w:numId="195" w16cid:durableId="972640119">
    <w:abstractNumId w:val="10"/>
  </w:num>
  <w:num w:numId="196" w16cid:durableId="1588733980">
    <w:abstractNumId w:val="10"/>
  </w:num>
  <w:num w:numId="197" w16cid:durableId="1460370702">
    <w:abstractNumId w:val="10"/>
  </w:num>
  <w:num w:numId="198" w16cid:durableId="706028774">
    <w:abstractNumId w:val="10"/>
  </w:num>
  <w:num w:numId="199" w16cid:durableId="998190628">
    <w:abstractNumId w:val="10"/>
  </w:num>
  <w:num w:numId="200" w16cid:durableId="1439132745">
    <w:abstractNumId w:val="10"/>
  </w:num>
  <w:num w:numId="201" w16cid:durableId="107704673">
    <w:abstractNumId w:val="10"/>
  </w:num>
  <w:num w:numId="202" w16cid:durableId="584412355">
    <w:abstractNumId w:val="10"/>
  </w:num>
  <w:num w:numId="203" w16cid:durableId="1323778078">
    <w:abstractNumId w:val="10"/>
  </w:num>
  <w:num w:numId="204" w16cid:durableId="215162581">
    <w:abstractNumId w:val="10"/>
  </w:num>
  <w:num w:numId="205" w16cid:durableId="1463696686">
    <w:abstractNumId w:val="10"/>
  </w:num>
  <w:num w:numId="206" w16cid:durableId="1433863570">
    <w:abstractNumId w:val="10"/>
  </w:num>
  <w:num w:numId="207" w16cid:durableId="97794708">
    <w:abstractNumId w:val="10"/>
  </w:num>
  <w:num w:numId="208" w16cid:durableId="1180201685">
    <w:abstractNumId w:val="10"/>
  </w:num>
  <w:num w:numId="209" w16cid:durableId="403720886">
    <w:abstractNumId w:val="10"/>
  </w:num>
  <w:num w:numId="210" w16cid:durableId="743180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8B"/>
    <w:rsid w:val="00025BC6"/>
    <w:rsid w:val="00061348"/>
    <w:rsid w:val="0008230C"/>
    <w:rsid w:val="000944C9"/>
    <w:rsid w:val="00100DB7"/>
    <w:rsid w:val="001E254C"/>
    <w:rsid w:val="002602D0"/>
    <w:rsid w:val="00260DEC"/>
    <w:rsid w:val="002D037B"/>
    <w:rsid w:val="00306C9C"/>
    <w:rsid w:val="00384B65"/>
    <w:rsid w:val="003A5626"/>
    <w:rsid w:val="003B33DF"/>
    <w:rsid w:val="003B732C"/>
    <w:rsid w:val="004052E4"/>
    <w:rsid w:val="004071BB"/>
    <w:rsid w:val="00416821"/>
    <w:rsid w:val="00434CAA"/>
    <w:rsid w:val="00442111"/>
    <w:rsid w:val="0048669A"/>
    <w:rsid w:val="0051436B"/>
    <w:rsid w:val="00524E18"/>
    <w:rsid w:val="005530CB"/>
    <w:rsid w:val="0061268E"/>
    <w:rsid w:val="0064506A"/>
    <w:rsid w:val="006920AE"/>
    <w:rsid w:val="006B1209"/>
    <w:rsid w:val="00716355"/>
    <w:rsid w:val="007D4312"/>
    <w:rsid w:val="00807344"/>
    <w:rsid w:val="008770B3"/>
    <w:rsid w:val="00892948"/>
    <w:rsid w:val="0093598C"/>
    <w:rsid w:val="009566C1"/>
    <w:rsid w:val="00964540"/>
    <w:rsid w:val="009E2A90"/>
    <w:rsid w:val="00A954E4"/>
    <w:rsid w:val="00B225DE"/>
    <w:rsid w:val="00B6340C"/>
    <w:rsid w:val="00B676D8"/>
    <w:rsid w:val="00B87837"/>
    <w:rsid w:val="00BC0190"/>
    <w:rsid w:val="00C41C0F"/>
    <w:rsid w:val="00D06141"/>
    <w:rsid w:val="00D1028B"/>
    <w:rsid w:val="00D55E9D"/>
    <w:rsid w:val="00DC0B0D"/>
    <w:rsid w:val="00E11450"/>
    <w:rsid w:val="00E8153F"/>
    <w:rsid w:val="00EF6C7F"/>
    <w:rsid w:val="00F41487"/>
    <w:rsid w:val="00FC42B4"/>
    <w:rsid w:val="00FC67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E5CCB"/>
  <w15:docId w15:val="{8F646731-1B71-484F-B430-68925000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F065BC"/>
    <w:pPr>
      <w:spacing w:after="100"/>
    </w:pPr>
  </w:style>
  <w:style w:type="paragraph" w:styleId="Verzeichnis2">
    <w:name w:val="toc 2"/>
    <w:basedOn w:val="Standard"/>
    <w:next w:val="Standard"/>
    <w:autoRedefine/>
    <w:uiPriority w:val="39"/>
    <w:unhideWhenUsed/>
    <w:rsid w:val="00F065BC"/>
    <w:pPr>
      <w:spacing w:after="100"/>
      <w:ind w:left="220"/>
    </w:pPr>
  </w:style>
  <w:style w:type="paragraph" w:styleId="Verzeichnis3">
    <w:name w:val="toc 3"/>
    <w:basedOn w:val="Standard"/>
    <w:next w:val="Standard"/>
    <w:autoRedefine/>
    <w:uiPriority w:val="39"/>
    <w:unhideWhenUsed/>
    <w:rsid w:val="00F065BC"/>
    <w:pPr>
      <w:spacing w:after="100"/>
      <w:ind w:left="440"/>
    </w:pPr>
  </w:style>
  <w:style w:type="paragraph" w:styleId="Verzeichnis4">
    <w:name w:val="toc 4"/>
    <w:basedOn w:val="Standard"/>
    <w:next w:val="Standard"/>
    <w:autoRedefine/>
    <w:uiPriority w:val="39"/>
    <w:unhideWhenUsed/>
    <w:rsid w:val="00F065BC"/>
    <w:pPr>
      <w:spacing w:after="100" w:line="278" w:lineRule="auto"/>
      <w:ind w:left="720"/>
    </w:pPr>
    <w:rPr>
      <w:kern w:val="2"/>
      <w:sz w:val="24"/>
      <w:szCs w:val="24"/>
      <w:lang w:val="de-AT" w:eastAsia="de-AT"/>
      <w14:ligatures w14:val="standardContextual"/>
    </w:rPr>
  </w:style>
  <w:style w:type="paragraph" w:styleId="Verzeichnis5">
    <w:name w:val="toc 5"/>
    <w:basedOn w:val="Standard"/>
    <w:next w:val="Standard"/>
    <w:autoRedefine/>
    <w:uiPriority w:val="39"/>
    <w:unhideWhenUsed/>
    <w:rsid w:val="00F065BC"/>
    <w:pPr>
      <w:spacing w:after="100" w:line="278" w:lineRule="auto"/>
      <w:ind w:left="960"/>
    </w:pPr>
    <w:rPr>
      <w:kern w:val="2"/>
      <w:sz w:val="24"/>
      <w:szCs w:val="24"/>
      <w:lang w:val="de-AT" w:eastAsia="de-AT"/>
      <w14:ligatures w14:val="standardContextual"/>
    </w:rPr>
  </w:style>
  <w:style w:type="paragraph" w:styleId="Verzeichnis6">
    <w:name w:val="toc 6"/>
    <w:basedOn w:val="Standard"/>
    <w:next w:val="Standard"/>
    <w:autoRedefine/>
    <w:uiPriority w:val="39"/>
    <w:unhideWhenUsed/>
    <w:rsid w:val="00F065BC"/>
    <w:pPr>
      <w:spacing w:after="100" w:line="278" w:lineRule="auto"/>
      <w:ind w:left="1200"/>
    </w:pPr>
    <w:rPr>
      <w:kern w:val="2"/>
      <w:sz w:val="24"/>
      <w:szCs w:val="24"/>
      <w:lang w:val="de-AT" w:eastAsia="de-AT"/>
      <w14:ligatures w14:val="standardContextual"/>
    </w:rPr>
  </w:style>
  <w:style w:type="paragraph" w:styleId="Verzeichnis7">
    <w:name w:val="toc 7"/>
    <w:basedOn w:val="Standard"/>
    <w:next w:val="Standard"/>
    <w:autoRedefine/>
    <w:uiPriority w:val="39"/>
    <w:unhideWhenUsed/>
    <w:rsid w:val="00F065BC"/>
    <w:pPr>
      <w:spacing w:after="100" w:line="278" w:lineRule="auto"/>
      <w:ind w:left="1440"/>
    </w:pPr>
    <w:rPr>
      <w:kern w:val="2"/>
      <w:sz w:val="24"/>
      <w:szCs w:val="24"/>
      <w:lang w:val="de-AT" w:eastAsia="de-AT"/>
      <w14:ligatures w14:val="standardContextual"/>
    </w:rPr>
  </w:style>
  <w:style w:type="paragraph" w:styleId="Verzeichnis8">
    <w:name w:val="toc 8"/>
    <w:basedOn w:val="Standard"/>
    <w:next w:val="Standard"/>
    <w:autoRedefine/>
    <w:uiPriority w:val="39"/>
    <w:unhideWhenUsed/>
    <w:rsid w:val="00F065BC"/>
    <w:pPr>
      <w:spacing w:after="100" w:line="278" w:lineRule="auto"/>
      <w:ind w:left="1680"/>
    </w:pPr>
    <w:rPr>
      <w:kern w:val="2"/>
      <w:sz w:val="24"/>
      <w:szCs w:val="24"/>
      <w:lang w:val="de-AT" w:eastAsia="de-AT"/>
      <w14:ligatures w14:val="standardContextual"/>
    </w:rPr>
  </w:style>
  <w:style w:type="paragraph" w:styleId="Verzeichnis9">
    <w:name w:val="toc 9"/>
    <w:basedOn w:val="Standard"/>
    <w:next w:val="Standard"/>
    <w:autoRedefine/>
    <w:uiPriority w:val="39"/>
    <w:unhideWhenUsed/>
    <w:rsid w:val="00F065BC"/>
    <w:pPr>
      <w:spacing w:after="100" w:line="278" w:lineRule="auto"/>
      <w:ind w:left="1920"/>
    </w:pPr>
    <w:rPr>
      <w:kern w:val="2"/>
      <w:sz w:val="24"/>
      <w:szCs w:val="24"/>
      <w:lang w:val="de-AT" w:eastAsia="de-AT"/>
      <w14:ligatures w14:val="standardContextual"/>
    </w:rPr>
  </w:style>
  <w:style w:type="character" w:styleId="Hyperlink">
    <w:name w:val="Hyperlink"/>
    <w:basedOn w:val="Absatz-Standardschriftart"/>
    <w:uiPriority w:val="99"/>
    <w:unhideWhenUsed/>
    <w:rsid w:val="00F065BC"/>
    <w:rPr>
      <w:color w:val="0000FF" w:themeColor="hyperlink"/>
      <w:u w:val="single"/>
    </w:rPr>
  </w:style>
  <w:style w:type="character" w:styleId="NichtaufgelsteErwhnung">
    <w:name w:val="Unresolved Mention"/>
    <w:basedOn w:val="Absatz-Standardschriftart"/>
    <w:uiPriority w:val="99"/>
    <w:semiHidden/>
    <w:unhideWhenUsed/>
    <w:rsid w:val="00F065BC"/>
    <w:rPr>
      <w:color w:val="605E5C"/>
      <w:shd w:val="clear" w:color="auto" w:fill="E1DFDD"/>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E028F-5101-4F77-9364-A2FE7F84E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18754</Words>
  <Characters>160351</Characters>
  <Application>Microsoft Office Word</Application>
  <DocSecurity>0</DocSecurity>
  <Lines>2813</Lines>
  <Paragraphs>1658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Kurt Bauer</dc:creator>
  <cp:keywords/>
  <cp:lastModifiedBy>Kurt Bauer</cp:lastModifiedBy>
  <cp:revision>14</cp:revision>
  <dcterms:created xsi:type="dcterms:W3CDTF">2026-03-31T12:38:00Z</dcterms:created>
  <dcterms:modified xsi:type="dcterms:W3CDTF">2026-04-07T08:57:00Z</dcterms:modified>
</cp:coreProperties>
</file>