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4AB2" w14:textId="77777777" w:rsidR="00BE6D1D" w:rsidRDefault="00BE6D1D">
      <w:pPr>
        <w:spacing w:before="60" w:after="60"/>
      </w:pPr>
    </w:p>
    <w:p w14:paraId="0C144AB3" w14:textId="77777777" w:rsidR="00BE6D1D" w:rsidRPr="00294215" w:rsidRDefault="00000000">
      <w:pPr>
        <w:spacing w:before="480" w:after="120"/>
        <w:rPr>
          <w:lang w:val="en-GB"/>
        </w:rPr>
      </w:pPr>
      <w:r>
        <w:rPr>
          <w:b/>
          <w:bCs/>
          <w:color w:val="1B3A6B"/>
          <w:sz w:val="52"/>
          <w:szCs w:val="52"/>
          <w:lang w:val="en-GB"/>
        </w:rPr>
        <w:t>CTDDL vs. OWL-Time vs. Schema.org</w:t>
      </w:r>
    </w:p>
    <w:p w14:paraId="0C144AB4" w14:textId="77777777" w:rsidR="00BE6D1D" w:rsidRDefault="00000000">
      <w:pPr>
        <w:pBdr>
          <w:bottom w:val="single" w:sz="8" w:space="4" w:color="17A589"/>
        </w:pBdr>
        <w:spacing w:after="80"/>
      </w:pPr>
      <w:r>
        <w:rPr>
          <w:i/>
          <w:iCs/>
          <w:color w:val="17A589"/>
          <w:sz w:val="28"/>
          <w:szCs w:val="28"/>
        </w:rPr>
        <w:t>Technische Gegenüberstellung — Anforderungserfüllung im Vergleich</w:t>
      </w:r>
    </w:p>
    <w:p w14:paraId="0C144AB5" w14:textId="77777777" w:rsidR="00BE6D1D" w:rsidRDefault="00BE6D1D">
      <w:pPr>
        <w:spacing w:before="60" w:after="60"/>
      </w:pPr>
    </w:p>
    <w:p w14:paraId="0C144AB6" w14:textId="77777777" w:rsidR="00BE6D1D" w:rsidRDefault="00000000">
      <w:pPr>
        <w:spacing w:before="60" w:after="60"/>
      </w:pPr>
      <w:r>
        <w:rPr>
          <w:b/>
          <w:bCs/>
          <w:color w:val="1B3A6B"/>
        </w:rPr>
        <w:t xml:space="preserve">Zweck dieses Dokuments: </w:t>
      </w:r>
      <w:r>
        <w:rPr>
          <w:color w:val="1A1A1A"/>
        </w:rPr>
        <w:t>Keine Werbung für ChronoGrid. Eine ehrliche, anforderungsbasierte Gegenüberstellung dreier Zeitdarstellungsstandards nach definierten technischen Kriterien. Stärken und Schwächen werden für alle drei Systeme gleich behandelt.</w:t>
      </w:r>
    </w:p>
    <w:p w14:paraId="0C144AB7" w14:textId="77777777" w:rsidR="00BE6D1D" w:rsidRDefault="00000000">
      <w:pPr>
        <w:spacing w:before="60" w:after="60"/>
      </w:pPr>
      <w:r>
        <w:rPr>
          <w:b/>
          <w:bCs/>
          <w:color w:val="1B3A6B"/>
        </w:rPr>
        <w:t xml:space="preserve">Bewertet werden: </w:t>
      </w:r>
      <w:r>
        <w:rPr>
          <w:color w:val="1A1A1A"/>
        </w:rPr>
        <w:t>CTDDL (ChronoGrid Time Domain Definition Language, CG-STD-2100 v1.4, Freigegeben) · OWL-Time (W3C Recommendation, 2022) · Schema.org (Community-Standard, Version Okt. 2023)</w:t>
      </w:r>
    </w:p>
    <w:p w14:paraId="0C144AB8" w14:textId="77777777" w:rsidR="00BE6D1D" w:rsidRDefault="00000000">
      <w:pPr>
        <w:spacing w:before="80" w:after="80"/>
      </w:pPr>
      <w:r>
        <w:rPr>
          <w:b/>
          <w:bCs/>
          <w:color w:val="1B3A6B"/>
          <w:sz w:val="20"/>
          <w:szCs w:val="20"/>
        </w:rPr>
        <w:t xml:space="preserve">Legende: </w:t>
      </w:r>
      <w:r>
        <w:rPr>
          <w:b/>
          <w:bCs/>
          <w:color w:val="1D6A4A"/>
          <w:sz w:val="20"/>
          <w:szCs w:val="20"/>
        </w:rPr>
        <w:t xml:space="preserve">✓ Erfüllt  </w:t>
      </w:r>
      <w:r>
        <w:rPr>
          <w:b/>
          <w:bCs/>
          <w:color w:val="C87A10"/>
          <w:sz w:val="20"/>
          <w:szCs w:val="20"/>
        </w:rPr>
        <w:t xml:space="preserve">~ Teilweise / mit Einschränkungen  </w:t>
      </w:r>
      <w:r>
        <w:rPr>
          <w:b/>
          <w:bCs/>
          <w:color w:val="C0392B"/>
          <w:sz w:val="20"/>
          <w:szCs w:val="20"/>
        </w:rPr>
        <w:t xml:space="preserve">✗ Nicht erfüllt  </w:t>
      </w:r>
      <w:r>
        <w:rPr>
          <w:i/>
          <w:iCs/>
          <w:color w:val="555555"/>
          <w:sz w:val="20"/>
          <w:szCs w:val="20"/>
        </w:rPr>
        <w:t>n/a Nicht anwendbar (außerhalb des Scope)</w:t>
      </w:r>
    </w:p>
    <w:p w14:paraId="0C144AB9" w14:textId="77777777" w:rsidR="00BE6D1D" w:rsidRDefault="00BE6D1D">
      <w:pPr>
        <w:spacing w:before="60" w:after="60"/>
      </w:pPr>
    </w:p>
    <w:p w14:paraId="0C144ABA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1  Grundprinzipien und Design-Ziele</w:t>
      </w:r>
    </w:p>
    <w:p w14:paraId="0C144ABB" w14:textId="77777777" w:rsidR="00BE6D1D" w:rsidRDefault="00000000">
      <w:pPr>
        <w:spacing w:before="60" w:after="60"/>
      </w:pPr>
      <w:r>
        <w:rPr>
          <w:color w:val="1A1A1A"/>
        </w:rPr>
        <w:t>Die drei Standards verfolgen grundlegend verschiedene Ziele. Das erklärt viele der nachfolgenden Unterschiede — kein System ist pauschal "besser", sie adressieren verschiedene Anwendungsfälle.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AC0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BC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BD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BE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BF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AC5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1" w14:textId="77777777" w:rsidR="00BE6D1D" w:rsidRDefault="00000000">
            <w:r>
              <w:rPr>
                <w:color w:val="1A1A1A"/>
                <w:sz w:val="18"/>
                <w:szCs w:val="18"/>
              </w:rPr>
              <w:t>Primäres Ziel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2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Formale Zeitarithmetik &amp; Interoperabilität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3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Semantische Zeitrelationen im Web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4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Maschinenlesbare Metadaten für Suchmaschinen</w:t>
            </w:r>
          </w:p>
        </w:tc>
      </w:tr>
      <w:tr w:rsidR="00BE6D1D" w14:paraId="0C144ACA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6" w14:textId="77777777" w:rsidR="00BE6D1D" w:rsidRDefault="00000000">
            <w:r>
              <w:rPr>
                <w:color w:val="1A1A1A"/>
                <w:sz w:val="18"/>
                <w:szCs w:val="18"/>
              </w:rPr>
              <w:t>Zielgruppe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7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Ingenieure, Archivare, Wissenschaft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8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Ontologie-Entwickler, Linked-Data-Systeme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9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Web-Entwickler, SEO, strukturierte Daten</w:t>
            </w:r>
          </w:p>
        </w:tc>
      </w:tr>
      <w:tr w:rsidR="00BE6D1D" w14:paraId="0C144ACF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B" w14:textId="77777777" w:rsidR="00BE6D1D" w:rsidRDefault="00000000">
            <w:r>
              <w:rPr>
                <w:color w:val="1A1A1A"/>
                <w:sz w:val="18"/>
                <w:szCs w:val="18"/>
              </w:rPr>
              <w:t>Formale Spezifikation (veröffentlicht)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C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Freigegeben (intern); noch kein ISO-Status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D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W3C Recommendation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CE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Community-Standard, kein formaler Prozess</w:t>
            </w:r>
          </w:p>
        </w:tc>
      </w:tr>
      <w:tr w:rsidR="00BE6D1D" w14:paraId="0C144AD4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0" w14:textId="77777777" w:rsidR="00BE6D1D" w:rsidRDefault="00000000">
            <w:r>
              <w:rPr>
                <w:color w:val="1A1A1A"/>
                <w:sz w:val="18"/>
                <w:szCs w:val="18"/>
              </w:rPr>
              <w:t>Referenzimplementierung vorhanden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Ausstehend (geplant)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2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Mehrere (z.B. OWL-API, RDFLib)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3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Breite Tooling-Unterstützung</w:t>
            </w:r>
          </w:p>
        </w:tc>
      </w:tr>
      <w:tr w:rsidR="00BE6D1D" w14:paraId="0C144AD9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5" w14:textId="77777777" w:rsidR="00BE6D1D" w:rsidRDefault="00000000">
            <w:r>
              <w:rPr>
                <w:color w:val="1A1A1A"/>
                <w:sz w:val="18"/>
                <w:szCs w:val="18"/>
              </w:rPr>
              <w:t>Normative Test-Suite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6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T-ENG-* vorhanden, noch nicht vollständig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formale Test-Suite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8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formale Test-Suite</w:t>
            </w:r>
          </w:p>
        </w:tc>
      </w:tr>
      <w:tr w:rsidR="00BE6D1D" w:rsidRPr="00294215" w14:paraId="0C144AD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A" w14:textId="77777777" w:rsidR="00BE6D1D" w:rsidRDefault="00000000">
            <w:r>
              <w:rPr>
                <w:color w:val="1A1A1A"/>
                <w:sz w:val="18"/>
                <w:szCs w:val="18"/>
              </w:rPr>
              <w:t>Reife / Adoption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B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DRAFT, keine Produktivsysteme bekannt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C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Etabliert, breite Nutzung in Linked Data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DD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Sehr breit (Google, Bing, Yandex, Apple)</w:t>
            </w:r>
          </w:p>
        </w:tc>
      </w:tr>
    </w:tbl>
    <w:p w14:paraId="0C144ADF" w14:textId="77777777" w:rsidR="00BE6D1D" w:rsidRPr="00294215" w:rsidRDefault="00BE6D1D">
      <w:pPr>
        <w:spacing w:before="60" w:after="60"/>
        <w:rPr>
          <w:lang w:val="en-GB"/>
        </w:rPr>
      </w:pPr>
    </w:p>
    <w:p w14:paraId="3597E422" w14:textId="77777777" w:rsidR="00294215" w:rsidRDefault="00294215">
      <w:pPr>
        <w:spacing w:before="60" w:after="60"/>
        <w:rPr>
          <w:lang w:val="en-GB"/>
        </w:rPr>
      </w:pPr>
    </w:p>
    <w:p w14:paraId="6E4075CA" w14:textId="77777777" w:rsidR="00294215" w:rsidRDefault="00294215">
      <w:pPr>
        <w:spacing w:before="60" w:after="60"/>
        <w:rPr>
          <w:lang w:val="en-GB"/>
        </w:rPr>
      </w:pPr>
    </w:p>
    <w:p w14:paraId="55BD7558" w14:textId="77777777" w:rsidR="00294215" w:rsidRDefault="00294215">
      <w:pPr>
        <w:spacing w:before="60" w:after="60"/>
        <w:rPr>
          <w:lang w:val="en-GB"/>
        </w:rPr>
      </w:pPr>
    </w:p>
    <w:p w14:paraId="4BF6A5EF" w14:textId="77777777" w:rsidR="00294215" w:rsidRDefault="00294215">
      <w:pPr>
        <w:spacing w:before="60" w:after="60"/>
        <w:rPr>
          <w:lang w:val="en-GB"/>
        </w:rPr>
      </w:pPr>
    </w:p>
    <w:p w14:paraId="0B9A052B" w14:textId="77777777" w:rsidR="00294215" w:rsidRDefault="00294215">
      <w:pPr>
        <w:spacing w:before="60" w:after="60"/>
        <w:rPr>
          <w:lang w:val="en-GB"/>
        </w:rPr>
      </w:pPr>
    </w:p>
    <w:p w14:paraId="54951517" w14:textId="77777777" w:rsidR="00294215" w:rsidRDefault="00294215">
      <w:pPr>
        <w:spacing w:before="60" w:after="60"/>
        <w:rPr>
          <w:lang w:val="en-GB"/>
        </w:rPr>
      </w:pPr>
    </w:p>
    <w:p w14:paraId="01493828" w14:textId="77777777" w:rsidR="00294215" w:rsidRPr="00294215" w:rsidRDefault="00294215">
      <w:pPr>
        <w:spacing w:before="60" w:after="60"/>
        <w:rPr>
          <w:lang w:val="en-GB"/>
        </w:rPr>
      </w:pPr>
    </w:p>
    <w:p w14:paraId="0C144AE0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lastRenderedPageBreak/>
        <w:t>2  Zeitdarstellung und Arithmetik</w:t>
      </w:r>
    </w:p>
    <w:p w14:paraId="0C144AE1" w14:textId="77777777" w:rsidR="00BE6D1D" w:rsidRDefault="00000000">
      <w:pPr>
        <w:spacing w:before="60" w:after="60"/>
      </w:pPr>
      <w:r>
        <w:rPr>
          <w:color w:val="1A1A1A"/>
        </w:rPr>
        <w:t>Kernfrage: Kann der Standard Zeitpunkte präzise, eindeutig und über Systemgrenzen hinweg interoperabel darstellen — und rechnen?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AE6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2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3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4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5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AEB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7" w14:textId="77777777" w:rsidR="00BE6D1D" w:rsidRDefault="00000000">
            <w:r>
              <w:rPr>
                <w:color w:val="1A1A1A"/>
                <w:sz w:val="18"/>
                <w:szCs w:val="18"/>
              </w:rPr>
              <w:t>Exakte Ganzzahl-Arithmetik (kein Gleitkomma)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8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BigInt (ℤ∞) als Pflicht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9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Arithmetikmodell definiert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A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Arithmetikmodell</w:t>
            </w:r>
          </w:p>
        </w:tc>
      </w:tr>
      <w:tr w:rsidR="00BE6D1D" w14:paraId="0C144AF0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C" w14:textId="77777777" w:rsidR="00BE6D1D" w:rsidRDefault="00000000">
            <w:r>
              <w:rPr>
                <w:color w:val="1A1A1A"/>
                <w:sz w:val="18"/>
                <w:szCs w:val="18"/>
              </w:rPr>
              <w:t>Nanosekunden-Präzision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D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Granularität frei konfigurierbar bis ns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E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xsd:dateTimeStamp auf Sekunden begrenzt; nur über xsd:duration erweiterbar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EF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Nur bis Sekunden (ISO 8601)</w:t>
            </w:r>
          </w:p>
        </w:tc>
      </w:tr>
      <w:tr w:rsidR="00BE6D1D" w14:paraId="0C144AF5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1" w14:textId="77777777" w:rsidR="00BE6D1D" w:rsidRDefault="00000000">
            <w:r>
              <w:rPr>
                <w:color w:val="1A1A1A"/>
                <w:sz w:val="18"/>
                <w:szCs w:val="18"/>
              </w:rPr>
              <w:t>Eindeutiger Bezeichner pro Zeitpunkt (Hash)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2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MachineID = SHA-256(Domain‖t‖v‖σ)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3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Fingerabdruck-Konzept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4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Fingerabdruck-Konzept</w:t>
            </w:r>
          </w:p>
        </w:tc>
      </w:tr>
      <w:tr w:rsidR="00BE6D1D" w14:paraId="0C144AFA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6" w14:textId="77777777" w:rsidR="00BE6D1D" w:rsidRDefault="00000000">
            <w:r>
              <w:rPr>
                <w:color w:val="1A1A1A"/>
                <w:sz w:val="18"/>
                <w:szCs w:val="18"/>
              </w:rPr>
              <w:t>Jahr-2038-Problem strukturell gelöst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7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BigInt ohne Größenlimit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8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xsd:dateTime 64-bit, kein 2038-Problem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9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ISO 8601, kein 2038-Problem</w:t>
            </w:r>
          </w:p>
        </w:tc>
      </w:tr>
      <w:tr w:rsidR="00BE6D1D" w14:paraId="0C144AFF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B" w14:textId="77777777" w:rsidR="00BE6D1D" w:rsidRDefault="00000000">
            <w:r>
              <w:rPr>
                <w:color w:val="1A1A1A"/>
                <w:sz w:val="18"/>
                <w:szCs w:val="18"/>
              </w:rPr>
              <w:t>Kosmologische Zeitskalen (Milliarden Jahre)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C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Cosmic Domain v1.2 (435×10¹² s)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D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Technisch möglich via xsd:duration, aber nicht vorgesehen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AFE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04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0" w14:textId="77777777" w:rsidR="00BE6D1D" w:rsidRDefault="00000000">
            <w:r>
              <w:rPr>
                <w:color w:val="1A1A1A"/>
                <w:sz w:val="18"/>
                <w:szCs w:val="18"/>
              </w:rPr>
              <w:t>Historische Daten vor Unix-Epoch (neg. Werte)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1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ℤ∞ erlaubt negative Werte; Historical Domain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2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xsd:dateTime unterstützt neg. Jahre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3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ISO 8601 neg. Jahre technisch möglich, selten genutzt</w:t>
            </w:r>
          </w:p>
        </w:tc>
      </w:tr>
      <w:tr w:rsidR="00BE6D1D" w14:paraId="0C144B09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5" w14:textId="77777777" w:rsidR="00BE6D1D" w:rsidRDefault="00000000">
            <w:r>
              <w:rPr>
                <w:color w:val="1A1A1A"/>
                <w:sz w:val="18"/>
                <w:szCs w:val="18"/>
              </w:rPr>
              <w:t>Schaltsekunden korrekt behandelt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6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Normative Schaltsekunden-Tabelle (IERS)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UTC-Notation; Schaltsekunden nicht spezifiziert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8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spezifiziert</w:t>
            </w:r>
          </w:p>
        </w:tc>
      </w:tr>
      <w:tr w:rsidR="00BE6D1D" w14:paraId="0C144B0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A" w14:textId="77777777" w:rsidR="00BE6D1D" w:rsidRDefault="00000000">
            <w:r>
              <w:rPr>
                <w:color w:val="1A1A1A"/>
                <w:sz w:val="18"/>
                <w:szCs w:val="18"/>
              </w:rPr>
              <w:t>Formales Axiomensystem (Beweise)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B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CG-STD-0000 v0.5 DRAFT; 17 formale Aussagen: 1 vollständig verifiziert, 12 intern verifiziert, 4 DRAFT (externe Verifikation erforderlich)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C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OWL-Ontologie formal (Beschreibungslogik)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0D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formales Fundament</w:t>
            </w:r>
          </w:p>
        </w:tc>
      </w:tr>
    </w:tbl>
    <w:p w14:paraId="0C144B0F" w14:textId="77777777" w:rsidR="00BE6D1D" w:rsidRDefault="00BE6D1D">
      <w:pPr>
        <w:spacing w:before="60" w:after="60"/>
      </w:pPr>
    </w:p>
    <w:p w14:paraId="0C144B10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3  Zeitzonen, Kalender und DST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B15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1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2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3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4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B1A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6" w14:textId="77777777" w:rsidR="00BE6D1D" w:rsidRDefault="00000000">
            <w:r>
              <w:rPr>
                <w:color w:val="1A1A1A"/>
                <w:sz w:val="18"/>
                <w:szCs w:val="18"/>
              </w:rPr>
              <w:t>DST-Übergänge deterministisch berechenbar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7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TAI-Basis; DST nur für Ausgabe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8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Zeitzone als URI möglich; Berechnung nicht spezifiziert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9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ISO 8601-Offset, keine DST-Logik</w:t>
            </w:r>
          </w:p>
        </w:tc>
      </w:tr>
      <w:tr w:rsidR="00BE6D1D" w14:paraId="0C144B1F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B" w14:textId="77777777" w:rsidR="00BE6D1D" w:rsidRDefault="00000000">
            <w:r>
              <w:rPr>
                <w:color w:val="1A1A1A"/>
                <w:sz w:val="18"/>
                <w:szCs w:val="18"/>
              </w:rPr>
              <w:t>Explizite Zeitzonensemantik (UTC vs. lokal)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C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timezone-Feld in Domain-Definition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D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hasXSDTimeZone, TimeZone-Klasse vorhanden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1E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Nur über Offset im ISO-String</w:t>
            </w:r>
          </w:p>
        </w:tc>
      </w:tr>
      <w:tr w:rsidR="00BE6D1D" w14:paraId="0C144B24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0" w14:textId="77777777" w:rsidR="00BE6D1D" w:rsidRDefault="00000000">
            <w:r>
              <w:rPr>
                <w:color w:val="1A1A1A"/>
                <w:sz w:val="18"/>
                <w:szCs w:val="18"/>
              </w:rPr>
              <w:t>Mehrere Kalender (Gregorian, Julian, Islamic …)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1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Beliebige Domains definierbar; nonlinear-Typ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2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Gregorian Calendar implizit; andere als Erweiterung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3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Nur Gregorian impliziert</w:t>
            </w:r>
          </w:p>
        </w:tc>
      </w:tr>
      <w:tr w:rsidR="00BE6D1D" w14:paraId="0C144B29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5" w14:textId="77777777" w:rsidR="00BE6D1D" w:rsidRDefault="00000000">
            <w:r>
              <w:rPr>
                <w:color w:val="1A1A1A"/>
                <w:sz w:val="18"/>
                <w:szCs w:val="18"/>
              </w:rPr>
              <w:lastRenderedPageBreak/>
              <w:t>Versionsierung von Zeitzonendaten (IANA TZ DB)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6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Schaltsekunden-Tabelle versioniert; IANA TZ nicht explizit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spezifiziert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8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spezifiziert</w:t>
            </w:r>
          </w:p>
        </w:tc>
      </w:tr>
      <w:tr w:rsidR="00BE6D1D" w14:paraId="0C144B2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A" w14:textId="77777777" w:rsidR="00BE6D1D" w:rsidRDefault="00000000">
            <w:r>
              <w:rPr>
                <w:color w:val="1A1A1A"/>
                <w:sz w:val="18"/>
                <w:szCs w:val="18"/>
              </w:rPr>
              <w:t>Proleptic Gregorian (vor 1582)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Historical Domain; beliebige Domains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C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xsd:dateTime ist proleptic Gregorian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2D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Technisch möglich, nicht explizit</w:t>
            </w:r>
          </w:p>
        </w:tc>
      </w:tr>
    </w:tbl>
    <w:p w14:paraId="0C144B2F" w14:textId="77777777" w:rsidR="00BE6D1D" w:rsidRDefault="00BE6D1D">
      <w:pPr>
        <w:spacing w:before="60" w:after="60"/>
      </w:pPr>
    </w:p>
    <w:p w14:paraId="0C144B30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4  Interoperabilität und Integration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B35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1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2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3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4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B3A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6" w14:textId="77777777" w:rsidR="00BE6D1D" w:rsidRDefault="00000000">
            <w:r>
              <w:rPr>
                <w:color w:val="1A1A1A"/>
                <w:sz w:val="18"/>
                <w:szCs w:val="18"/>
              </w:rPr>
              <w:t>Mapping zwischen verschiedenen Zeitsystemen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7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Klasse A (Funktionen) und Klasse B (Funktionale)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8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C87A10"/>
                <w:sz w:val="20"/>
                <w:szCs w:val="20"/>
                <w:lang w:val="en-GB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Conversion Ratio / unitConversionFactor; kein formales Mapping-Modell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9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Mapping-Konzept</w:t>
            </w:r>
          </w:p>
        </w:tc>
      </w:tr>
      <w:tr w:rsidR="00BE6D1D" w14:paraId="0C144B3F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B" w14:textId="77777777" w:rsidR="00BE6D1D" w:rsidRDefault="00000000">
            <w:r>
              <w:rPr>
                <w:color w:val="1A1A1A"/>
                <w:sz w:val="18"/>
                <w:szCs w:val="18"/>
              </w:rPr>
              <w:t>Bidirektionale Konvertierung (verlustfrei)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C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Korollar 3.1: bijektive Klasse-A-Mappings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D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Garantie; abhängig von Implementierung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3E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definiert</w:t>
            </w:r>
          </w:p>
        </w:tc>
      </w:tr>
      <w:tr w:rsidR="00BE6D1D" w14:paraId="0C144B44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0" w14:textId="77777777" w:rsidR="00BE6D1D" w:rsidRDefault="00000000">
            <w:r>
              <w:rPr>
                <w:color w:val="1A1A1A"/>
                <w:sz w:val="18"/>
                <w:szCs w:val="18"/>
              </w:rPr>
              <w:t>Allen Interval Algebra vollständig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1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Alle 13 Relationen normativ (CG-STD-3100 Kap. 9)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2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Alle 13 Allen-Relationen explizit vorhanden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3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Nur before/after; kein vollständiges Modell</w:t>
            </w:r>
          </w:p>
        </w:tc>
      </w:tr>
      <w:tr w:rsidR="00BE6D1D" w14:paraId="0C144B49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5" w14:textId="77777777" w:rsidR="00BE6D1D" w:rsidRDefault="00000000">
            <w:r>
              <w:rPr>
                <w:color w:val="1A1A1A"/>
                <w:sz w:val="18"/>
                <w:szCs w:val="18"/>
              </w:rPr>
              <w:t>Serialisierungsformat definiert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6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JSON + ABNF (CG-STD-2100 Kap. 4)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7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RDF/Turtle, JSON-LD, OWL/XML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8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JSON-LD, Microdata, RDFa</w:t>
            </w:r>
          </w:p>
        </w:tc>
      </w:tr>
      <w:tr w:rsidR="00BE6D1D" w14:paraId="0C144B4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A" w14:textId="77777777" w:rsidR="00BE6D1D" w:rsidRDefault="00000000">
            <w:r>
              <w:rPr>
                <w:color w:val="1A1A1A"/>
                <w:sz w:val="18"/>
                <w:szCs w:val="18"/>
              </w:rPr>
              <w:t>REST API-Binding spezifiziert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CG-STD-4100 (OpenAPI 3.1)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C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API-Standard; nur RDF-Endpoints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D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formale API; JSON-LD als Payload</w:t>
            </w:r>
          </w:p>
        </w:tc>
      </w:tr>
      <w:tr w:rsidR="00BE6D1D" w14:paraId="0C144B53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4F" w14:textId="77777777" w:rsidR="00BE6D1D" w:rsidRDefault="00000000">
            <w:r>
              <w:rPr>
                <w:color w:val="1A1A1A"/>
                <w:sz w:val="18"/>
                <w:szCs w:val="18"/>
              </w:rPr>
              <w:t>Integration in SQL-Datenbanken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0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CG-STD-4100 Tabellen-Schema; noch kein nativer Typ in SQL-Standards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natives SQL-Modell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2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natives SQL-Modell</w:t>
            </w:r>
          </w:p>
        </w:tc>
      </w:tr>
      <w:tr w:rsidR="00BE6D1D" w14:paraId="0C144B58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4" w14:textId="77777777" w:rsidR="00BE6D1D" w:rsidRDefault="00000000">
            <w:r>
              <w:rPr>
                <w:color w:val="1A1A1A"/>
                <w:sz w:val="18"/>
                <w:szCs w:val="18"/>
              </w:rPr>
              <w:t>Linked-Data / Semantic-Web-Kompatibilität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5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natives RDF-Binding in v1.0. CGTA-Werte können als opake URI-Literale in RDF eingebettet werden (cgua://...), verlieren dabei aber ihre semantische Auswertbarkeit. Ein vollständiges RDF-Binding ist als CG-APP-0700 nach Fertigstellung der Referenz-Engine geplant.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6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Kernkompetenz; OWL/RDF native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7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JSON-LD, vollständig kompatibel</w:t>
            </w:r>
          </w:p>
        </w:tc>
      </w:tr>
      <w:tr w:rsidR="00BE6D1D" w14:paraId="0C144B5D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9" w14:textId="77777777" w:rsidR="00BE6D1D" w:rsidRDefault="00000000">
            <w:r>
              <w:rPr>
                <w:color w:val="1A1A1A"/>
                <w:sz w:val="18"/>
                <w:szCs w:val="18"/>
              </w:rPr>
              <w:t>SPARQL-Abfragen auf Zeitdaten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A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nativen SPARQL-Endpoints in v1.0. CGTA-Werte sind als URI-Literale in SPARQL-Triples verwendbar; semantische Zeitabfragen erfordern custom Extension Functions (analog GeoSPARQL). Geplant in CG-APP-0700.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Vollständig; OWL-Time oft in SPARQL-Endpoints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5C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Möglich via JSON-LD, aber nicht optimiert</w:t>
            </w:r>
          </w:p>
        </w:tc>
      </w:tr>
    </w:tbl>
    <w:p w14:paraId="0C144B5E" w14:textId="77777777" w:rsidR="00BE6D1D" w:rsidRDefault="00BE6D1D">
      <w:pPr>
        <w:spacing w:before="60" w:after="60"/>
      </w:pPr>
    </w:p>
    <w:p w14:paraId="0C144B5F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5  Sicherheit, Integrität und Manipulation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B64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0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1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2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3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B69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5" w14:textId="77777777" w:rsidR="00BE6D1D" w:rsidRDefault="00000000">
            <w:r>
              <w:rPr>
                <w:color w:val="1A1A1A"/>
                <w:sz w:val="18"/>
                <w:szCs w:val="18"/>
              </w:rPr>
              <w:t>Kryptografischer Fingerabdruck (Zeitpunkt)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6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MachineID = SHA-256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8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6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A" w14:textId="77777777" w:rsidR="00BE6D1D" w:rsidRDefault="00000000">
            <w:r>
              <w:rPr>
                <w:color w:val="1A1A1A"/>
                <w:sz w:val="18"/>
                <w:szCs w:val="18"/>
              </w:rPr>
              <w:t>Dateien mit unveränderlichem Identifier (CGFI)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CGFI = SHA-256(TAI-Wert‖Inhalt‖Typ)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C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Dateisystem-Konzept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D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Dateisystem-Konzept</w:t>
            </w:r>
          </w:p>
        </w:tc>
      </w:tr>
      <w:tr w:rsidR="00BE6D1D" w14:paraId="0C144B73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6F" w14:textId="77777777" w:rsidR="00BE6D1D" w:rsidRDefault="00000000">
            <w:r>
              <w:rPr>
                <w:color w:val="1A1A1A"/>
                <w:sz w:val="18"/>
                <w:szCs w:val="18"/>
              </w:rPr>
              <w:lastRenderedPageBreak/>
              <w:t>Immutable Storage (kein Update/Delete)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0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Insert-only Invariante I-S1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1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Storage-Modell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2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Storage-Modell</w:t>
            </w:r>
          </w:p>
        </w:tc>
      </w:tr>
      <w:tr w:rsidR="00BE6D1D" w14:paraId="0C144B78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4" w14:textId="77777777" w:rsidR="00BE6D1D" w:rsidRDefault="00000000">
            <w:r>
              <w:rPr>
                <w:color w:val="1A1A1A"/>
                <w:sz w:val="18"/>
                <w:szCs w:val="18"/>
              </w:rPr>
              <w:t>Manipulationserkennung (Zeitstempel-Fälschung)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5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Via MachineID + TAI-Basis; kein externes Trust-Modell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6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7D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9" w14:textId="77777777" w:rsidR="00BE6D1D" w:rsidRDefault="00000000">
            <w:r>
              <w:rPr>
                <w:color w:val="1A1A1A"/>
                <w:sz w:val="18"/>
                <w:szCs w:val="18"/>
              </w:rPr>
              <w:t>DSGVO Art. 17 (Recht auf Löschung)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A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Tombstone-Mechanismus (CG-STD-6100 Kap. 9)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B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Storage-Konzept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C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Storage-Konzept</w:t>
            </w:r>
          </w:p>
        </w:tc>
      </w:tr>
      <w:tr w:rsidR="00BE6D1D" w14:paraId="0C144B82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E" w14:textId="77777777" w:rsidR="00BE6D1D" w:rsidRDefault="00000000">
            <w:r>
              <w:rPr>
                <w:color w:val="1A1A1A"/>
                <w:sz w:val="18"/>
                <w:szCs w:val="18"/>
              </w:rPr>
              <w:t>Authentifizierung / Zugriffskontrollen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7F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OAuth 2.0, JWT, RBAC (CG-STD-4100 Kap. 10)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0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Außerhalb des Scope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1" w14:textId="77777777" w:rsidR="00BE6D1D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n/a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Außerhalb des Scope</w:t>
            </w:r>
          </w:p>
        </w:tc>
      </w:tr>
    </w:tbl>
    <w:p w14:paraId="0C144B83" w14:textId="77777777" w:rsidR="00BE6D1D" w:rsidRDefault="00BE6D1D">
      <w:pPr>
        <w:spacing w:before="60" w:after="60"/>
      </w:pPr>
    </w:p>
    <w:p w14:paraId="0C144B84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6  Wissenschaftliche und relativistische Anforderungen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59"/>
        <w:gridCol w:w="1759"/>
        <w:gridCol w:w="1759"/>
      </w:tblGrid>
      <w:tr w:rsidR="00BE6D1D" w14:paraId="0C144B89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5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6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7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8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14:paraId="0C144B8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A" w14:textId="77777777" w:rsidR="00BE6D1D" w:rsidRDefault="00000000">
            <w:r>
              <w:rPr>
                <w:color w:val="1A1A1A"/>
                <w:sz w:val="18"/>
                <w:szCs w:val="18"/>
              </w:rPr>
              <w:t>Relativistische Zeitkorrektur (SRT/ART)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Klasse-B-Mappings; Lorentz-Faktor, Eigenzeit-Integral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C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D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93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8F" w14:textId="77777777" w:rsidR="00BE6D1D" w:rsidRDefault="00000000">
            <w:r>
              <w:rPr>
                <w:color w:val="1A1A1A"/>
                <w:sz w:val="18"/>
                <w:szCs w:val="18"/>
              </w:rPr>
              <w:t>Ephemeride als Mapping-Parameter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0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CTDDL-Felder für Weltlinie und Integrationsmethode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2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98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4" w14:textId="77777777" w:rsidR="00BE6D1D" w:rsidRDefault="00000000">
            <w:r>
              <w:rPr>
                <w:color w:val="1A1A1A"/>
                <w:sz w:val="18"/>
                <w:szCs w:val="18"/>
              </w:rPr>
              <w:t>TCB / TDB / TT Zeitskalen (IAU)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5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Über Domain-Definitionen + Klasse-B abbildbar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6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TRS (Temporal Reference System) als URI; keine Rechenregeln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7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9D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9" w14:textId="77777777" w:rsidR="00BE6D1D" w:rsidRDefault="00000000">
            <w:r>
              <w:rPr>
                <w:color w:val="1A1A1A"/>
                <w:sz w:val="18"/>
                <w:szCs w:val="18"/>
              </w:rPr>
              <w:t>scientific_dependency (Messunsicherheit)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A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Pflichtfeld bei stability: low/medium (CG-STD-2100)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B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Konzept für Messunsicherheit in Zeitdefinitionen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C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  <w:tr w:rsidR="00BE6D1D" w14:paraId="0C144BA2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E" w14:textId="77777777" w:rsidR="00BE6D1D" w:rsidRDefault="00000000">
            <w:r>
              <w:rPr>
                <w:color w:val="1A1A1A"/>
                <w:sz w:val="18"/>
                <w:szCs w:val="18"/>
              </w:rPr>
              <w:t>Reproduzierbarkeit wissenschaftlicher Messungen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9F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Versionierte Domains + MachineID = DOI-Äquivalent für Zeitpunkte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0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Über Named Graphs + Provenance möglich, nicht standardisiert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Nicht vorgesehen</w:t>
            </w:r>
          </w:p>
        </w:tc>
      </w:tr>
    </w:tbl>
    <w:p w14:paraId="0C144BA3" w14:textId="77777777" w:rsidR="00BE6D1D" w:rsidRDefault="00BE6D1D">
      <w:pPr>
        <w:spacing w:before="60" w:after="60"/>
      </w:pPr>
    </w:p>
    <w:p w14:paraId="0C144BA4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7  Governance, Zertifizierung und Standardisierung</w:t>
      </w:r>
    </w:p>
    <w:tbl>
      <w:tblPr>
        <w:tblW w:w="8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8"/>
        <w:gridCol w:w="2023"/>
        <w:gridCol w:w="1701"/>
        <w:gridCol w:w="1715"/>
      </w:tblGrid>
      <w:tr w:rsidR="00BE6D1D" w14:paraId="0C144BA9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5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Anforderung / Kriterium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6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CTDDL (ChronoGrid)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7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OWL-Time (W3C)</w:t>
            </w:r>
          </w:p>
        </w:tc>
        <w:tc>
          <w:tcPr>
            <w:tcW w:w="17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8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Schema.org</w:t>
            </w:r>
          </w:p>
        </w:tc>
      </w:tr>
      <w:tr w:rsidR="00BE6D1D" w:rsidRPr="00294215" w14:paraId="0C144BAE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A" w14:textId="77777777" w:rsidR="00BE6D1D" w:rsidRDefault="00000000">
            <w:r>
              <w:rPr>
                <w:color w:val="1A1A1A"/>
                <w:sz w:val="18"/>
                <w:szCs w:val="18"/>
              </w:rPr>
              <w:t>Formales Governance-Modell (Gremien)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B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GB, TSC, DMC, CCO (CG-ORG-2100)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C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W3C Working Group; offener Prozess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D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C87A10"/>
                <w:sz w:val="20"/>
                <w:szCs w:val="20"/>
                <w:lang w:val="en-GB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Schema.org Community-Group; weniger formell</w:t>
            </w:r>
          </w:p>
        </w:tc>
      </w:tr>
      <w:tr w:rsidR="00BE6D1D" w14:paraId="0C144BB3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AF" w14:textId="77777777" w:rsidR="00BE6D1D" w:rsidRDefault="00000000">
            <w:r>
              <w:rPr>
                <w:color w:val="1A1A1A"/>
                <w:sz w:val="18"/>
                <w:szCs w:val="18"/>
              </w:rPr>
              <w:t>Konformitätszertifizierung für Implementierungen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0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Level 1/2/3 Zertifizierung (CG-STD-5100)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Zertifizierung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2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Keine Zertifizierung</w:t>
            </w:r>
          </w:p>
        </w:tc>
      </w:tr>
      <w:tr w:rsidR="00BE6D1D" w14:paraId="0C144BB8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4" w14:textId="77777777" w:rsidR="00BE6D1D" w:rsidRDefault="00000000">
            <w:r>
              <w:rPr>
                <w:color w:val="1A1A1A"/>
                <w:sz w:val="18"/>
                <w:szCs w:val="18"/>
              </w:rPr>
              <w:lastRenderedPageBreak/>
              <w:t>Versionsierungsmodell (Backward-Compatibility)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5" w14:textId="77777777" w:rsidR="00BE6D1D" w:rsidRDefault="00000000">
            <w:pPr>
              <w:jc w:val="center"/>
            </w:pPr>
            <w:r>
              <w:rPr>
                <w:b/>
                <w:bCs/>
                <w:color w:val="1D6A4A"/>
                <w:sz w:val="20"/>
                <w:szCs w:val="20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Unveränderliche Domain-Versionen (I-D1); SemVer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6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Neue Versionen (2022), aber kein hartes Immutability-Prinzip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7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Additive Erweiterungen; keine garantierte Rückwärtskompat.</w:t>
            </w:r>
          </w:p>
        </w:tc>
      </w:tr>
      <w:tr w:rsidR="00BE6D1D" w14:paraId="0C144BBD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9" w14:textId="77777777" w:rsidR="00BE6D1D" w:rsidRDefault="00000000">
            <w:r>
              <w:rPr>
                <w:color w:val="1A1A1A"/>
                <w:sz w:val="18"/>
                <w:szCs w:val="18"/>
              </w:rPr>
              <w:t>Änderungsprozess formalisiert (CIP-Verfahren)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A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CIP-D, CIP-M, CIP-S, CIP-G (CG-STD-5100)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B" w14:textId="77777777" w:rsidR="00BE6D1D" w:rsidRPr="00294215" w:rsidRDefault="00000000">
            <w:pPr>
              <w:jc w:val="center"/>
              <w:rPr>
                <w:lang w:val="en-GB"/>
              </w:rPr>
            </w:pPr>
            <w:r>
              <w:rPr>
                <w:b/>
                <w:bCs/>
                <w:color w:val="1D6A4A"/>
                <w:sz w:val="20"/>
                <w:szCs w:val="20"/>
                <w:lang w:val="en-GB"/>
              </w:rPr>
              <w:t>✓</w:t>
            </w:r>
            <w:r>
              <w:rPr>
                <w:i/>
                <w:iCs/>
                <w:color w:val="555555"/>
                <w:sz w:val="17"/>
                <w:szCs w:val="17"/>
                <w:lang w:val="en-GB"/>
              </w:rPr>
              <w:t xml:space="preserve">  W3C Working Draft → CR → Recommendation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C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GitHub Issues + Community-Abstimmung; weniger formell</w:t>
            </w:r>
          </w:p>
        </w:tc>
      </w:tr>
      <w:tr w:rsidR="00BE6D1D" w14:paraId="0C144BC2" w14:textId="77777777"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E" w14:textId="77777777" w:rsidR="00BE6D1D" w:rsidRDefault="00000000">
            <w:r>
              <w:rPr>
                <w:color w:val="1A1A1A"/>
                <w:sz w:val="18"/>
                <w:szCs w:val="18"/>
              </w:rPr>
              <w:t>ISO-Normierungspfad geplant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BF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Angestrebt (ISO TC 154); Referenzimplementierung fehlt noch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EF9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C0" w14:textId="77777777" w:rsidR="00BE6D1D" w:rsidRDefault="00000000">
            <w:pPr>
              <w:jc w:val="center"/>
            </w:pPr>
            <w:r>
              <w:rPr>
                <w:b/>
                <w:bCs/>
                <w:color w:val="C87A10"/>
                <w:sz w:val="20"/>
                <w:szCs w:val="20"/>
              </w:rPr>
              <w:t>~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W3C-Standard; ISO-Referenzierung möglich aber nicht aktiv</w:t>
            </w:r>
          </w:p>
        </w:tc>
        <w:tc>
          <w:tcPr>
            <w:tcW w:w="175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C1" w14:textId="77777777" w:rsidR="00BE6D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  <w:r>
              <w:rPr>
                <w:i/>
                <w:iCs/>
                <w:color w:val="555555"/>
                <w:sz w:val="17"/>
                <w:szCs w:val="17"/>
              </w:rPr>
              <w:t xml:space="preserve">  Kein ISO-Pfad geplant</w:t>
            </w:r>
          </w:p>
        </w:tc>
      </w:tr>
    </w:tbl>
    <w:p w14:paraId="0C144BC3" w14:textId="77777777" w:rsidR="00BE6D1D" w:rsidRDefault="00BE6D1D">
      <w:pPr>
        <w:spacing w:before="60" w:after="60"/>
      </w:pPr>
    </w:p>
    <w:p w14:paraId="0C144BC4" w14:textId="77777777" w:rsidR="00BE6D1D" w:rsidRDefault="00000000">
      <w:pPr>
        <w:pStyle w:val="berschrift1"/>
        <w:pBdr>
          <w:bottom w:val="single" w:sz="6" w:space="4" w:color="17A589"/>
        </w:pBdr>
      </w:pPr>
      <w:r>
        <w:rPr>
          <w:color w:val="1B3A6B"/>
        </w:rPr>
        <w:t>8  Ehrliche Gesamtbewertung</w:t>
      </w:r>
    </w:p>
    <w:p w14:paraId="0C144BC5" w14:textId="77777777" w:rsidR="00BE6D1D" w:rsidRDefault="00000000">
      <w:pPr>
        <w:pStyle w:val="berschrift2"/>
      </w:pPr>
      <w:r>
        <w:rPr>
          <w:color w:val="1B3A6B"/>
        </w:rPr>
        <w:t>8.1  Was CTDDL besser macht als OWL-Time und Schema.org</w:t>
      </w:r>
    </w:p>
    <w:p w14:paraId="0C144BC6" w14:textId="77777777" w:rsidR="00BE6D1D" w:rsidRDefault="00000000">
      <w:pPr>
        <w:spacing w:before="60" w:after="60"/>
      </w:pPr>
      <w:r>
        <w:rPr>
          <w:color w:val="1A1A1A"/>
        </w:rPr>
        <w:t>CTDDL adressiert Anforderungen, die in den anderen Standards strukturell fehlen: exakte Ganzzahl-Arithmetik ohne Rundungsfehler, kryptografische Zeitpunkt-Identifier, formale Mapping-Theorie für bidirektionale Konvertierung, relativistische Zeitkorrekturen und wissenschaftliche Messunsicherheits-Modellierung. Diese Lücken in OWL-Time und Schema.org sind keine Implementierungsfehler — sie liegen außerhalb des Scope dieser Standards.</w:t>
      </w:r>
    </w:p>
    <w:p w14:paraId="0C144BC7" w14:textId="77777777" w:rsidR="00BE6D1D" w:rsidRDefault="00000000">
      <w:pPr>
        <w:pStyle w:val="berschrift2"/>
      </w:pPr>
      <w:r>
        <w:rPr>
          <w:color w:val="1B3A6B"/>
        </w:rPr>
        <w:t>8.2  Was OWL-Time besser macht als CTDDL</w:t>
      </w:r>
    </w:p>
    <w:p w14:paraId="0C144BC8" w14:textId="77777777" w:rsidR="00BE6D1D" w:rsidRDefault="00000000">
      <w:pPr>
        <w:spacing w:before="60" w:after="60"/>
      </w:pPr>
      <w:r>
        <w:rPr>
          <w:color w:val="1A1A1A"/>
        </w:rPr>
        <w:t>OWL-Time ist seit Jahren produktiv im Einsatz, hat eine W3C-Empfehlung, vollständige Linked-Data-Integration, SPARQL-Unterstützung und ein etabliertes Ecosystem aus Tools und Bibliotheken. Die Allen-Interval-Algebra ist vollständig implementiert. CTDDL hat demgegenüber keine Referenzimplementierung, keinen ISO-Status und keine bekannten Produktivsysteme — das ist ein erheblicher praktischer Nachteil.</w:t>
      </w:r>
    </w:p>
    <w:p w14:paraId="32A03001" w14:textId="77777777" w:rsidR="00C12009" w:rsidRDefault="00C12009">
      <w:pPr>
        <w:pStyle w:val="berschrift3"/>
      </w:pPr>
      <w:r>
        <w:rPr>
          <w:color w:val="1B3A6B"/>
        </w:rPr>
        <w:t>8.2.1  RDF-Binding: Strategie und Abgrenzung</w:t>
      </w:r>
    </w:p>
    <w:p w14:paraId="32A03002" w14:textId="77777777" w:rsidR="00C12009" w:rsidRDefault="00C12009">
      <w:pPr>
        <w:spacing w:before="40" w:after="30"/>
      </w:pPr>
      <w:r>
        <w:rPr>
          <w:rFonts w:ascii="Calibri" w:hAnsi="Calibri"/>
          <w:color w:val="1A1A1A"/>
          <w:sz w:val="22"/>
          <w:szCs w:val="22"/>
        </w:rPr>
        <w:t xml:space="preserve">Das Fehlen eines RDF-Bindings ist eine bewusste Entscheidung für v1.0, keine übersehene Lücke. Der Grund ist ein fundamentaler Widerspruch: RDF modelliert Zeit über </w:t>
      </w:r>
      <w:r>
        <w:rPr>
          <w:rFonts w:ascii="Courier New" w:hAnsi="Courier New"/>
          <w:color w:val="1B3A6B"/>
          <w:sz w:val="20"/>
          <w:szCs w:val="20"/>
        </w:rPr>
        <w:t>xsd:dateTime</w:t>
      </w:r>
      <w:r>
        <w:rPr>
          <w:rFonts w:ascii="Calibri" w:hAnsi="Calibri"/>
          <w:color w:val="1A1A1A"/>
          <w:sz w:val="22"/>
          <w:szCs w:val="22"/>
        </w:rPr>
        <w:t xml:space="preserve"> (String-basiert, intern Gleitkomma) oder OWL-Time-Konzepte — beides würde genau den Präzisionsverlust wiederholen, den ChronoGrid vermeiden will.</w:t>
      </w:r>
    </w:p>
    <w:p w14:paraId="32A03003" w14:textId="77777777" w:rsidR="00C12009" w:rsidRDefault="00C12009">
      <w:pPr>
        <w:spacing w:before="30" w:after="20"/>
      </w:pPr>
      <w:r>
        <w:rPr>
          <w:b/>
          <w:rFonts w:ascii="Calibri" w:hAnsi="Calibri"/>
          <w:color w:val="1A1A1A"/>
          <w:sz w:val="22"/>
          <w:szCs w:val="22"/>
        </w:rPr>
        <w:t>Was heute möglich ist (ohne RDF-Binding):</w:t>
      </w:r>
    </w:p>
    <w:p w14:paraId="32A03004" w14:textId="77777777" w:rsidR="00C12009" w:rsidRDefault="00C12009">
      <w:pPr>
        <w:pBdr>
          <w:left w:val="single" w:sz="4" w:space="8" w:color="17A589"/>
        </w:pBdr>
        <w:shd w:val="clear" w:color="auto" w:fill="F2F4F7"/>
        <w:spacing w:before="40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# CGTA als opakes URI-Literal in RDF-Triple</w:t>
      </w:r>
    </w:p>
    <w:p w14:paraId="32A03005" w14:textId="77777777" w:rsidR="00C12009" w:rsidRDefault="00C12009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&lt;ex:FlugEreignis&gt; ex:zeitstempel</w:t>
      </w:r>
    </w:p>
    <w:p w14:paraId="32A03006" w14:textId="77777777" w:rsidR="00C12009" w:rsidRDefault="00C12009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  "CG:TAI:1742041937000000000/v1"^^xsd:anyURI .</w:t>
      </w:r>
    </w:p>
    <w:p w14:paraId="32A03007" w14:textId="77777777" w:rsidR="00C12009" w:rsidRDefault="00C12009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# Einschränkung: SPARQL kann diesen Wert nicht als Zeit interpretieren</w:t>
      </w:r>
    </w:p>
    <w:p w14:paraId="32A03008" w14:textId="77777777" w:rsidR="00C12009" w:rsidRDefault="00C12009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# kein FILTER(?z &gt; "CG:TAI:...")  ohne Extension Function</w:t>
      </w:r>
    </w:p>
    <w:p w14:paraId="32A03009" w14:textId="77777777" w:rsidR="00C12009" w:rsidRDefault="00C12009">
      <w:pPr>
        <w:spacing w:before="30" w:after="20"/>
      </w:pPr>
      <w:r>
        <w:rPr>
          <w:b/>
          <w:rFonts w:ascii="Calibri" w:hAnsi="Calibri"/>
          <w:color w:val="1A1A1A"/>
          <w:sz w:val="22"/>
          <w:szCs w:val="22"/>
        </w:rPr>
        <w:t>Roadmap: CG-APP-0700 (nach Referenz-Engine)</w:t>
      </w:r>
    </w:p>
    <w:p w14:paraId="32A0300A" w14:textId="77777777" w:rsidR="00C12009" w:rsidRDefault="00C12009">
      <w:pPr>
        <w:spacing w:before="20" w:after="20"/>
      </w:pPr>
      <w:r>
        <w:rPr>
          <w:rFonts w:ascii="Calibri" w:hAnsi="Calibri"/>
          <w:color w:val="1A1A1A"/>
          <w:sz w:val="22"/>
          <w:szCs w:val="22"/>
        </w:rPr>
        <w:t xml:space="preserve">Ein vollständiges RDF-Binding erfordert drei Komponenten: (1) </w:t>
      </w:r>
      <w:r>
        <w:rPr>
          <w:rFonts w:ascii="Courier New" w:hAnsi="Courier New"/>
          <w:color w:val="1B3A6B"/>
          <w:sz w:val="20"/>
          <w:szCs w:val="20"/>
        </w:rPr>
        <w:t>cgta:TimePoint owl:equivalentClass time:Instant</w:t>
      </w:r>
      <w:r>
        <w:rPr>
          <w:rFonts w:ascii="Calibri" w:hAnsi="Calibri"/>
          <w:color w:val="1A1A1A"/>
          <w:sz w:val="22"/>
          <w:szCs w:val="22"/>
        </w:rPr>
        <w:t xml:space="preserve"> (OWL-Mapping wo Semantik übereinstimmt); (2) SPARQL Extension Functions für CGTA-Arithmetik, analog GeoSPARQL für Geodaten (</w:t>
      </w:r>
      <w:r>
        <w:rPr>
          <w:rFonts w:ascii="Courier New" w:hAnsi="Courier New"/>
          <w:color w:val="1B3A6B"/>
          <w:sz w:val="20"/>
          <w:szCs w:val="20"/>
        </w:rPr>
        <w:t>cgta:before</w:t>
      </w:r>
      <w:r>
        <w:rPr>
          <w:rFonts w:ascii="Calibri" w:hAnsi="Calibri"/>
          <w:color w:val="1A1A1A"/>
          <w:sz w:val="22"/>
          <w:szCs w:val="22"/>
        </w:rPr>
        <w:t xml:space="preserve">, </w:t>
      </w:r>
      <w:r>
        <w:rPr>
          <w:rFonts w:ascii="Courier New" w:hAnsi="Courier New"/>
          <w:color w:val="1B3A6B"/>
          <w:sz w:val="20"/>
          <w:szCs w:val="20"/>
        </w:rPr>
        <w:t>cgta:convert</w:t>
      </w:r>
      <w:r>
        <w:rPr>
          <w:rFonts w:ascii="Calibri" w:hAnsi="Calibri"/>
          <w:color w:val="1A1A1A"/>
          <w:sz w:val="22"/>
          <w:szCs w:val="22"/>
        </w:rPr>
        <w:t xml:space="preserve"> etc.); (3) ein JSON-LD-Kontext der CTDDL-Domains als RDF-Prädikate abbildet. Voraussetzung: Referenz-Engine muss existieren damit Extension Functions testbar sind. Geplant als </w:t>
      </w:r>
      <w:r>
        <w:rPr>
          <w:b/>
          <w:rFonts w:ascii="Calibri" w:hAnsi="Calibri"/>
          <w:color w:val="1A1A1A"/>
          <w:sz w:val="22"/>
          <w:szCs w:val="22"/>
        </w:rPr>
        <w:t>CG-APP-0700 — RDF/Linked Data Integration</w:t>
      </w:r>
      <w:r>
        <w:rPr>
          <w:rFonts w:ascii="Calibri" w:hAnsi="Calibri"/>
          <w:color w:val="1A1A1A"/>
          <w:sz w:val="22"/>
          <w:szCs w:val="22"/>
        </w:rPr>
        <w:t xml:space="preserve"> nach Fertigstellung der Referenz-Engine. Die Tabellenbewertungen ‘✘’ in Kap. 4 sind daher korrekt für v1.0 und kein Versehen.</w:t>
      </w:r>
    </w:p>
    <w:p w14:paraId="32A0300B" w14:textId="77777777" w:rsidR="00C12009" w:rsidRDefault="00C12009">
      <w:pPr>
        <w:spacing w:before="40"/>
      </w:pPr>
    </w:p>
    <w:p w14:paraId="0C144BC9" w14:textId="77777777" w:rsidR="00BE6D1D" w:rsidRDefault="00000000">
      <w:pPr>
        <w:pStyle w:val="berschrift2"/>
      </w:pPr>
      <w:r>
        <w:rPr>
          <w:color w:val="1B3A6B"/>
        </w:rPr>
        <w:t>8.3  Was Schema.org besser macht als CTDDL</w:t>
      </w:r>
    </w:p>
    <w:p w14:paraId="0C144BCA" w14:textId="77777777" w:rsidR="00BE6D1D" w:rsidRDefault="00000000">
      <w:pPr>
        <w:spacing w:before="60" w:after="60"/>
      </w:pPr>
      <w:r>
        <w:rPr>
          <w:color w:val="1A1A1A"/>
        </w:rPr>
        <w:t>Schema.org hat die weitaus größte Adoption: Google, Bing, Apple und Yandex werten schema:Date/Time aus. Für web-basierte Anwendungsfälle (Suchmaschinen-Indizierung, strukturierte Daten in HTML) ist Schema.org die einzig praktikable Wahl. CTDDL ist für diesen Anwendungsfall nicht konzipiert und bietet keinen Mehrwert.</w:t>
      </w:r>
    </w:p>
    <w:p w14:paraId="0C144BCB" w14:textId="77777777" w:rsidR="00BE6D1D" w:rsidRDefault="00000000">
      <w:pPr>
        <w:pStyle w:val="berschrift2"/>
      </w:pPr>
      <w:r>
        <w:rPr>
          <w:color w:val="1B3A6B"/>
        </w:rPr>
        <w:t>8.4  Wo CTDDL strukturell schwach ist</w:t>
      </w:r>
    </w:p>
    <w:p w14:paraId="0C144BCC" w14:textId="77777777" w:rsidR="00BE6D1D" w:rsidRDefault="00000000">
      <w:pPr>
        <w:spacing w:before="60" w:after="60"/>
      </w:pPr>
      <w:r>
        <w:rPr>
          <w:color w:val="1A1A1A"/>
        </w:rPr>
        <w:t>Vier Punkte, die nicht schöngeredet werden sollten:</w:t>
      </w:r>
    </w:p>
    <w:p w14:paraId="0C144BCD" w14:textId="77777777" w:rsidR="00BE6D1D" w:rsidRDefault="00000000">
      <w:pPr>
        <w:spacing w:before="40" w:after="20"/>
      </w:pPr>
      <w:r>
        <w:rPr>
          <w:color w:val="1A1A1A"/>
        </w:rPr>
        <w:t>1. Kein Linked-Data-Binding: CTDDL hat kein RDF-Mapping. Systeme die auf Semantic-Web-Infrastruktur aufbauen, können CTDDL nicht nativ einsetzen. Eine Brücke zu OWL-Time wäre technisch möglich, ist aber nicht spezifiziert.</w:t>
      </w:r>
    </w:p>
    <w:p w14:paraId="0C144BCE" w14:textId="77777777" w:rsidR="00BE6D1D" w:rsidRDefault="00000000">
      <w:pPr>
        <w:spacing w:after="20"/>
      </w:pPr>
      <w:r>
        <w:rPr>
          <w:color w:val="1A1A1A"/>
        </w:rPr>
        <w:t>2. DRAFT-Status: 4 von 17 mathematischen Theoremen in CG-STD-0000 sind noch nicht formal verifiziert. Das ist für eine Einreichung bei ISO TC 154 ein Problem.</w:t>
      </w:r>
    </w:p>
    <w:p w14:paraId="0C144BCF" w14:textId="77777777" w:rsidR="00BE6D1D" w:rsidRDefault="00000000">
      <w:pPr>
        <w:spacing w:after="20"/>
      </w:pPr>
      <w:r>
        <w:rPr>
          <w:color w:val="1A1A1A"/>
        </w:rPr>
        <w:t>3. Kein produktives Ecosystem: Ohne Referenzimplementierung, ohne reale Deployment-Erfahrung und ohne unabhängige Bibliotheken sind Kompatibilitätsaussagen derzeit theoretisch.</w:t>
      </w:r>
    </w:p>
    <w:p w14:paraId="0C144BD0" w14:textId="77777777" w:rsidR="00BE6D1D" w:rsidRDefault="00000000">
      <w:pPr>
        <w:spacing w:after="40"/>
      </w:pPr>
      <w:r>
        <w:rPr>
          <w:color w:val="1A1A1A"/>
        </w:rPr>
        <w:t>4. Governance-Bootstrapping: GB, TSC, DMC und CCO sind aktuell noch nicht mit unabhängigen Personen besetzt (Übergangsbestimmungen CG-STD-5100 Kap. 12). Das ist transparent dokumentiert, aber aus Sicht externer Reviewers ein Schwachpunkt.</w:t>
      </w:r>
    </w:p>
    <w:p w14:paraId="3AABF142" w14:textId="77777777" w:rsidR="00344547" w:rsidRDefault="00344547">
      <w:pPr>
        <w:pStyle w:val="berschrift2"/>
        <w:rPr>
          <w:color w:val="1B3A6B"/>
        </w:rPr>
      </w:pPr>
    </w:p>
    <w:p w14:paraId="0C144BD1" w14:textId="67797C8C" w:rsidR="00BE6D1D" w:rsidRDefault="00000000">
      <w:pPr>
        <w:pStyle w:val="berschrift2"/>
      </w:pPr>
      <w:r>
        <w:rPr>
          <w:color w:val="1B3A6B"/>
        </w:rPr>
        <w:lastRenderedPageBreak/>
        <w:t>8.5  Anwendungsfall-Empfehlung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226"/>
      </w:tblGrid>
      <w:tr w:rsidR="00BE6D1D" w14:paraId="0C144BD6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2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Anwendungsfall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3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Empfehlung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4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Alternativ</w:t>
            </w:r>
          </w:p>
        </w:tc>
        <w:tc>
          <w:tcPr>
            <w:tcW w:w="222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5" w14:textId="77777777" w:rsidR="00BE6D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Begründung</w:t>
            </w:r>
          </w:p>
        </w:tc>
      </w:tr>
      <w:tr w:rsidR="00BE6D1D" w14:paraId="0C144BDB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7" w14:textId="77777777" w:rsidR="00BE6D1D" w:rsidRDefault="00000000">
            <w:r>
              <w:rPr>
                <w:color w:val="1A1A1A"/>
                <w:sz w:val="18"/>
                <w:szCs w:val="18"/>
              </w:rPr>
              <w:t>Web-Metadaten, SEO, HTML-Einbettung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8" w14:textId="77777777" w:rsidR="00BE6D1D" w:rsidRDefault="00000000">
            <w:r>
              <w:rPr>
                <w:b/>
                <w:bCs/>
                <w:color w:val="1D6A4A"/>
                <w:sz w:val="18"/>
                <w:szCs w:val="18"/>
              </w:rPr>
              <w:t>Schema.org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9" w14:textId="77777777" w:rsidR="00BE6D1D" w:rsidRDefault="00000000">
            <w:r>
              <w:rPr>
                <w:color w:val="1A1A1A"/>
                <w:sz w:val="18"/>
                <w:szCs w:val="18"/>
              </w:rPr>
              <w:t>OWL-Time (Linked Data)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A" w14:textId="77777777" w:rsidR="00BE6D1D" w:rsidRDefault="00000000">
            <w:r>
              <w:rPr>
                <w:color w:val="1A1A1A"/>
                <w:sz w:val="18"/>
                <w:szCs w:val="18"/>
              </w:rPr>
              <w:t>Breiteste Adoption, direkte Tool-Unterstützung</w:t>
            </w:r>
          </w:p>
        </w:tc>
      </w:tr>
      <w:tr w:rsidR="00BE6D1D" w14:paraId="0C144BE0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C" w14:textId="77777777" w:rsidR="00BE6D1D" w:rsidRDefault="00000000">
            <w:r>
              <w:rPr>
                <w:color w:val="1A1A1A"/>
                <w:sz w:val="18"/>
                <w:szCs w:val="18"/>
              </w:rPr>
              <w:t>Semantic Web, SPARQL, Ontologien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D" w14:textId="77777777" w:rsidR="00BE6D1D" w:rsidRDefault="00000000">
            <w:r>
              <w:rPr>
                <w:b/>
                <w:bCs/>
                <w:color w:val="1D6A4A"/>
                <w:sz w:val="18"/>
                <w:szCs w:val="18"/>
              </w:rPr>
              <w:t>OWL-Time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E" w14:textId="77777777" w:rsidR="00BE6D1D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DF" w14:textId="77777777" w:rsidR="00BE6D1D" w:rsidRDefault="00000000">
            <w:r>
              <w:rPr>
                <w:color w:val="1A1A1A"/>
                <w:sz w:val="18"/>
                <w:szCs w:val="18"/>
              </w:rPr>
              <w:t>Native RDF-Integration, Allen-Relationen vollständig</w:t>
            </w:r>
          </w:p>
        </w:tc>
      </w:tr>
      <w:tr w:rsidR="00BE6D1D" w14:paraId="0C144BE5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1" w14:textId="77777777" w:rsidR="00BE6D1D" w:rsidRDefault="00000000">
            <w:r>
              <w:rPr>
                <w:color w:val="1A1A1A"/>
                <w:sz w:val="18"/>
                <w:szCs w:val="18"/>
              </w:rPr>
              <w:t>Wissenschaftliche Archive, Reproduzierbarkeit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2" w14:textId="77777777" w:rsidR="00BE6D1D" w:rsidRDefault="00000000">
            <w:r>
              <w:rPr>
                <w:b/>
                <w:bCs/>
                <w:color w:val="C87A10"/>
                <w:sz w:val="18"/>
                <w:szCs w:val="18"/>
              </w:rPr>
              <w:t>CTDDL (wenn verfügbar)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3" w14:textId="77777777" w:rsidR="00BE6D1D" w:rsidRDefault="00000000">
            <w:r>
              <w:rPr>
                <w:color w:val="1A1A1A"/>
                <w:sz w:val="18"/>
                <w:szCs w:val="18"/>
              </w:rPr>
              <w:t>OWL-Time + Provenance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4" w14:textId="77777777" w:rsidR="00BE6D1D" w:rsidRDefault="00000000">
            <w:r>
              <w:rPr>
                <w:color w:val="1A1A1A"/>
                <w:sz w:val="18"/>
                <w:szCs w:val="18"/>
              </w:rPr>
              <w:t>MachineID + versionierte Domains; heute noch kein Produktivsystem</w:t>
            </w:r>
          </w:p>
        </w:tc>
      </w:tr>
      <w:tr w:rsidR="00BE6D1D" w14:paraId="0C144BEA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6" w14:textId="77777777" w:rsidR="00BE6D1D" w:rsidRDefault="00000000">
            <w:r>
              <w:rPr>
                <w:color w:val="1A1A1A"/>
                <w:sz w:val="18"/>
                <w:szCs w:val="18"/>
              </w:rPr>
              <w:t>GPS / Raumfahrt / relativistische Systeme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7" w14:textId="77777777" w:rsidR="00BE6D1D" w:rsidRDefault="00000000">
            <w:r>
              <w:rPr>
                <w:b/>
                <w:bCs/>
                <w:color w:val="C87A10"/>
                <w:sz w:val="18"/>
                <w:szCs w:val="18"/>
              </w:rPr>
              <w:t>CTDDL (wenn verfügbar)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8" w14:textId="77777777" w:rsidR="00BE6D1D" w:rsidRDefault="00000000">
            <w:r>
              <w:rPr>
                <w:color w:val="1A1A1A"/>
                <w:sz w:val="18"/>
                <w:szCs w:val="18"/>
              </w:rPr>
              <w:t>Eigenlösung (CCSDS)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9" w14:textId="77777777" w:rsidR="00BE6D1D" w:rsidRDefault="00000000">
            <w:r>
              <w:rPr>
                <w:color w:val="1A1A1A"/>
                <w:sz w:val="18"/>
                <w:szCs w:val="18"/>
              </w:rPr>
              <w:t>Einziger Standard mit Klasse-B-Mappings; aber noch kein Produktivsystem</w:t>
            </w:r>
          </w:p>
        </w:tc>
      </w:tr>
      <w:tr w:rsidR="00BE6D1D" w14:paraId="0C144BEF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B" w14:textId="77777777" w:rsidR="00BE6D1D" w:rsidRDefault="00000000">
            <w:r>
              <w:rPr>
                <w:color w:val="1A1A1A"/>
                <w:sz w:val="18"/>
                <w:szCs w:val="18"/>
              </w:rPr>
              <w:t>Finanzmarkt, Rechtswesen, Audit-Trails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C" w14:textId="77777777" w:rsidR="00BE6D1D" w:rsidRDefault="00000000">
            <w:r>
              <w:rPr>
                <w:b/>
                <w:bCs/>
                <w:color w:val="C87A10"/>
                <w:sz w:val="18"/>
                <w:szCs w:val="18"/>
              </w:rPr>
              <w:t>CTDDL (wenn verfügbar)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D" w14:textId="77777777" w:rsidR="00BE6D1D" w:rsidRDefault="00000000">
            <w:r>
              <w:rPr>
                <w:color w:val="1A1A1A"/>
                <w:sz w:val="18"/>
                <w:szCs w:val="18"/>
              </w:rPr>
              <w:t>RFC 3339 + eigene Signatur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EE" w14:textId="77777777" w:rsidR="00BE6D1D" w:rsidRDefault="00000000">
            <w:r>
              <w:rPr>
                <w:color w:val="1A1A1A"/>
                <w:sz w:val="18"/>
                <w:szCs w:val="18"/>
              </w:rPr>
              <w:t>MachineID + Immutability + CGFI; heute noch kein Produktivsystem</w:t>
            </w:r>
          </w:p>
        </w:tc>
      </w:tr>
      <w:tr w:rsidR="00BE6D1D" w14:paraId="0C144BF4" w14:textId="77777777"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F0" w14:textId="77777777" w:rsidR="00BE6D1D" w:rsidRDefault="00000000">
            <w:r>
              <w:rPr>
                <w:color w:val="1A1A1A"/>
                <w:sz w:val="18"/>
                <w:szCs w:val="18"/>
              </w:rPr>
              <w:t>Allgemeine IT-Systeme, APIs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F1" w14:textId="77777777" w:rsidR="00BE6D1D" w:rsidRDefault="00000000">
            <w:r>
              <w:rPr>
                <w:b/>
                <w:bCs/>
                <w:color w:val="555555"/>
                <w:sz w:val="18"/>
                <w:szCs w:val="18"/>
              </w:rPr>
              <w:t>RFC 3339 / ISO 8601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F2" w14:textId="77777777" w:rsidR="00BE6D1D" w:rsidRPr="00294215" w:rsidRDefault="00000000">
            <w:pPr>
              <w:rPr>
                <w:lang w:val="en-GB"/>
              </w:rPr>
            </w:pPr>
            <w:r>
              <w:rPr>
                <w:color w:val="1A1A1A"/>
                <w:sz w:val="18"/>
                <w:szCs w:val="18"/>
                <w:lang w:val="en-GB"/>
              </w:rPr>
              <w:t>OWL-Time (wenn Linked Data)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BF3" w14:textId="77777777" w:rsidR="00BE6D1D" w:rsidRDefault="00000000">
            <w:r>
              <w:rPr>
                <w:color w:val="1A1A1A"/>
                <w:sz w:val="18"/>
                <w:szCs w:val="18"/>
              </w:rPr>
              <w:t>Für Standardanwendungen sind bestehende Standards ausreichend und erprobt</w:t>
            </w:r>
          </w:p>
        </w:tc>
      </w:tr>
    </w:tbl>
    <w:p w14:paraId="0C144BF5" w14:textId="77777777" w:rsidR="00BE6D1D" w:rsidRDefault="00BE6D1D">
      <w:pPr>
        <w:spacing w:before="60" w:after="60"/>
      </w:pPr>
    </w:p>
    <w:p w14:paraId="0C144BF6" w14:textId="77777777" w:rsidR="00BE6D1D" w:rsidRPr="00294215" w:rsidRDefault="00000000">
      <w:pPr>
        <w:pStyle w:val="berschrift1"/>
        <w:pBdr>
          <w:bottom w:val="single" w:sz="6" w:space="4" w:color="17A589"/>
        </w:pBdr>
        <w:rPr>
          <w:lang w:val="en-GB"/>
        </w:rPr>
      </w:pPr>
      <w:r>
        <w:rPr>
          <w:color w:val="1B3A6B"/>
          <w:lang w:val="en-GB"/>
        </w:rPr>
        <w:t>9  Referenzen</w:t>
      </w:r>
    </w:p>
    <w:p w14:paraId="0C144BF7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W3C OWL-Time: Cox, S. &amp; Little, C. (2022). Time Ontology in OWL. W3C Recommendation. https://www.w3.org/TR/owl-time/</w:t>
      </w:r>
    </w:p>
    <w:p w14:paraId="0C144BF8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nl-NL"/>
        </w:rPr>
        <w:t xml:space="preserve">Schema.org: Guha, R. V. et al. </w:t>
      </w:r>
      <w:r>
        <w:rPr>
          <w:color w:val="555555"/>
          <w:sz w:val="19"/>
          <w:szCs w:val="19"/>
          <w:lang w:val="en-GB"/>
        </w:rPr>
        <w:t>(2016). Schema.org: Evolution of Structured Data on the Web. Communications of the ACM. https://schema.org/</w:t>
      </w:r>
    </w:p>
    <w:p w14:paraId="0C144BF9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CTDDL: CG-STD-2100-2026 v1.3 — ChronoGrid Time Domain Definition Language. ChronoGrid Systems, April 2026. (DRAFT)</w:t>
      </w:r>
    </w:p>
    <w:p w14:paraId="0C144BFA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CG-STD-0000-2026 v0.4 — Mathematische Grundlagen. ChronoGrid Systems, April 2026. (DRAFT)</w:t>
      </w:r>
    </w:p>
    <w:p w14:paraId="0C144BFB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Allen, J.F. (1983). Maintaining knowledge about temporal intervals. Communications of the ACM 26(11), 832–843.</w:t>
      </w:r>
    </w:p>
    <w:p w14:paraId="0C144BFC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ISO 8601:2019 — Date and time representations.</w:t>
      </w:r>
    </w:p>
    <w:p w14:paraId="0C144BFD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RFC 3339 — Date and Time on the Internet: Timestamps. IETF, 2002.</w:t>
      </w:r>
    </w:p>
    <w:p w14:paraId="0C144BFE" w14:textId="77777777" w:rsidR="00BE6D1D" w:rsidRPr="00294215" w:rsidRDefault="00000000">
      <w:pPr>
        <w:spacing w:before="30" w:after="30"/>
        <w:rPr>
          <w:lang w:val="en-GB"/>
        </w:rPr>
      </w:pPr>
      <w:r>
        <w:rPr>
          <w:color w:val="555555"/>
          <w:sz w:val="19"/>
          <w:szCs w:val="19"/>
          <w:lang w:val="en-GB"/>
        </w:rPr>
        <w:t>IERS Bulletin C — Leap Second Announcements. International Earth Rotation and Reference Systems Service.</w:t>
      </w:r>
    </w:p>
    <w:p w14:paraId="0C144BFF" w14:textId="77777777" w:rsidR="00BE6D1D" w:rsidRPr="00294215" w:rsidRDefault="00BE6D1D">
      <w:pPr>
        <w:spacing w:before="60" w:after="60"/>
        <w:rPr>
          <w:lang w:val="en-GB"/>
        </w:rPr>
      </w:pPr>
    </w:p>
    <w:p w14:paraId="0C144C00" w14:textId="77777777" w:rsidR="00BE6D1D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Hinweis zur Unabhängigkeit: Dieses Dokument wurde im Rahmen der ChronoGrid-Entwicklung erstellt. Die Bewertungen wurden nach bestem Wissen sachlich formuliert, können aber durch Perspektive des Autors beeinflusst sein. Insbesondere CTDDL-Bewertungen basieren auf der internen Spezifikation; unabhängige externe Verifikation steht für die meisten Punkte noch aus.</w:t>
      </w:r>
    </w:p>
    <w:sectPr w:rsidR="00BE6D1D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4049" w14:textId="77777777" w:rsidR="00A24596" w:rsidRDefault="00A24596">
      <w:r>
        <w:separator/>
      </w:r>
    </w:p>
  </w:endnote>
  <w:endnote w:type="continuationSeparator" w:id="0">
    <w:p w14:paraId="46B8DFDE" w14:textId="77777777" w:rsidR="00A24596" w:rsidRDefault="00A24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4C01" w14:textId="2353C855" w:rsidR="00BE6D1D" w:rsidRDefault="00000000">
    <w:pPr>
      <w:jc w:val="center"/>
    </w:pPr>
    <w:r>
      <w:rPr>
        <w:color w:val="555555"/>
        <w:sz w:val="16"/>
        <w:szCs w:val="16"/>
      </w:rPr>
      <w:t xml:space="preserve">CTDDL vs. OWL-Time vs. Schema.org  |  ChronoGrid Systems, März 2026  |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8258F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DD62" w14:textId="77777777" w:rsidR="00A24596" w:rsidRDefault="00A24596">
      <w:r>
        <w:separator/>
      </w:r>
    </w:p>
  </w:footnote>
  <w:footnote w:type="continuationSeparator" w:id="0">
    <w:p w14:paraId="38422199" w14:textId="77777777" w:rsidR="00A24596" w:rsidRDefault="00A24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F2"/>
    <w:multiLevelType w:val="hybridMultilevel"/>
    <w:tmpl w:val="7E7E0792"/>
    <w:lvl w:ilvl="0" w:tplc="C966EB28">
      <w:start w:val="1"/>
      <w:numFmt w:val="bullet"/>
      <w:lvlText w:val="●"/>
      <w:lvlJc w:val="left"/>
      <w:pPr>
        <w:ind w:left="720" w:hanging="360"/>
      </w:pPr>
    </w:lvl>
    <w:lvl w:ilvl="1" w:tplc="E3BE88F8">
      <w:start w:val="1"/>
      <w:numFmt w:val="bullet"/>
      <w:lvlText w:val="○"/>
      <w:lvlJc w:val="left"/>
      <w:pPr>
        <w:ind w:left="1440" w:hanging="360"/>
      </w:pPr>
    </w:lvl>
    <w:lvl w:ilvl="2" w:tplc="FABCB58A">
      <w:start w:val="1"/>
      <w:numFmt w:val="bullet"/>
      <w:lvlText w:val="■"/>
      <w:lvlJc w:val="left"/>
      <w:pPr>
        <w:ind w:left="2160" w:hanging="360"/>
      </w:pPr>
    </w:lvl>
    <w:lvl w:ilvl="3" w:tplc="04AC8E6C">
      <w:start w:val="1"/>
      <w:numFmt w:val="bullet"/>
      <w:lvlText w:val="●"/>
      <w:lvlJc w:val="left"/>
      <w:pPr>
        <w:ind w:left="2880" w:hanging="360"/>
      </w:pPr>
    </w:lvl>
    <w:lvl w:ilvl="4" w:tplc="2FB82762">
      <w:start w:val="1"/>
      <w:numFmt w:val="bullet"/>
      <w:lvlText w:val="○"/>
      <w:lvlJc w:val="left"/>
      <w:pPr>
        <w:ind w:left="3600" w:hanging="360"/>
      </w:pPr>
    </w:lvl>
    <w:lvl w:ilvl="5" w:tplc="33C471B6">
      <w:start w:val="1"/>
      <w:numFmt w:val="bullet"/>
      <w:lvlText w:val="■"/>
      <w:lvlJc w:val="left"/>
      <w:pPr>
        <w:ind w:left="4320" w:hanging="360"/>
      </w:pPr>
    </w:lvl>
    <w:lvl w:ilvl="6" w:tplc="B360064A">
      <w:start w:val="1"/>
      <w:numFmt w:val="bullet"/>
      <w:lvlText w:val="●"/>
      <w:lvlJc w:val="left"/>
      <w:pPr>
        <w:ind w:left="5040" w:hanging="360"/>
      </w:pPr>
    </w:lvl>
    <w:lvl w:ilvl="7" w:tplc="B1E04D80">
      <w:start w:val="1"/>
      <w:numFmt w:val="bullet"/>
      <w:lvlText w:val="●"/>
      <w:lvlJc w:val="left"/>
      <w:pPr>
        <w:ind w:left="5760" w:hanging="360"/>
      </w:pPr>
    </w:lvl>
    <w:lvl w:ilvl="8" w:tplc="B2E6CA44">
      <w:start w:val="1"/>
      <w:numFmt w:val="bullet"/>
      <w:lvlText w:val="●"/>
      <w:lvlJc w:val="left"/>
      <w:pPr>
        <w:ind w:left="6480" w:hanging="360"/>
      </w:pPr>
    </w:lvl>
  </w:abstractNum>
  <w:num w:numId="1" w16cid:durableId="720400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D1D"/>
    <w:rsid w:val="00294215"/>
    <w:rsid w:val="00344547"/>
    <w:rsid w:val="004E6026"/>
    <w:rsid w:val="00517B12"/>
    <w:rsid w:val="006429DD"/>
    <w:rsid w:val="007353D9"/>
    <w:rsid w:val="00A24596"/>
    <w:rsid w:val="00B8258F"/>
    <w:rsid w:val="00BE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4AB2"/>
  <w15:docId w15:val="{0104B37F-4BDB-4E24-B048-F2332229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180" w:after="60"/>
      <w:outlineLvl w:val="2"/>
    </w:pPr>
    <w:rPr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1508</Words>
  <Characters>10949</Characters>
  <Application>Microsoft Office Word</Application>
  <DocSecurity>0</DocSecurity>
  <Lines>552</Lines>
  <Paragraphs>265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5</cp:revision>
  <dcterms:created xsi:type="dcterms:W3CDTF">2026-03-31T16:36:00Z</dcterms:created>
  <dcterms:modified xsi:type="dcterms:W3CDTF">2026-04-07T06:58:00Z</dcterms:modified>
</cp:coreProperties>
</file>