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</w:pPr>
      <w:r>
        <w:rPr>
          <w:sz w:val="40"/>
          <w:szCs w:val="40"/>
        </w:rPr>
        <w:t xml:space="preserve"> </w:t>
      </w:r>
    </w:p>
    <w:p>
      <w:pPr>
        <w:shd w:fill="1B3A6B" w:val="clear"/>
        <w:jc w:val="center"/>
      </w:pPr>
      <w:r>
        <w:rPr>
          <w:rFonts w:ascii="Georgia" w:cs="Georgia" w:eastAsia="Georgia" w:hAnsi="Georgia"/>
          <w:b/>
          <w:bCs/>
          <w:color w:val="FFFFFF"/>
          <w:sz w:val="80"/>
          <w:szCs w:val="80"/>
        </w:rPr>
        <w:t xml:space="preserve">ChronoGrid</w:t>
      </w:r>
    </w:p>
    <w:p>
      <w:pPr>
        <w:shd w:fill="1B3A6B" w:val="clear"/>
        <w:jc w:val="center"/>
      </w:pPr>
      <w:r>
        <w:rPr>
          <w:rFonts w:ascii="Georgia" w:cs="Georgia" w:eastAsia="Georgia" w:hAnsi="Georgia"/>
          <w:color w:val="17A589"/>
          <w:sz w:val="40"/>
          <w:szCs w:val="40"/>
        </w:rPr>
        <w:t xml:space="preserve">Reference Registry</w:t>
      </w:r>
    </w:p>
    <w:p>
      <w:pPr>
        <w:shd w:fill="1B3A6B" w:val="clear"/>
        <w:jc w:val="center"/>
      </w:pPr>
      <w:r>
        <w:rPr>
          <w:rFonts w:ascii="Calibri" w:cs="Calibri" w:eastAsia="Calibri" w:hAnsi="Calibri"/>
          <w:b w:val="false"/>
          <w:bCs w:val="false"/>
          <w:color w:val="B0C4D8"/>
          <w:sz w:val="19"/>
          <w:szCs w:val="19"/>
        </w:rPr>
        <w:t xml:space="preserve">Betriebskonzept, Architektur und API-Design der zentralen ChronoGrid-Registrierungsinstanz</w:t>
      </w:r>
    </w:p>
    <w:p>
      <w:pPr>
        <w:shd w:fill="1B3A6B" w:val="clear"/>
        <w:jc w:val="center"/>
      </w:pPr>
      <w:r>
        <w:rPr>
          <w:rFonts w:ascii="Calibri" w:cs="Calibri" w:eastAsia="Calibri" w:hAnsi="Calibri"/>
          <w:b w:val="false"/>
          <w:bCs w:val="false"/>
          <w:color w:val="B0C4D8"/>
          <w:sz w:val="18"/>
          <w:szCs w:val="18"/>
        </w:rPr>
        <w:t xml:space="preserve">CG-APP-0500-2026  ·  Version 0.3 DRAFT  ·  April 2026  ·  Querverweise aktualisiert</w:t>
      </w:r>
    </w:p>
    <w:p>
      <w:pPr>
        <w:shd w:fill="1B3A6B" w:val="clear"/>
        <w:jc w:val="center"/>
      </w:pPr>
      <w:r>
        <w:rPr>
          <w:rFonts w:ascii="Calibri" w:cs="Calibri" w:eastAsia="Calibri" w:hAnsi="Calibri"/>
          <w:b w:val="false"/>
          <w:bCs w:val="false"/>
          <w:color w:val="B0C4D8"/>
          <w:sz w:val="19"/>
          <w:szCs w:val="19"/>
        </w:rPr>
        <w:t xml:space="preserve">Herausgeber: ChronoGrid Systems</w:t>
      </w:r>
    </w:p>
    <w:p>
      <w:pPr>
        <w:shd w:fill="1B3A6B" w:val="clear"/>
        <w:jc w:val="center"/>
      </w:pPr>
      <w:r>
        <w:rPr>
          <w:rFonts w:ascii="Calibri" w:cs="Calibri" w:eastAsia="Calibri" w:hAnsi="Calibri"/>
          <w:b w:val="false"/>
          <w:bCs w:val="false"/>
          <w:color w:val="B0C4D8"/>
          <w:sz w:val="19"/>
          <w:szCs w:val="19"/>
        </w:rPr>
        <w:t xml:space="preserve">Autor: Kurt  ·  Founder &amp; Lead Architect  ·  Neunkirchen, Niederösterreich</w:t>
      </w:r>
    </w:p>
    <w:p>
      <w:pPr>
        <w:shd w:fill="1B3A6B" w:val="clear"/>
        <w:jc w:val="center"/>
      </w:pPr>
      <w:r>
        <w:rPr>
          <w:rFonts w:ascii="Calibri" w:cs="Calibri" w:eastAsia="Calibri" w:hAnsi="Calibri"/>
          <w:b w:val="false"/>
          <w:bCs w:val="false"/>
          <w:color w:val="17A589"/>
          <w:sz w:val="19"/>
          <w:szCs w:val="19"/>
        </w:rPr>
        <w:t xml:space="preserve">Dokumentstatus: DRAFT v0.1  ·  Betriebskonzept  ·  nicht normativ</w:t>
      </w:r>
    </w:p>
    <w:p>
      <w:pPr>
        <w:shd w:fill="1B3A6B" w:val="clear"/>
      </w:pPr>
      <w:r>
        <w:rPr>
          <w:sz w:val="40"/>
          <w:szCs w:val="40"/>
        </w:rPr>
        <w:t xml:space="preserve"> </w:t>
      </w:r>
    </w:p>
    <w:p>
      <w:pPr>
        <w:spacing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Dokument-Nr.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CG-APP-0500-2026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Titel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ChronoGrid Reference Registry — Betriebskonzept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v0.3 — DRAFT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Datum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 — Betriebskonzept; nicht normativ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Typ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Architektur- und Betriebsdokument (nicht normativ)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Abhängigkeiten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CG-STD-3100 v1.5, CG-STD-4100 v0.7, CG-STD-2100 v1.4, CG-ORG-2100 v1.4, CG-STD-5100 v1.3, CG-STD-6100 v0.5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Ersetzt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CG-APP-0500-2026 v0.2)</w:t>
            </w:r>
          </w:p>
        </w:tc>
      </w:tr>
    </w:tbl>
    <w:p>
      <w:pPr>
        <w:spacing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 Zweck und Abgrenzung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Dieses Dokument beschreibt Konzept, Architektur und API-Design der ChronoGrid Reference Registry — dem zentralen Betriebsdienst der alle drei Kerndatenstände des ChronoGrid-Ökosystems verwaltet: TimeDomain-Definitionen (CTDDL), CGUAS-Adresssegmente und CGFI-Verifikation.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Reference Registry ist kein normativer Standard. Sie ist eine Referenzimplementierung des in CG-STD-4100 definierten API-Standards und des in CG-STD-3100 definierten Engine-Standards. Konforme Implementierungen können die Reference Registry als Gateway, als Vorbild oder als Validierungsinstanz nutzen — sie müssen es nicht.</w:t>
      </w:r>
    </w:p>
    <w:p>
      <w:pPr>
        <w:pBdr>
          <w:left w:val="single" w:color="2E6DA4" w:sz="6" w:space="8"/>
        </w:pBdr>
        <w:shd w:fill="EBF3FA" w:val="clear"/>
        <w:spacing w:after="40" w:before="40"/>
        <w:ind w:left="280"/>
      </w:pPr>
      <w:r>
        <w:rPr>
          <w:rFonts w:ascii="Calibri" w:cs="Calibri" w:eastAsia="Calibri" w:hAnsi="Calibri"/>
          <w:i/>
          <w:iCs/>
          <w:color w:val="1B3A6B"/>
          <w:sz w:val="19"/>
          <w:szCs w:val="19"/>
        </w:rPr>
        <w:t xml:space="preserve">Abgrenzung zu CG-STD-3100: Die Engine-Spezifikation (3100) definiert Algorithmen und Berechnungslogik. Die Reference Registry nutzt diese Algorithmen intern, exponiert sie aber über die normative REST-API aus CG-STD-4100 nach außen. CG-STD-3100 ist keine API-Spezifikation und wird nicht zum Gateway.</w:t>
      </w:r>
    </w:p>
    <w:p>
      <w:pPr>
        <w:spacing w:before="8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 Architekturprinzipien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Reference Registry folgt vier Architekturprinzipien die direkt aus den normativen Spezifikationen abgeleitet sind:</w:t>
      </w:r>
    </w:p>
    <w:p>
      <w:pPr>
        <w:spacing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Prinzip</w:t>
            </w:r>
          </w:p>
        </w:tc>
        <w:tc>
          <w:tcPr>
            <w:tcW w:type="dxa" w:w="7038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Begründung und Quelle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Schichtentrennung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Engine (3100) und API (4100) sind strikt getrennt. Die Registry ruft 3100-Algorithmen intern auf — niemals über das Netzwerk.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Determinismus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Alle Registry-Operationen sind deterministisch (I-M1). Gleiche Eingabe → gleiche Ausgabe, auf jedem Node des Registry-Clusters.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Insert-only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Registry-Datensätze sind unveränderlich (I-D1). Korrekturen erzeugen neue Versionen. Kein UPDATE, kein DELETE auf normativen Tabellen.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Dezentralisierbarkeit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 Reference Registry ist eine Referenzinstanz. Organisationen können eigene Registry-Nodes betreiben und mit der zentralen Instanz föderieren (CG-STD-4100 Kap. 9).</w:t>
            </w:r>
          </w:p>
        </w:tc>
      </w:tr>
    </w:tbl>
    <w:p>
      <w:pPr>
        <w:spacing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 Drei Kernfunktionen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Reference Registry verwaltet drei voneinander unabhängige, aber miteinander verknüpfte Datenstände:</w:t>
      </w:r>
    </w:p>
    <w:p>
      <w:pPr>
        <w:spacing w:before="6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3.1  Domain Registry — TimeDomain-Verwaltung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Domain Registry speichert alle CTDDL-Domains die über den CIP-Prozess (CG-ORG-2100 Kap. 7) eingereicht und vom TSC freigegeben wurden. Sie ist die normative Quelle der Wahrheit für alle TimeDomain-Definitionen des ChronoGrid-Ökosystems.</w:t>
      </w:r>
    </w:p>
    <w:p>
      <w:pPr>
        <w:spacing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13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35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138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API-Endpoint (4100)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Einreichung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Neue Domain via CIP-D einreichen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 /v1/domains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Abfrage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Domain nach Name + Version abrufen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 /v1/domains/{name}/{version}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Validierung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CTDDL-Dokument gegen Schema prüfen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 /v1/domains/validate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Mapping-Test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Konvertierung zwischen zwei Domains testen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 /v1/convert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Listing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Alle freigegebenen Domains auflisten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 /v1/domains</w:t>
            </w:r>
          </w:p>
        </w:tc>
      </w:tr>
    </w:tbl>
    <w:p>
      <w:pPr>
        <w:spacing w:before="60"/>
      </w:pPr>
    </w:p>
    <w:p>
      <w:pPr>
        <w:pBdr>
          <w:left w:val="single" w:color="2E6DA4" w:sz="6" w:space="8"/>
        </w:pBdr>
        <w:shd w:fill="EBF3FA" w:val="clear"/>
        <w:spacing w:after="40" w:before="40"/>
        <w:ind w:left="280"/>
      </w:pPr>
      <w:r>
        <w:rPr>
          <w:rFonts w:ascii="Calibri" w:cs="Calibri" w:eastAsia="Calibri" w:hAnsi="Calibri"/>
          <w:i/>
          <w:iCs/>
          <w:color w:val="1B3A6B"/>
          <w:sz w:val="19"/>
          <w:szCs w:val="19"/>
        </w:rPr>
        <w:t xml:space="preserve">Die Domain Registry ruft intern CG-STD-3100 Kap. 4 (Mapping-Ausführung) und CG-STD-2100 Kap. 3 (CTDDL-Validierung) auf. Nach außen ist nur der 4100-konforme REST-Endpoint sichtbar.</w:t>
      </w:r>
    </w:p>
    <w:p>
      <w:pPr>
        <w:spacing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3.2  Segment Registry — CGUAS-Adressverwaltung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Segment Registry verwaltet den universellen Speicher-Adressraum (CGUAS). Sie teilt Adresssegmente an Organisationen zu (CIP-SEG via DMC, CG-ORG-2100 Kap. 7.5) und stellt Kollisionsfreiheit über atomare INSERT-Operationen sicher.</w:t>
      </w:r>
    </w:p>
    <w:p>
      <w:pPr>
        <w:spacing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13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35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138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API-Endpoint (4100)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Registrierung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Neues Segment via CIP-SEG beantragen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 /v1/segments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Auflösung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CGUA-Adresse → physischer Resolver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 /v1/resolve/{cgua}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Zuteilung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Nächste freie Adresse im Segment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 /v1/segments/{id}/allocate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Segment-Auslastung und Metadaten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 /v1/segments/{id}</w:t>
            </w:r>
          </w:p>
        </w:tc>
      </w:tr>
    </w:tbl>
    <w:p>
      <w:pPr>
        <w:spacing w:before="40"/>
      </w:pP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// Atomare Segment-Zuteilung (CG-STD-6100 Kap. 3.2)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BEGIN TRANSACTION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next ← SELECT MAX(local_offset) + 1 FROM allocations WHERE segment_id = :sid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INSERT INTO allocations (segment_id, local_offset, cgfi, granted_at)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VALUES (:sid, :next, :cgfi, :tai_ns)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 Kollisionsvermeidung: UNIQUE-Constraint auf (segment_id, local_offset)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COMMIT</w:t>
      </w:r>
    </w:p>
    <w:p>
      <w:pPr>
        <w:spacing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3.3  CGFI Registry — Datei-Fingerabdruck-Verifikation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CGFI Registry ist der globale Index aller registrierten ChronoGrid File Identifiers. Sie ermöglicht Verifikation ("Existiert diese Datei?"), Integritätsprüfung ("Stimmt der Inhalt?") und Versions-Chain-Navigation ("Was ist die Vorversion?").</w:t>
      </w:r>
    </w:p>
    <w:p>
      <w:pPr>
        <w:spacing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13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35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138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API-Endpoint (4100)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Registrierung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CGFS-Manifest + Inhalt speichern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 /v1/files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Verifikation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CGFI existiert + Inhalt korrekt?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 /v1/files/{cgfi}/verify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Abruf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Manifest und Inhalt abrufen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 /v1/files/{cgfi}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Chain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Versions-Chain traversieren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 /v1/files/{cgfi}/history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Tombstone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DSGVO-konforme Löschung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DELETE /v1/files/{cgfi}</w:t>
            </w:r>
          </w:p>
        </w:tc>
      </w:tr>
    </w:tbl>
    <w:p>
      <w:pPr>
        <w:spacing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  Interne Architektur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Reference Registry ist als dreischichtige Architektur konzipiert. Die Schichten sind strikt entkoppelt — jede Schicht kommuniziert nur mit den direkt benachbarten:</w:t>
      </w:r>
    </w:p>
    <w:p>
      <w:pPr>
        <w:spacing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── Externe Clients (Implementierungen, Browser, CI/CD) ──</w:t>
            </w:r>
          </w:p>
          <w:p>
            <w:pPr>
              <w:spacing w:after="1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↕  HTTPS / JWT / RS256</w:t>
            </w:r>
          </w:p>
          <w:p>
            <w:pPr>
              <w:spacing w:after="1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[ API-Gateway ]  CG-STD-4100 — REST · GraphQL · Webhooks · RBAC</w:t>
            </w:r>
          </w:p>
          <w:p>
            <w:pPr>
              <w:spacing w:after="1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↕  interne Funktionsaufrufe (kein Netzwerk)</w:t>
            </w:r>
          </w:p>
          <w:p>
            <w:pPr>
              <w:spacing w:after="1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[ Engine-Schicht ]  CG-STD-3100 — computeCGFI · convert · encode/decode · MachineID</w:t>
            </w:r>
          </w:p>
          <w:p>
            <w:pPr>
              <w:spacing w:after="1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↕  SQL / ORM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[ Persistenzschicht ]  CG-STD-4100 Kap. 3 — PostgreSQL · Insert-only · CGFI-Index</w:t>
            </w:r>
          </w:p>
        </w:tc>
      </w:tr>
    </w:tbl>
    <w:p>
      <w:pPr>
        <w:spacing w:before="80"/>
      </w:pPr>
    </w:p>
    <w:p>
      <w:pPr>
        <w:pBdr>
          <w:left w:val="single" w:color="C62828" w:sz="6" w:space="8"/>
        </w:pBdr>
        <w:shd w:fill="FFEBEE" w:val="clear"/>
        <w:spacing w:after="40" w:before="40"/>
        <w:ind w:left="280"/>
      </w:pPr>
      <w:r>
        <w:rPr>
          <w:rFonts w:ascii="Calibri" w:cs="Calibri" w:eastAsia="Calibri" w:hAnsi="Calibri"/>
          <w:i/>
          <w:iCs/>
          <w:color w:val="B71C1C"/>
          <w:sz w:val="19"/>
          <w:szCs w:val="19"/>
        </w:rPr>
        <w:t xml:space="preserve">Kritisch: Die Engine-Schicht (3100) wird NIEMALS über das Netzwerk exponiert. Kein Endpoint ruft einen anderen Registry-Node auf um eine CGFI-Berechnung durchzuführen. Alle Berechnungen sind lokal, deterministisch und zustandslos.</w:t>
      </w:r>
    </w:p>
    <w:p>
      <w:pPr>
        <w:spacing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  API-Design-Entscheidungen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5.1  Warum CG-STD-4100 als Gateway, nicht CG-STD-3100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CG-STD-3100 ist eine Algorithmus-Spezifikation. Sie hat keine Konzepte für HTTP-Verben, Statuscodes, Authentifizierung oder Ressource-Identifikatoren. Ein "API-Gateway basierend auf 3100" würde bedeuten, diese Konzepte in ein Dokument einzuführen das sie explizit ausschließt — und 114 normative Tests zu invalidieren die genau diese Sauberkeit der Schicht testen.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CG-STD-4100 hingegen definiert bereits 20+ Endpoints, JWT/RBAC mit 5 Rollen, Webhook-Delivery mit HMAC-Signierung und 7 Resolver-Backends. Die Reference Registry implementiert diesen Standard vollständig — sie fügt nichts hinzu, lässt nichts weg.</w:t>
      </w:r>
    </w:p>
    <w:p>
      <w:pPr>
        <w:spacing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138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Aspekt</w:t>
            </w:r>
          </w:p>
        </w:tc>
        <w:tc>
          <w:tcPr>
            <w:tcW w:type="dxa" w:w="33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CG-STD-3100</w:t>
            </w:r>
          </w:p>
        </w:tc>
        <w:tc>
          <w:tcPr>
            <w:tcW w:type="dxa" w:w="3138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CG-STD-4100 (Gateway)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Zuständigkeit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Algorithmen, BigInt, Tests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REST, Auth, Persistenz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State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Zustandslos (pure functions)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Zustandsbehaftet (Registry)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Testbarkeit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Unit-Tests (T-ENG-001–114)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Integrationstests (T-API-*)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Versionierung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Nach math. Korrektheit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Nach API-Stabilität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Netzwerk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Kein Konzept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Kernkompetenz</w:t>
            </w:r>
          </w:p>
        </w:tc>
      </w:tr>
    </w:tbl>
    <w:p>
      <w:pPr>
        <w:spacing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5.2  Föderationsmodell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Reference Registry ist nicht zwingend zentral. Organisationen die CGUAS-Segmente betreiben, können eigene Registry-Nodes aufsetzen die mit der zentralen Instanz föderieren. Das Föderationsprotokoll folgt dem Resolver-Mechanismus aus CG-STD-4100 Kap. 8:</w:t>
      </w:r>
    </w:p>
    <w:p>
      <w:pPr>
        <w:spacing w:before="40"/>
      </w:pP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// Föderierter Abruf einer CGUA-Adresse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GET /v1/resolve/CG:CGUAS:219847362917234891/v1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// Registry prüft Segment-Ownership: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// segment.owner = at.gv.staatsarchiv → Delegation an deren Node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HTTP 307 Temporary Redirect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Location: https://registry.staatsarchiv.at/v1/files/a3f7b2c1...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// Oder direkter Abruf wenn Inhalt repliziert:</w:t>
      </w:r>
    </w:p>
    <w:p>
      <w:pPr>
        <w:pBdr>
          <w:left w:val="single" w:color="17A589" w:sz="4" w:space="8"/>
        </w:pBdr>
        <w:shd w:fill="F2F4F7" w:val="clear"/>
        <w:spacing w:after="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HTTP 200 OK  { manifest: {...}, cgfi: 'a3f7b2c1...' }</w:t>
      </w:r>
    </w:p>
    <w:p>
      <w:pPr>
        <w:spacing w:before="60"/>
      </w:pPr>
    </w:p>
    <w:p>
      <w:pPr>
        <w:pBdr>
          <w:left w:val="single" w:color="2E6DA4" w:sz="6" w:space="8"/>
        </w:pBdr>
        <w:shd w:fill="EBF3FA" w:val="clear"/>
        <w:spacing w:after="40" w:before="40"/>
        <w:ind w:left="280"/>
      </w:pPr>
      <w:r>
        <w:rPr>
          <w:rFonts w:ascii="Calibri" w:cs="Calibri" w:eastAsia="Calibri" w:hAnsi="Calibri"/>
          <w:i/>
          <w:iCs/>
          <w:color w:val="1B3A6B"/>
          <w:sz w:val="19"/>
          <w:szCs w:val="19"/>
        </w:rPr>
        <w:t xml:space="preserve">Föderierte Nodes MÜSSEN denselben CG-STD-4100-Standard implementieren. Die Reference Registry verifiziert bei der Segment-Registrierung via CIP-SEG ob der Antragsteller einen konformen Node betreibt (Konformitätszertifikat Level 2 oder höher, CG-STD-5100).</w:t>
      </w:r>
    </w:p>
    <w:p>
      <w:pPr>
        <w:spacing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5.3  Authentifizierung und Rollen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Reference Registry übernimmt das JWT/RBAC-Modell aus CG-STD-4100 Kap. 7 unverändert. Für die zentralen Registrierungsfunktionen gelten folgende Rollenzuordnungen:</w:t>
      </w:r>
    </w:p>
    <w:p>
      <w:pPr>
        <w:spacing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43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22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Zugriff</w:t>
            </w:r>
          </w:p>
        </w:tc>
        <w:tc>
          <w:tcPr>
            <w:tcW w:type="dxa" w:w="4438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Typische Akteure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Reader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 auf alle Endpunkte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Alle — öffentliche Registry-Abfragen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Contributor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 /v1/domains/validate, POST /v1/convert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Entwickler, Implementierer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Maintainer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 /v1/files, POST /v1/segments/*/allocate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Zertifizierte Organisationen (Level 1+)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 /v1/domains (CIP-Freigabe), POST /v1/segments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TSC, DMC (via CIP-Prozess)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Auditor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 /v1/files/*/verify, GET */history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CCO, externe Prüfer</w:t>
            </w:r>
          </w:p>
        </w:tc>
      </w:tr>
    </w:tbl>
    <w:p>
      <w:pPr>
        <w:spacing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  Governance-Integration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Reference Registry ist keine technische Insel — sie ist das operative Rückgrat der ChronoGrid-Governance. Drei Governance-Prozesse aus CG-ORG-2100 laufen direkt über die Registry:</w:t>
      </w:r>
    </w:p>
    <w:p>
      <w:pPr>
        <w:spacing w:before="60"/>
      </w:pP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CIP-D (Domain-Einreichung)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Einreicher lädt CTDDL-Dokument via POST /v1/domains/validate → syntaktische und semantische Prüfung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TSC-Review-Prozess läuft außerhalb der Registry (E-Mail, Dokument-Management)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TSC-Freigabe → Admin führt POST /v1/domains durch → Domain ist ab sofort global abrufbar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Alle Versionen bleiben dauerhaft erhalten (Insert-only, I-D1)</w:t>
      </w:r>
    </w:p>
    <w:p>
      <w:pPr>
        <w:spacing w:before="40"/>
      </w:pP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CIP-SEG (Segment-Registrierung)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DMC prüft CIP-SEG-Antrag und Konformitätszertifikat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Freigabe → Admin führt POST /v1/segments durch mit owner_id, size_ns, level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Organisation erhält Segment-ID und kann ab sofort Adressen via POST /v1/segments/{id}/allocate vergeben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NamespaceConflict-Prüfung (CG-E-010.003) ist in der Registry-Logik atomar implementiert</w:t>
      </w:r>
    </w:p>
    <w:p>
      <w:pPr>
        <w:spacing w:before="40"/>
      </w:pP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Zertifizierungs-Verifikation (CG-STD-5100)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Zertifizierter Level-1/2/3-Status wird als JWT-Claim cg_cert_level übertragen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Registry prüft Zertifikat gegen öffentliches Zertifikatsregister unter registry.chronogrid.org/certs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Abgelaufene Zertifikate → automatischer Rollen-Downgrade auf Contributor</w:t>
      </w:r>
    </w:p>
    <w:p>
      <w:pPr>
        <w:spacing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  Deployment-Empfehlung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Reference Registry ist als containerisierter Dienst konzipiert. Für eine produktive Instanz empfiehlt sich folgende Minimalkonfiguration:</w:t>
      </w:r>
    </w:p>
    <w:p>
      <w:pPr>
        <w:spacing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238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30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Empfehlung</w:t>
            </w:r>
          </w:p>
        </w:tc>
        <w:tc>
          <w:tcPr>
            <w:tcW w:type="dxa" w:w="3238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Normative Grundlage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API-Server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 oder Rust (Level-3-Engine, CG-STD-3100 Kap. 6.3)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CG-STD-3100, CG-STD-4100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Datenbank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PostgreSQL ≥ 15 (ACID, Row-Level Security)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CG-STD-4100 Kap. 3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Authentifizierung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JWT RS256/ES256, JWKS-Endpoint öffentlich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CG-STD-4100 Kap. 7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TAI-Uhr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CLOCK_TAI via chrony + PPS-GPS (Nanosekunden)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CG-STD-6100 Kap. 7.3.1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TLS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TLS 1.3, mTLS für interne Dienste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CG-STD-4100 Kap. 7.4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Replikation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Read-Replicas für GET-Endpunkte, Primary für INSERT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I-D1, CG-STD-4100 Kap. 3</w:t>
            </w:r>
          </w:p>
        </w:tc>
      </w:tr>
    </w:tbl>
    <w:p>
      <w:pPr>
        <w:spacing w:before="60"/>
      </w:pPr>
    </w:p>
    <w:p>
      <w:pPr>
        <w:pBdr>
          <w:left w:val="single" w:color="C87A10" w:sz="6" w:space="8"/>
        </w:pBdr>
        <w:shd w:fill="FFF3CD" w:val="clear"/>
        <w:spacing w:after="40" w:before="40"/>
        <w:ind w:left="280"/>
      </w:pPr>
      <w:r>
        <w:rPr>
          <w:rFonts w:ascii="Calibri" w:cs="Calibri" w:eastAsia="Calibri" w:hAnsi="Calibri"/>
          <w:i/>
          <w:iCs/>
          <w:color w:val="856404"/>
          <w:sz w:val="19"/>
          <w:szCs w:val="19"/>
        </w:rPr>
        <w:t xml:space="preserve">Die TAI-Uhr ist sicherheitskritisch. Eine falsch konfigurierte Systemuhr erzeugt inkorrekte created_at-Werte → inkorrekte CGFIs → Verifikationsfehler. Empfehlung: GPS-disciplined NTP mit CLOCK_TAI-Unterstützung (chrony ≥ 4.0).</w:t>
      </w:r>
    </w:p>
    <w:p>
      <w:pPr>
        <w:spacing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  Offene Punkte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Folgende Punkte sind für v1.0 der Reference Registry noch offen:</w:t>
      </w:r>
    </w:p>
    <w:p>
      <w:pPr>
        <w:spacing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  <w:gridCol w:w="1600"/>
        <w:gridCol w:w="1838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Offener Punkt</w:t>
            </w:r>
          </w:p>
        </w:tc>
        <w:tc>
          <w:tcPr>
            <w:tcW w:type="dxa" w:w="16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Abhängigkeit</w:t>
            </w:r>
          </w:p>
        </w:tc>
        <w:tc>
          <w:tcPr>
            <w:tcW w:type="dxa" w:w="1838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Priorität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R-01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Föderations-Protokoll: Wie verifiziert die zentrale Registry dass ein föderierter Node konform ist?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CG-STD-5100 v1.x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🔴 Hoch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R-02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Namespace-Registrierung für FileType-Bezeichner (OP-12, teilweise gelöst in CG-STD-6100 v0.5 Kap. 8.4): ABNF und Basiskatalog sind normativ definiert. POST /filetypes ist der zugehörige Registry-Endpoint. Offen: TSC-Entscheidung zu Delegationsmechanismus (category-owner) und privaten Namespaces.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CG-STD-6100 v1.0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🔴 Hoch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R-03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Rate-Limiting-Strategie für öffentliche GET-Endpoints (Domain-Dumps, CGFI-Bulk-Verifikation)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CG-STD-4100 v1.0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🟠 Mittel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R-04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CGFI-Bulk-Import für Batch-Szenarien (SEQ-Mechanismus, CG-STD-6100 Kap. 7.3.1): Transaktionsgröße normieren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CG-STD-6100 v1.0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🟠 Mittel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R-05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Disaster-Recovery: Wie wird der Registry-Zustand aus dem Insert-only-Log wiederhergestellt?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CG-STD-4100 v1.0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🟡 Niedrig</w:t>
            </w:r>
          </w:p>
        </w:tc>
      </w:tr>
    </w:tbl>
    <w:p>
      <w:pPr>
        <w:spacing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  Zusammenfassung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ChronoGrid Reference Registry ist die operative Klammer des gesamten Spezifikationsstacks. Sie verbindet was die normativen Dokumente getrennt halten: Engine-Logik (3100), Persistenz und API (4100), Governance-Prozesse (ORG-2100), Zertifizierung (5100) und Adressraum (6100).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 zentrale Architekturprinzip — CG-STD-3100 intern, CG-STD-4100 extern — stellt sicher dass weder die Algorithmus-Spezifikation durch API-Anforderungen kompromittiert wird, noch die API-Stabilität durch Engine-Änderungen gefährdet wird. Beide Schichten entwickeln sich unabhängig.</w:t>
      </w:r>
    </w:p>
    <w:p>
      <w:pPr>
        <w:spacing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38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6038"/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Normative Grundlage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Domain Registry (CTDDL)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CG-STD-2100 v1.4 (Sprache), CG-STD-3100 v1.5 (Mapping-Engine), CG-STD-4100 v0.7 (API)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Segment Registry (CGUAS)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CG-STD-6100 v0.5 (Adressraum), CG-STD-4100 v0.7 (API), CG-ORG-2100 v1.4 (CIP-SEG)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CGFI Registry (Dateien)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CG-STD-3100 v1.5 (computeCGFI), CG-STD-6100 v0.5 (Manifest), CG-STD-4100 v0.7 (API)</w:t>
            </w:r>
          </w:p>
        </w:tc>
      </w:tr>
      <w:tr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Governance-Integration</w:t>
            </w:r>
          </w:p>
        </w:tc>
        <w:tc>
          <w:tcPr>
            <w:gridSpan w:val="1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CG-ORG-2100 v1.4 (CIP), CG-STD-5100 v1.3 (Zertifizierung)</w:t>
            </w:r>
          </w:p>
        </w:tc>
      </w:tr>
    </w:tbl>
    <w:p>
      <w:pPr>
        <w:spacing w:before="80"/>
      </w:pPr>
    </w:p>
    <w:p>
      <w:pPr>
        <w:pBdr>
          <w:left w:val="single" w:color="2E6DA4" w:sz="6" w:space="8"/>
        </w:pBdr>
        <w:shd w:fill="EBF3FA" w:val="clear"/>
        <w:spacing w:after="40" w:before="40"/>
        <w:ind w:left="280"/>
      </w:pPr>
      <w:r>
        <w:rPr>
          <w:rFonts w:ascii="Calibri" w:cs="Calibri" w:eastAsia="Calibri" w:hAnsi="Calibri"/>
          <w:i/>
          <w:iCs/>
          <w:color w:val="1B3A6B"/>
          <w:sz w:val="19"/>
          <w:szCs w:val="19"/>
        </w:rPr>
        <w:t xml:space="preserve">Dieses Dokument ist nicht normativ. Die verbindlichen Definitionen für alle hier beschriebenen Schnittstellen und Algorithmen befinden sich in den referenzierten normativen Spezifikationen (CG-STD-2100 bis CG-STD-6100, CG-ORG-2100, CG-STD-5100).</w:t>
      </w:r>
    </w:p>
    <w:p>
      <w:pPr>
        <w:spacing w:before="80"/>
      </w:pPr>
    </w:p>
    <w:p>
      <w:pPr>
        <w:pBdr>
          <w:top w:val="single" w:color="2E6DA4" w:sz="4" w:space="8"/>
        </w:pBdr>
        <w:spacing w:before="12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ChronoGrid Systems  ·  Kurt, Founder &amp; Lead Architect  ·  Neunkirchen, Niederösterreich  ·  April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spacing w:before="8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CG-APP-0500 v0.3 DRAFT  ·  ChronoGrid Reference Registry  ·  April 2026  ·  Seite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80"/>
    </w:pPr>
    <w:r>
      <w:rPr>
        <w:rFonts w:ascii="Calibri" w:cs="Calibri" w:eastAsia="Calibri" w:hAnsi="Calibri"/>
        <w:b/>
        <w:bCs/>
        <w:color w:val="1B3A6B"/>
        <w:sz w:val="18"/>
        <w:szCs w:val="18"/>
      </w:rPr>
      <w:t xml:space="preserve">ChronoGrid  ·  Reference Registry</w:t>
    </w:r>
    <w:r>
      <w:rPr>
        <w:rFonts w:ascii="Calibri" w:cs="Calibri" w:eastAsia="Calibri" w:hAnsi="Calibri"/>
        <w:color w:val="555555"/>
        <w:sz w:val="18"/>
        <w:szCs w:val="18"/>
      </w:rPr>
      <w:t xml:space="preserve">  ·  CG-APP-0500 v0.3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2026-04-04T06:31:40.291Z</dcterms:created>
  <dcterms:modified xsi:type="dcterms:W3CDTF">2026-04-04T06:31:40.291Z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