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58A36" w14:textId="77777777" w:rsidR="00347EE2" w:rsidRDefault="00000000">
      <w:pPr>
        <w:shd w:val="clear" w:color="auto" w:fill="1B3A6B"/>
        <w:jc w:val="center"/>
      </w:pPr>
      <w:r>
        <w:rPr>
          <w:rFonts w:ascii="Georgia" w:eastAsia="Georgia" w:hAnsi="Georgia" w:cs="Georgia"/>
          <w:b/>
          <w:bCs/>
          <w:color w:val="FFFFFF"/>
          <w:sz w:val="56"/>
          <w:szCs w:val="56"/>
        </w:rPr>
        <w:t>ChronoGrid</w:t>
      </w:r>
    </w:p>
    <w:p w14:paraId="4DD58A37" w14:textId="77777777" w:rsidR="00347EE2" w:rsidRDefault="00000000">
      <w:pPr>
        <w:shd w:val="clear" w:color="auto" w:fill="1B3A6B"/>
        <w:jc w:val="center"/>
      </w:pPr>
      <w:r>
        <w:rPr>
          <w:rFonts w:ascii="Georgia" w:eastAsia="Georgia" w:hAnsi="Georgia" w:cs="Georgia"/>
          <w:color w:val="17A589"/>
          <w:sz w:val="28"/>
          <w:szCs w:val="28"/>
        </w:rPr>
        <w:t>Begleitschreiben zur formalen Verifikation</w:t>
      </w:r>
    </w:p>
    <w:p w14:paraId="4DD58A38" w14:textId="77777777" w:rsidR="00347EE2" w:rsidRDefault="00000000">
      <w:pPr>
        <w:shd w:val="clear" w:color="auto" w:fill="1B3A6B"/>
      </w:pPr>
      <w:r>
        <w:rPr>
          <w:color w:val="B0C4D8"/>
          <w:sz w:val="18"/>
          <w:szCs w:val="18"/>
        </w:rPr>
        <w:t>CG-STD-0000 v0.4  ·  Mathematische Grundlagen  ·  April 2026</w:t>
      </w:r>
    </w:p>
    <w:p w14:paraId="4DD58A39" w14:textId="77777777" w:rsidR="00347EE2" w:rsidRPr="00B66273" w:rsidRDefault="00347EE2">
      <w:pPr>
        <w:spacing w:before="200"/>
        <w:rPr>
          <w:sz w:val="2"/>
          <w:szCs w:val="2"/>
        </w:rPr>
      </w:pPr>
    </w:p>
    <w:p w14:paraId="4DD58A3A" w14:textId="77777777" w:rsidR="00347EE2" w:rsidRDefault="00000000">
      <w:pPr>
        <w:spacing w:before="100" w:after="80"/>
      </w:pPr>
      <w:r>
        <w:rPr>
          <w:b/>
          <w:bCs/>
          <w:color w:val="1B3A6B"/>
          <w:sz w:val="24"/>
          <w:szCs w:val="24"/>
        </w:rPr>
        <w:t>1.  Kontext und Ziel</w:t>
      </w:r>
    </w:p>
    <w:p w14:paraId="4DD58A3B" w14:textId="77777777" w:rsidR="00347EE2" w:rsidRDefault="00000000">
      <w:pPr>
        <w:spacing w:before="40" w:after="40"/>
      </w:pPr>
      <w:r>
        <w:rPr>
          <w:sz w:val="20"/>
          <w:szCs w:val="20"/>
        </w:rPr>
        <w:t>ChronoGrid ist ein universelles Zeitstandardisierungsprojekt das eine maschinenlesbare Beschreibungssprache für beliebige Zeitdomänen definiert. CG-STD-0000 ist das mathematische Basisdokument auf das sich alle 16 weiteren Spezifikationsdokumente normativ beziehen. Es hat DRAFT-Status und kann erst nach formaler Verifikation als v1.0 freigegeben werden.</w:t>
      </w:r>
    </w:p>
    <w:p w14:paraId="4DD58A3C" w14:textId="77777777" w:rsidR="00347EE2" w:rsidRDefault="00000000">
      <w:pPr>
        <w:spacing w:before="40" w:after="40"/>
      </w:pPr>
      <w:r>
        <w:rPr>
          <w:sz w:val="20"/>
          <w:szCs w:val="20"/>
        </w:rPr>
        <w:t>Ziel der Prüfung: Bestätigung dass keine der 17 formalen Aussagen (Propositionen, Theoreme, Lemmata, Korollare) mathematisch falsch ist. Die Beweise sind absichtlich elementar gehalten — das Dokument ist ein formales Fundament für eine Industriespezifikation, kein Forschungsbeitrag.</w:t>
      </w:r>
    </w:p>
    <w:p w14:paraId="4DD58A3D" w14:textId="77777777" w:rsidR="00347EE2" w:rsidRDefault="00000000">
      <w:pPr>
        <w:spacing w:before="160" w:after="80"/>
      </w:pPr>
      <w:r>
        <w:rPr>
          <w:b/>
          <w:bCs/>
          <w:color w:val="1B3A6B"/>
          <w:sz w:val="24"/>
          <w:szCs w:val="24"/>
        </w:rPr>
        <w:t>2.  Prüfumfang — Die 4 DRAFT-Theoreme</w:t>
      </w:r>
    </w:p>
    <w:p w14:paraId="4DD58A3E" w14:textId="77777777" w:rsidR="00347EE2" w:rsidRDefault="00000000">
      <w:pPr>
        <w:spacing w:before="40" w:after="60"/>
      </w:pPr>
      <w:r>
        <w:rPr>
          <w:sz w:val="20"/>
          <w:szCs w:val="20"/>
        </w:rPr>
        <w:t>Von 17 Aussagen sind 12 intern verifiziert und 1 vollständig bewiesen (Theorem 5.4). Die folgenden 4 Theoreme erfordern externe Expertise und sind Ihr primärer Prüffokus: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2600"/>
        <w:gridCol w:w="2638"/>
      </w:tblGrid>
      <w:tr w:rsidR="00347EE2" w14:paraId="4DD58A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58A3F" w14:textId="77777777" w:rsidR="00347EE2" w:rsidRDefault="00000000">
            <w:r>
              <w:rPr>
                <w:b/>
                <w:bCs/>
                <w:color w:val="FFFFFF"/>
                <w:sz w:val="18"/>
                <w:szCs w:val="18"/>
              </w:rPr>
              <w:t>Theorem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58A40" w14:textId="77777777" w:rsidR="00347EE2" w:rsidRDefault="00000000">
            <w:r>
              <w:rPr>
                <w:b/>
                <w:bCs/>
                <w:color w:val="FFFFFF"/>
                <w:sz w:val="18"/>
                <w:szCs w:val="18"/>
              </w:rPr>
              <w:t>Aussage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58A41" w14:textId="77777777" w:rsidR="00347EE2" w:rsidRDefault="00000000">
            <w:r>
              <w:rPr>
                <w:b/>
                <w:bCs/>
                <w:color w:val="FFFFFF"/>
                <w:sz w:val="18"/>
                <w:szCs w:val="18"/>
              </w:rPr>
              <w:t>Benötigte Expertise</w:t>
            </w:r>
          </w:p>
        </w:tc>
        <w:tc>
          <w:tcPr>
            <w:tcW w:w="26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58A42" w14:textId="77777777" w:rsidR="00347EE2" w:rsidRDefault="00000000">
            <w:r>
              <w:rPr>
                <w:b/>
                <w:bCs/>
                <w:color w:val="FFFFFF"/>
                <w:sz w:val="18"/>
                <w:szCs w:val="18"/>
              </w:rPr>
              <w:t>Kernfrage</w:t>
            </w:r>
          </w:p>
        </w:tc>
      </w:tr>
      <w:tr w:rsidR="00347EE2" w14:paraId="4DD58A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58A44" w14:textId="77777777" w:rsidR="00347EE2" w:rsidRDefault="00000000">
            <w:r>
              <w:rPr>
                <w:b/>
                <w:bCs/>
                <w:color w:val="C0392B"/>
                <w:sz w:val="19"/>
                <w:szCs w:val="19"/>
              </w:rPr>
              <w:t>Theorem 1.2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58A45" w14:textId="77777777" w:rsidR="00347EE2" w:rsidRDefault="00000000">
            <w:r>
              <w:rPr>
                <w:color w:val="1A1A1A"/>
                <w:sz w:val="18"/>
                <w:szCs w:val="18"/>
              </w:rPr>
              <w:t>Eindeutigkeit der CGTA (SHA-256-basiert)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58A46" w14:textId="77777777" w:rsidR="00347EE2" w:rsidRDefault="00000000">
            <w:r>
              <w:rPr>
                <w:color w:val="1A1A1A"/>
                <w:sz w:val="18"/>
                <w:szCs w:val="18"/>
              </w:rPr>
              <w:t>Kryptograph</w:t>
            </w:r>
          </w:p>
        </w:tc>
        <w:tc>
          <w:tcPr>
            <w:tcW w:w="26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58A47" w14:textId="77777777" w:rsidR="00347EE2" w:rsidRDefault="00000000">
            <w:r>
              <w:rPr>
                <w:color w:val="1A1A1A"/>
                <w:sz w:val="18"/>
                <w:szCs w:val="18"/>
              </w:rPr>
              <w:t>Reicht Kollisionsresistenz als computationelle Annahme für die Eindeutigkeitsgarantie?</w:t>
            </w:r>
          </w:p>
        </w:tc>
      </w:tr>
      <w:tr w:rsidR="00347EE2" w14:paraId="4DD58A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58A49" w14:textId="77777777" w:rsidR="00347EE2" w:rsidRDefault="00000000">
            <w:r>
              <w:rPr>
                <w:b/>
                <w:bCs/>
                <w:color w:val="C0392B"/>
                <w:sz w:val="19"/>
                <w:szCs w:val="19"/>
              </w:rPr>
              <w:t>Theorem 4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58A4A" w14:textId="77777777" w:rsidR="00347EE2" w:rsidRDefault="00000000">
            <w:r>
              <w:rPr>
                <w:color w:val="1A1A1A"/>
                <w:sz w:val="18"/>
                <w:szCs w:val="18"/>
              </w:rPr>
              <w:t>Relativistisches Mapping (Eigenzeit-Integral über Weltlinie)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58A4B" w14:textId="77777777" w:rsidR="00347EE2" w:rsidRDefault="00000000">
            <w:r>
              <w:rPr>
                <w:color w:val="1A1A1A"/>
                <w:sz w:val="18"/>
                <w:szCs w:val="18"/>
              </w:rPr>
              <w:t>Physiker (SRT/ART)</w:t>
            </w:r>
          </w:p>
        </w:tc>
        <w:tc>
          <w:tcPr>
            <w:tcW w:w="26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58A4C" w14:textId="77777777" w:rsidR="00347EE2" w:rsidRDefault="00000000">
            <w:r>
              <w:rPr>
                <w:color w:val="1A1A1A"/>
                <w:sz w:val="18"/>
                <w:szCs w:val="18"/>
              </w:rPr>
              <w:t>Existenz und Eindeutigkeit der ODE-Lösung? Fehlerabschätzung für RK45?</w:t>
            </w:r>
          </w:p>
        </w:tc>
      </w:tr>
      <w:tr w:rsidR="00347EE2" w14:paraId="4DD58A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58A4E" w14:textId="77777777" w:rsidR="00347EE2" w:rsidRDefault="00000000">
            <w:r>
              <w:rPr>
                <w:b/>
                <w:bCs/>
                <w:color w:val="C0392B"/>
                <w:sz w:val="19"/>
                <w:szCs w:val="19"/>
              </w:rPr>
              <w:t>Theorem 5.2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58A4F" w14:textId="77777777" w:rsidR="00347EE2" w:rsidRDefault="00000000">
            <w:r>
              <w:rPr>
                <w:color w:val="1A1A1A"/>
                <w:sz w:val="18"/>
                <w:szCs w:val="18"/>
              </w:rPr>
              <w:t>Determinismus (I-R3): Plattformunabhängigkeit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58A50" w14:textId="77777777" w:rsidR="00347EE2" w:rsidRDefault="00000000">
            <w:r>
              <w:rPr>
                <w:color w:val="1A1A1A"/>
                <w:sz w:val="18"/>
                <w:szCs w:val="18"/>
              </w:rPr>
              <w:t>Informatiker (Coq/Isabelle)</w:t>
            </w:r>
          </w:p>
        </w:tc>
        <w:tc>
          <w:tcPr>
            <w:tcW w:w="26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58A51" w14:textId="77777777" w:rsidR="00347EE2" w:rsidRDefault="00000000">
            <w:r>
              <w:rPr>
                <w:color w:val="1A1A1A"/>
                <w:sz w:val="18"/>
                <w:szCs w:val="18"/>
              </w:rPr>
              <w:t>Mathematisch beweisbar oder Implementierungsanforderung?</w:t>
            </w:r>
          </w:p>
        </w:tc>
      </w:tr>
      <w:tr w:rsidR="00347EE2" w14:paraId="4DD58A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58A53" w14:textId="77777777" w:rsidR="00347EE2" w:rsidRDefault="00000000">
            <w:r>
              <w:rPr>
                <w:b/>
                <w:bCs/>
                <w:color w:val="C0392B"/>
                <w:sz w:val="19"/>
                <w:szCs w:val="19"/>
              </w:rPr>
              <w:t>Theorem 5.5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58A54" w14:textId="77777777" w:rsidR="00347EE2" w:rsidRDefault="00000000">
            <w:r>
              <w:rPr>
                <w:color w:val="1A1A1A"/>
                <w:sz w:val="18"/>
                <w:szCs w:val="18"/>
              </w:rPr>
              <w:t>Segment-Isolation (I-SEG-1): Keine Cross-Segment-Seiteneffekte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58A55" w14:textId="77777777" w:rsidR="00347EE2" w:rsidRDefault="00000000">
            <w:r>
              <w:rPr>
                <w:color w:val="1A1A1A"/>
                <w:sz w:val="18"/>
                <w:szCs w:val="18"/>
              </w:rPr>
              <w:t>Systems-Reviewer (TLA+)</w:t>
            </w:r>
          </w:p>
        </w:tc>
        <w:tc>
          <w:tcPr>
            <w:tcW w:w="26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58A56" w14:textId="77777777" w:rsidR="00347EE2" w:rsidRDefault="00000000">
            <w:r>
              <w:rPr>
                <w:color w:val="1A1A1A"/>
                <w:sz w:val="18"/>
                <w:szCs w:val="18"/>
              </w:rPr>
              <w:t>Beweis aus Insert-only-Systemmodell formal ableitbar?</w:t>
            </w:r>
          </w:p>
        </w:tc>
      </w:tr>
    </w:tbl>
    <w:p w14:paraId="4DD58A58" w14:textId="77777777" w:rsidR="00347EE2" w:rsidRDefault="00000000">
      <w:pPr>
        <w:spacing w:before="200" w:after="80"/>
      </w:pPr>
      <w:r>
        <w:rPr>
          <w:b/>
          <w:bCs/>
          <w:color w:val="1B3A6B"/>
          <w:sz w:val="24"/>
          <w:szCs w:val="24"/>
        </w:rPr>
        <w:t>3.  Bekannte Diskussionspunkte</w:t>
      </w:r>
    </w:p>
    <w:p w14:paraId="4DD58A59" w14:textId="77777777" w:rsidR="00347EE2" w:rsidRDefault="00000000">
      <w:pPr>
        <w:pBdr>
          <w:left w:val="single" w:sz="6" w:space="8" w:color="17A589"/>
        </w:pBdr>
        <w:shd w:val="clear" w:color="auto" w:fill="EBF3FA"/>
        <w:spacing w:before="40" w:after="40"/>
        <w:ind w:left="280"/>
      </w:pPr>
      <w:r>
        <w:rPr>
          <w:color w:val="1B3A6B"/>
          <w:sz w:val="19"/>
          <w:szCs w:val="19"/>
        </w:rPr>
        <w:t>ℤ∞-Notation: Mathematisch ist ℤ gemeint (unbegrenzte ganze Zahlen). Das ∞-Subskript betont gegenüber Implementierern, dass kein int32/int64-Overflow erlaubt ist. Falls Sie eine andere Notation empfehlen, übernehmen wir diese.</w:t>
      </w:r>
    </w:p>
    <w:p w14:paraId="4DD58A5A" w14:textId="77777777" w:rsidR="00347EE2" w:rsidRDefault="00000000">
      <w:pPr>
        <w:pBdr>
          <w:left w:val="single" w:sz="6" w:space="8" w:color="17A589"/>
        </w:pBdr>
        <w:shd w:val="clear" w:color="auto" w:fill="EBF3FA"/>
        <w:spacing w:before="40" w:after="40"/>
        <w:ind w:left="280"/>
      </w:pPr>
      <w:r>
        <w:rPr>
          <w:color w:val="1B3A6B"/>
          <w:sz w:val="19"/>
          <w:szCs w:val="19"/>
        </w:rPr>
        <w:t>Theorem 1.2 (SHA-256): Der Beweis setzt Kollisionsresistenz als computationelle Annahme voraus. Möglicherweise besser als „Proposition unter kryptographischer Standardannahme“ zu klassifizieren.</w:t>
      </w:r>
    </w:p>
    <w:p w14:paraId="4DD58A5B" w14:textId="77777777" w:rsidR="00347EE2" w:rsidRDefault="00000000">
      <w:pPr>
        <w:pBdr>
          <w:left w:val="single" w:sz="6" w:space="8" w:color="17A589"/>
        </w:pBdr>
        <w:shd w:val="clear" w:color="auto" w:fill="EBF3FA"/>
        <w:spacing w:before="40" w:after="40"/>
        <w:ind w:left="280"/>
      </w:pPr>
      <w:r>
        <w:rPr>
          <w:color w:val="1B3A6B"/>
          <w:sz w:val="19"/>
          <w:szCs w:val="19"/>
        </w:rPr>
        <w:t>Korollar 3.1: Der Titel „Keine Zeitinformation geht verloren“ ist zu stark — gilt nur für bijektive Mappings (a ≠ 0). Wir wissen das und korrigieren auf Ihren Vorschlag.</w:t>
      </w:r>
    </w:p>
    <w:p w14:paraId="4DD58A5C" w14:textId="77777777" w:rsidR="00347EE2" w:rsidRDefault="00000000">
      <w:pPr>
        <w:spacing w:before="200" w:after="80"/>
      </w:pPr>
      <w:r>
        <w:rPr>
          <w:b/>
          <w:bCs/>
          <w:color w:val="1B3A6B"/>
          <w:sz w:val="24"/>
          <w:szCs w:val="24"/>
        </w:rPr>
        <w:t>4.  Mitgelieferte Dokumente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838"/>
        <w:gridCol w:w="2000"/>
      </w:tblGrid>
      <w:tr w:rsidR="00347EE2" w14:paraId="4DD58A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58A5D" w14:textId="77777777" w:rsidR="00347EE2" w:rsidRDefault="00000000">
            <w:r>
              <w:rPr>
                <w:b/>
                <w:bCs/>
                <w:color w:val="FFFFFF"/>
                <w:sz w:val="18"/>
                <w:szCs w:val="18"/>
              </w:rPr>
              <w:t>Dokument</w:t>
            </w:r>
          </w:p>
        </w:tc>
        <w:tc>
          <w:tcPr>
            <w:tcW w:w="48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58A5E" w14:textId="77777777" w:rsidR="00347EE2" w:rsidRDefault="00000000">
            <w:r>
              <w:rPr>
                <w:b/>
                <w:bCs/>
                <w:color w:val="FFFFFF"/>
                <w:sz w:val="18"/>
                <w:szCs w:val="18"/>
              </w:rPr>
              <w:t>Zweck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58A5F" w14:textId="77777777" w:rsidR="00347EE2" w:rsidRDefault="00000000">
            <w:r>
              <w:rPr>
                <w:b/>
                <w:bCs/>
                <w:color w:val="FFFFFF"/>
                <w:sz w:val="18"/>
                <w:szCs w:val="18"/>
              </w:rPr>
              <w:t>Lesen?</w:t>
            </w:r>
          </w:p>
        </w:tc>
      </w:tr>
      <w:tr w:rsidR="00347EE2" w14:paraId="4DD58A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58A61" w14:textId="77777777" w:rsidR="00347EE2" w:rsidRDefault="00000000">
            <w:r>
              <w:rPr>
                <w:b/>
                <w:bCs/>
                <w:color w:val="1A1A1A"/>
                <w:sz w:val="19"/>
                <w:szCs w:val="19"/>
              </w:rPr>
              <w:t>CG-STD-1000 v1.1</w:t>
            </w:r>
          </w:p>
        </w:tc>
        <w:tc>
          <w:tcPr>
            <w:tcW w:w="48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58A62" w14:textId="77777777" w:rsidR="00347EE2" w:rsidRDefault="00000000">
            <w:r>
              <w:rPr>
                <w:color w:val="1A1A1A"/>
                <w:sz w:val="18"/>
                <w:szCs w:val="18"/>
              </w:rPr>
              <w:t>Normatives Glossar — Nachschlagewerk für Begriffe, Identifier, Invarianten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58A63" w14:textId="77777777" w:rsidR="00347EE2" w:rsidRDefault="00000000">
            <w:r>
              <w:rPr>
                <w:color w:val="1A1A1A"/>
                <w:sz w:val="18"/>
                <w:szCs w:val="18"/>
              </w:rPr>
              <w:t>Bei Bedarf</w:t>
            </w:r>
          </w:p>
        </w:tc>
      </w:tr>
      <w:tr w:rsidR="00347EE2" w14:paraId="4DD58A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58A65" w14:textId="77777777" w:rsidR="00347EE2" w:rsidRDefault="00000000">
            <w:r>
              <w:rPr>
                <w:b/>
                <w:bCs/>
                <w:color w:val="1A1A1A"/>
                <w:sz w:val="19"/>
                <w:szCs w:val="19"/>
              </w:rPr>
              <w:t>CG-STD-0000 v0.4</w:t>
            </w:r>
          </w:p>
        </w:tc>
        <w:tc>
          <w:tcPr>
            <w:tcW w:w="48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58A66" w14:textId="77777777" w:rsidR="00347EE2" w:rsidRDefault="00000000">
            <w:r>
              <w:rPr>
                <w:color w:val="1A1A1A"/>
                <w:sz w:val="18"/>
                <w:szCs w:val="18"/>
              </w:rPr>
              <w:t>Das zu prüfende Dokument — 17 formale Aussagen, 5 Kapitel, Anhang A mit Testvektoren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58A67" w14:textId="77777777" w:rsidR="00347EE2" w:rsidRDefault="00000000">
            <w:r>
              <w:rPr>
                <w:b/>
                <w:bCs/>
                <w:color w:val="1A1A1A"/>
                <w:sz w:val="18"/>
                <w:szCs w:val="18"/>
              </w:rPr>
              <w:t>Vollständig</w:t>
            </w:r>
          </w:p>
        </w:tc>
      </w:tr>
      <w:tr w:rsidR="00347EE2" w14:paraId="4DD58A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58A69" w14:textId="77777777" w:rsidR="00347EE2" w:rsidRPr="00B66273" w:rsidRDefault="00000000">
            <w:pPr>
              <w:rPr>
                <w:lang w:val="sv-SE"/>
              </w:rPr>
            </w:pPr>
            <w:r w:rsidRPr="00B66273">
              <w:rPr>
                <w:b/>
                <w:bCs/>
                <w:color w:val="1A1A1A"/>
                <w:sz w:val="19"/>
                <w:szCs w:val="19"/>
                <w:lang w:val="sv-SE"/>
              </w:rPr>
              <w:t>CG-STD-2100 v1.3, Kap. 4.6–4.7 + Kap. 7</w:t>
            </w:r>
          </w:p>
        </w:tc>
        <w:tc>
          <w:tcPr>
            <w:tcW w:w="48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58A6A" w14:textId="77777777" w:rsidR="00347EE2" w:rsidRDefault="00000000">
            <w:r>
              <w:rPr>
                <w:color w:val="1A1A1A"/>
                <w:sz w:val="18"/>
                <w:szCs w:val="18"/>
              </w:rPr>
              <w:t>CTDDL Mapping-Definitionen (ABNF) und Schaltsekunden-Referenztabelle — für Kap. 3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58A6B" w14:textId="77777777" w:rsidR="00347EE2" w:rsidRDefault="00000000">
            <w:r>
              <w:rPr>
                <w:color w:val="1A1A1A"/>
                <w:sz w:val="18"/>
                <w:szCs w:val="18"/>
              </w:rPr>
              <w:t>Falls Kap. 3 geprüft</w:t>
            </w:r>
          </w:p>
        </w:tc>
      </w:tr>
      <w:tr w:rsidR="00347EE2" w14:paraId="4DD58A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58A6D" w14:textId="77777777" w:rsidR="00347EE2" w:rsidRDefault="00000000">
            <w:r>
              <w:rPr>
                <w:b/>
                <w:bCs/>
                <w:color w:val="1A1A1A"/>
                <w:sz w:val="19"/>
                <w:szCs w:val="19"/>
              </w:rPr>
              <w:t>CG-STD-3100 v1.4, Kap. 2.6 + 8.6</w:t>
            </w:r>
          </w:p>
        </w:tc>
        <w:tc>
          <w:tcPr>
            <w:tcW w:w="48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58A6E" w14:textId="77777777" w:rsidR="00347EE2" w:rsidRDefault="00000000">
            <w:r>
              <w:rPr>
                <w:color w:val="1A1A1A"/>
                <w:sz w:val="18"/>
                <w:szCs w:val="18"/>
              </w:rPr>
              <w:t>BigInt-Serialisierung und RK45-Spezifikation — für Theorem 1.2 und 4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58A6F" w14:textId="77777777" w:rsidR="00347EE2" w:rsidRDefault="00000000">
            <w:r>
              <w:rPr>
                <w:color w:val="1A1A1A"/>
                <w:sz w:val="18"/>
                <w:szCs w:val="18"/>
              </w:rPr>
              <w:t>Falls Th. 1.2/4 geprüft</w:t>
            </w:r>
          </w:p>
        </w:tc>
      </w:tr>
    </w:tbl>
    <w:p w14:paraId="4DD58A71" w14:textId="77777777" w:rsidR="00347EE2" w:rsidRDefault="00000000">
      <w:pPr>
        <w:spacing w:before="200" w:after="80"/>
      </w:pPr>
      <w:r>
        <w:rPr>
          <w:b/>
          <w:bCs/>
          <w:color w:val="1B3A6B"/>
          <w:sz w:val="24"/>
          <w:szCs w:val="24"/>
        </w:rPr>
        <w:t>5.  Erwartetes Ergebnis</w:t>
      </w:r>
    </w:p>
    <w:p w14:paraId="4DD58A72" w14:textId="77777777" w:rsidR="00347EE2" w:rsidRDefault="00000000">
      <w:pPr>
        <w:spacing w:before="40" w:after="40"/>
      </w:pPr>
      <w:r>
        <w:rPr>
          <w:sz w:val="20"/>
          <w:szCs w:val="20"/>
        </w:rPr>
        <w:t>Ein kurzes Gutachten (formlos) das für jede der 17 Aussagen einen Status vergibt: korrekt, korrekt mit Anmerkung, oder fehlerhaft mit Begründung. Zusätzlich: Empfehlungen zur Notation (ℤ∞) und zur Klassifikation (Theorem vs. Proposition vs. Annahme).</w:t>
      </w:r>
    </w:p>
    <w:p w14:paraId="4DD58A74" w14:textId="77777777" w:rsidR="00347EE2" w:rsidRDefault="00000000">
      <w:r>
        <w:rPr>
          <w:color w:val="999999"/>
          <w:sz w:val="18"/>
          <w:szCs w:val="18"/>
        </w:rPr>
        <w:t>ChronoGrid Systems  ·  Kurt, Founder &amp; Lead Architect  ·  Neunkirchen, Niederösterreich  ·  April 2026</w:t>
      </w:r>
    </w:p>
    <w:sectPr w:rsidR="00347EE2" w:rsidSect="00B66273">
      <w:headerReference w:type="default" r:id="rId7"/>
      <w:pgSz w:w="11906" w:h="16838"/>
      <w:pgMar w:top="993" w:right="1134" w:bottom="567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F640E" w14:textId="77777777" w:rsidR="001D72DA" w:rsidRDefault="001D72DA">
      <w:r>
        <w:separator/>
      </w:r>
    </w:p>
  </w:endnote>
  <w:endnote w:type="continuationSeparator" w:id="0">
    <w:p w14:paraId="54166CFC" w14:textId="77777777" w:rsidR="001D72DA" w:rsidRDefault="001D72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CEE65" w14:textId="77777777" w:rsidR="001D72DA" w:rsidRDefault="001D72DA">
      <w:r>
        <w:separator/>
      </w:r>
    </w:p>
  </w:footnote>
  <w:footnote w:type="continuationSeparator" w:id="0">
    <w:p w14:paraId="028D8126" w14:textId="77777777" w:rsidR="001D72DA" w:rsidRDefault="001D72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58A75" w14:textId="77777777" w:rsidR="00347EE2" w:rsidRDefault="00000000">
    <w:r>
      <w:rPr>
        <w:color w:val="999999"/>
        <w:sz w:val="16"/>
        <w:szCs w:val="16"/>
      </w:rPr>
      <w:t>ChronoGrid Systems  ·  Begleitschreiben zur formalen Verifikation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347A8"/>
    <w:multiLevelType w:val="hybridMultilevel"/>
    <w:tmpl w:val="4694FB12"/>
    <w:lvl w:ilvl="0" w:tplc="78CA7588">
      <w:start w:val="1"/>
      <w:numFmt w:val="bullet"/>
      <w:lvlText w:val="●"/>
      <w:lvlJc w:val="left"/>
      <w:pPr>
        <w:ind w:left="720" w:hanging="360"/>
      </w:pPr>
    </w:lvl>
    <w:lvl w:ilvl="1" w:tplc="678E3C90">
      <w:start w:val="1"/>
      <w:numFmt w:val="bullet"/>
      <w:lvlText w:val="○"/>
      <w:lvlJc w:val="left"/>
      <w:pPr>
        <w:ind w:left="1440" w:hanging="360"/>
      </w:pPr>
    </w:lvl>
    <w:lvl w:ilvl="2" w:tplc="F4CCDBBE">
      <w:start w:val="1"/>
      <w:numFmt w:val="bullet"/>
      <w:lvlText w:val="■"/>
      <w:lvlJc w:val="left"/>
      <w:pPr>
        <w:ind w:left="2160" w:hanging="360"/>
      </w:pPr>
    </w:lvl>
    <w:lvl w:ilvl="3" w:tplc="9C70057E">
      <w:start w:val="1"/>
      <w:numFmt w:val="bullet"/>
      <w:lvlText w:val="●"/>
      <w:lvlJc w:val="left"/>
      <w:pPr>
        <w:ind w:left="2880" w:hanging="360"/>
      </w:pPr>
    </w:lvl>
    <w:lvl w:ilvl="4" w:tplc="2AA424D4">
      <w:start w:val="1"/>
      <w:numFmt w:val="bullet"/>
      <w:lvlText w:val="○"/>
      <w:lvlJc w:val="left"/>
      <w:pPr>
        <w:ind w:left="3600" w:hanging="360"/>
      </w:pPr>
    </w:lvl>
    <w:lvl w:ilvl="5" w:tplc="21CC1608">
      <w:start w:val="1"/>
      <w:numFmt w:val="bullet"/>
      <w:lvlText w:val="■"/>
      <w:lvlJc w:val="left"/>
      <w:pPr>
        <w:ind w:left="4320" w:hanging="360"/>
      </w:pPr>
    </w:lvl>
    <w:lvl w:ilvl="6" w:tplc="AF1C56E4">
      <w:start w:val="1"/>
      <w:numFmt w:val="bullet"/>
      <w:lvlText w:val="●"/>
      <w:lvlJc w:val="left"/>
      <w:pPr>
        <w:ind w:left="5040" w:hanging="360"/>
      </w:pPr>
    </w:lvl>
    <w:lvl w:ilvl="7" w:tplc="F2A08266">
      <w:start w:val="1"/>
      <w:numFmt w:val="bullet"/>
      <w:lvlText w:val="●"/>
      <w:lvlJc w:val="left"/>
      <w:pPr>
        <w:ind w:left="5760" w:hanging="360"/>
      </w:pPr>
    </w:lvl>
    <w:lvl w:ilvl="8" w:tplc="13CE113E">
      <w:start w:val="1"/>
      <w:numFmt w:val="bullet"/>
      <w:lvlText w:val="●"/>
      <w:lvlJc w:val="left"/>
      <w:pPr>
        <w:ind w:left="6480" w:hanging="360"/>
      </w:pPr>
    </w:lvl>
  </w:abstractNum>
  <w:num w:numId="1" w16cid:durableId="13394317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7EE2"/>
    <w:rsid w:val="001D72DA"/>
    <w:rsid w:val="00347EE2"/>
    <w:rsid w:val="00AD3944"/>
    <w:rsid w:val="00B66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58A36"/>
  <w15:docId w15:val="{CCE431C5-6F5B-4164-82C7-0A1E43384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384</Words>
  <Characters>2803</Characters>
  <Application>Microsoft Office Word</Application>
  <DocSecurity>0</DocSecurity>
  <Lines>84</Lines>
  <Paragraphs>57</Paragraphs>
  <ScaleCrop>false</ScaleCrop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Kurt Bauer</cp:lastModifiedBy>
  <cp:revision>2</cp:revision>
  <dcterms:created xsi:type="dcterms:W3CDTF">2026-04-09T20:13:00Z</dcterms:created>
  <dcterms:modified xsi:type="dcterms:W3CDTF">2026-04-09T20:17:00Z</dcterms:modified>
</cp:coreProperties>
</file>