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Freier</w:t>
      </w:r>
      <w:r>
        <w:t xml:space="preserve"> </w:t>
      </w:r>
      <w:r>
        <w:t xml:space="preserve">Markt,</w:t>
      </w:r>
      <w:r>
        <w:t xml:space="preserve"> </w:t>
      </w:r>
      <w:r>
        <w:t xml:space="preserve">Regelrahmen</w:t>
      </w:r>
      <w:r>
        <w:t xml:space="preserve"> </w:t>
      </w:r>
      <w:r>
        <w:t xml:space="preserve">oder</w:t>
      </w:r>
      <w:r>
        <w:t xml:space="preserve"> </w:t>
      </w:r>
      <w:r>
        <w:t xml:space="preserve">direkter</w:t>
      </w:r>
      <w:r>
        <w:t xml:space="preserve"> </w:t>
      </w:r>
      <w:r>
        <w:t xml:space="preserve">Eingriff?</w:t>
      </w:r>
    </w:p>
    <w:p>
      <w:pPr>
        <w:pStyle w:val="Subtitle"/>
      </w:pPr>
      <w:r>
        <w:t xml:space="preserve">Ein</w:t>
      </w:r>
      <w:r>
        <w:t xml:space="preserve"> </w:t>
      </w:r>
      <w:r>
        <w:t xml:space="preserve">agentenbasierter</w:t>
      </w:r>
      <w:r>
        <w:t xml:space="preserve"> </w:t>
      </w:r>
      <w:r>
        <w:t xml:space="preserve">Vergleich</w:t>
      </w:r>
      <w:r>
        <w:t xml:space="preserve"> </w:t>
      </w:r>
      <w:r>
        <w:t xml:space="preserve">dreier</w:t>
      </w:r>
      <w:r>
        <w:t xml:space="preserve"> </w:t>
      </w:r>
      <w:r>
        <w:t xml:space="preserve">Wirtschaftsordnungen</w:t>
      </w:r>
      <w:r>
        <w:t xml:space="preserve"> </w:t>
      </w:r>
      <w:r>
        <w:t xml:space="preserve">mit</w:t>
      </w:r>
      <w:r>
        <w:t xml:space="preserve"> </w:t>
      </w:r>
      <w:r>
        <w:t xml:space="preserve">Kreditmarkt</w:t>
      </w:r>
      <w:r>
        <w:t xml:space="preserve"> </w:t>
      </w:r>
      <w:r>
        <w:t xml:space="preserve">–</w:t>
      </w:r>
      <w:r>
        <w:t xml:space="preserve"> </w:t>
      </w:r>
      <w:r>
        <w:t xml:space="preserve">und</w:t>
      </w:r>
      <w:r>
        <w:t xml:space="preserve"> </w:t>
      </w:r>
      <w:r>
        <w:t xml:space="preserve">eine</w:t>
      </w:r>
      <w:r>
        <w:t xml:space="preserve"> </w:t>
      </w:r>
      <w:r>
        <w:t xml:space="preserve">Einordnung</w:t>
      </w:r>
      <w:r>
        <w:t xml:space="preserve"> </w:t>
      </w:r>
      <w:r>
        <w:t xml:space="preserve">der</w:t>
      </w:r>
      <w:r>
        <w:t xml:space="preserve"> </w:t>
      </w:r>
      <w:r>
        <w:t xml:space="preserve">„Antifaschistischen</w:t>
      </w:r>
      <w:r>
        <w:t xml:space="preserve"> </w:t>
      </w:r>
      <w:r>
        <w:t xml:space="preserve">Wirtschaftspolitik“</w:t>
      </w:r>
    </w:p>
    <w:p>
      <w:pPr>
        <w:pStyle w:val="Author"/>
      </w:pPr>
      <w:r>
        <w:t xml:space="preserve">Projekt</w:t>
      </w:r>
      <w:r>
        <w:t xml:space="preserve"> </w:t>
      </w:r>
      <w:r>
        <w:t xml:space="preserve">Wirtschaftssimulation</w:t>
      </w:r>
    </w:p>
    <w:p>
      <w:pPr>
        <w:pStyle w:val="Date"/>
      </w:pPr>
      <w:r>
        <w:t xml:space="preserve">Oktober</w:t>
      </w:r>
      <w:r>
        <w:t xml:space="preserve"> </w:t>
      </w:r>
      <w:r>
        <w:t xml:space="preserve">2026</w:t>
      </w:r>
    </w:p>
    <w:p>
      <w:pPr>
        <w:pStyle w:val="AbstractTitle"/>
      </w:pPr>
      <w:r>
        <w:t>Zusammenfassung</w:t>
      </w:r>
    </w:p>
    <w:p>
      <w:pPr>
        <w:pStyle w:val="Abstract"/>
      </w:pPr>
      <w:r>
        <w:t xml:space="preserve">Die</w:t>
      </w:r>
      <w:r>
        <w:t xml:space="preserve"> </w:t>
      </w:r>
      <w:r>
        <w:t xml:space="preserve">Arbeit</w:t>
      </w:r>
      <w:r>
        <w:t xml:space="preserve"> </w:t>
      </w:r>
      <w:r>
        <w:t xml:space="preserve">vergleicht</w:t>
      </w:r>
      <w:r>
        <w:t xml:space="preserve"> </w:t>
      </w:r>
      <w:r>
        <w:t xml:space="preserve">drei</w:t>
      </w:r>
      <w:r>
        <w:t xml:space="preserve"> </w:t>
      </w:r>
      <w:r>
        <w:t xml:space="preserve">institutionelle</w:t>
      </w:r>
      <w:r>
        <w:t xml:space="preserve"> </w:t>
      </w:r>
      <w:r>
        <w:t xml:space="preserve">Ordnungen</w:t>
      </w:r>
      <w:r>
        <w:t xml:space="preserve"> </w:t>
      </w:r>
      <w:r>
        <w:t xml:space="preserve">in</w:t>
      </w:r>
      <w:r>
        <w:t xml:space="preserve"> </w:t>
      </w:r>
      <w:r>
        <w:t xml:space="preserve">einem</w:t>
      </w:r>
      <w:r>
        <w:t xml:space="preserve"> </w:t>
      </w:r>
      <w:r>
        <w:t xml:space="preserve">agentenbasierten</w:t>
      </w:r>
      <w:r>
        <w:t xml:space="preserve"> </w:t>
      </w:r>
      <w:r>
        <w:t xml:space="preserve">Makromodell</w:t>
      </w:r>
      <w:r>
        <w:t xml:space="preserve"> </w:t>
      </w:r>
      <w:r>
        <w:t xml:space="preserve">mit</w:t>
      </w:r>
      <w:r>
        <w:t xml:space="preserve"> </w:t>
      </w:r>
      <w:r>
        <w:t xml:space="preserve">identischer</w:t>
      </w:r>
      <w:r>
        <w:t xml:space="preserve"> </w:t>
      </w:r>
      <w:r>
        <w:t xml:space="preserve">Bevölkerung,</w:t>
      </w:r>
      <w:r>
        <w:t xml:space="preserve"> </w:t>
      </w:r>
      <w:r>
        <w:t xml:space="preserve">Technologie</w:t>
      </w:r>
      <w:r>
        <w:t xml:space="preserve"> </w:t>
      </w:r>
      <w:r>
        <w:t xml:space="preserve">und</w:t>
      </w:r>
      <w:r>
        <w:t xml:space="preserve"> </w:t>
      </w:r>
      <w:r>
        <w:t xml:space="preserve">identischen</w:t>
      </w:r>
      <w:r>
        <w:t xml:space="preserve"> </w:t>
      </w:r>
      <w:r>
        <w:t xml:space="preserve">Schocks:</w:t>
      </w:r>
      <w:r>
        <w:t xml:space="preserve"> </w:t>
      </w:r>
      <w:r>
        <w:t xml:space="preserve">(A)</w:t>
      </w:r>
      <w:r>
        <w:t xml:space="preserve"> </w:t>
      </w:r>
      <w:r>
        <w:t xml:space="preserve">freie</w:t>
      </w:r>
      <w:r>
        <w:t xml:space="preserve"> </w:t>
      </w:r>
      <w:r>
        <w:t xml:space="preserve">Interaktion</w:t>
      </w:r>
      <w:r>
        <w:t xml:space="preserve"> </w:t>
      </w:r>
      <w:r>
        <w:t xml:space="preserve">ohne</w:t>
      </w:r>
      <w:r>
        <w:t xml:space="preserve"> </w:t>
      </w:r>
      <w:r>
        <w:t xml:space="preserve">Staat,</w:t>
      </w:r>
      <w:r>
        <w:t xml:space="preserve"> </w:t>
      </w:r>
      <w:r>
        <w:t xml:space="preserve">gerechnet</w:t>
      </w:r>
      <w:r>
        <w:t xml:space="preserve"> </w:t>
      </w:r>
      <w:r>
        <w:t xml:space="preserve">in</w:t>
      </w:r>
      <w:r>
        <w:t xml:space="preserve"> </w:t>
      </w:r>
      <w:r>
        <w:t xml:space="preserve">einer</w:t>
      </w:r>
      <w:r>
        <w:t xml:space="preserve"> </w:t>
      </w:r>
      <w:r>
        <w:t xml:space="preserve">Variante</w:t>
      </w:r>
      <w:r>
        <w:t xml:space="preserve"> </w:t>
      </w:r>
      <w:r>
        <w:t xml:space="preserve">ohne</w:t>
      </w:r>
      <w:r>
        <w:t xml:space="preserve"> </w:t>
      </w:r>
      <w:r>
        <w:t xml:space="preserve">und</w:t>
      </w:r>
      <w:r>
        <w:t xml:space="preserve"> </w:t>
      </w:r>
      <w:r>
        <w:t xml:space="preserve">einer</w:t>
      </w:r>
      <w:r>
        <w:t xml:space="preserve"> </w:t>
      </w:r>
      <w:r>
        <w:t xml:space="preserve">mit</w:t>
      </w:r>
      <w:r>
        <w:t xml:space="preserve"> </w:t>
      </w:r>
      <w:r>
        <w:t xml:space="preserve">gesicherten</w:t>
      </w:r>
      <w:r>
        <w:t xml:space="preserve"> </w:t>
      </w:r>
      <w:r>
        <w:t xml:space="preserve">Eigentumsrechten,</w:t>
      </w:r>
      <w:r>
        <w:t xml:space="preserve"> </w:t>
      </w:r>
      <w:r>
        <w:t xml:space="preserve">(B)</w:t>
      </w:r>
      <w:r>
        <w:t xml:space="preserve"> </w:t>
      </w:r>
      <w:r>
        <w:t xml:space="preserve">einen</w:t>
      </w:r>
      <w:r>
        <w:t xml:space="preserve"> </w:t>
      </w:r>
      <w:r>
        <w:t xml:space="preserve">staatlichen</w:t>
      </w:r>
      <w:r>
        <w:t xml:space="preserve"> </w:t>
      </w:r>
      <w:r>
        <w:t xml:space="preserve">Regelrahmen</w:t>
      </w:r>
      <w:r>
        <w:t xml:space="preserve"> </w:t>
      </w:r>
      <w:r>
        <w:t xml:space="preserve">aus</w:t>
      </w:r>
      <w:r>
        <w:t xml:space="preserve"> </w:t>
      </w:r>
      <w:r>
        <w:t xml:space="preserve">Vertragsdurchsetzung,</w:t>
      </w:r>
      <w:r>
        <w:t xml:space="preserve"> </w:t>
      </w:r>
      <w:r>
        <w:t xml:space="preserve">Wettbewerbs-</w:t>
      </w:r>
      <w:r>
        <w:t xml:space="preserve"> </w:t>
      </w:r>
      <w:r>
        <w:t xml:space="preserve">und</w:t>
      </w:r>
      <w:r>
        <w:t xml:space="preserve"> </w:t>
      </w:r>
      <w:r>
        <w:t xml:space="preserve">Bankenaufsicht,</w:t>
      </w:r>
      <w:r>
        <w:t xml:space="preserve"> </w:t>
      </w:r>
      <w:r>
        <w:t xml:space="preserve">Steuern</w:t>
      </w:r>
      <w:r>
        <w:t xml:space="preserve"> </w:t>
      </w:r>
      <w:r>
        <w:t xml:space="preserve">und</w:t>
      </w:r>
      <w:r>
        <w:t xml:space="preserve"> </w:t>
      </w:r>
      <w:r>
        <w:t xml:space="preserve">Arbeitslosenversicherung</w:t>
      </w:r>
      <w:r>
        <w:t xml:space="preserve"> </w:t>
      </w:r>
      <w:r>
        <w:t xml:space="preserve">sowie</w:t>
      </w:r>
      <w:r>
        <w:t xml:space="preserve"> </w:t>
      </w:r>
      <w:r>
        <w:t xml:space="preserve">(C)</w:t>
      </w:r>
      <w:r>
        <w:t xml:space="preserve"> </w:t>
      </w:r>
      <w:r>
        <w:t xml:space="preserve">diesen</w:t>
      </w:r>
      <w:r>
        <w:t xml:space="preserve"> </w:t>
      </w:r>
      <w:r>
        <w:t xml:space="preserve">Rahmen</w:t>
      </w:r>
      <w:r>
        <w:t xml:space="preserve"> </w:t>
      </w:r>
      <w:r>
        <w:t xml:space="preserve">ergänzt</w:t>
      </w:r>
      <w:r>
        <w:t xml:space="preserve"> </w:t>
      </w:r>
      <w:r>
        <w:t xml:space="preserve">um</w:t>
      </w:r>
      <w:r>
        <w:t xml:space="preserve"> </w:t>
      </w:r>
      <w:r>
        <w:t xml:space="preserve">direkte</w:t>
      </w:r>
      <w:r>
        <w:t xml:space="preserve"> </w:t>
      </w:r>
      <w:r>
        <w:t xml:space="preserve">Eingriffe</w:t>
      </w:r>
      <w:r>
        <w:t xml:space="preserve"> </w:t>
      </w:r>
      <w:r>
        <w:t xml:space="preserve">in</w:t>
      </w:r>
      <w:r>
        <w:t xml:space="preserve"> </w:t>
      </w:r>
      <w:r>
        <w:t xml:space="preserve">Preise,</w:t>
      </w:r>
      <w:r>
        <w:t xml:space="preserve"> </w:t>
      </w:r>
      <w:r>
        <w:t xml:space="preserve">Löhne</w:t>
      </w:r>
      <w:r>
        <w:t xml:space="preserve"> </w:t>
      </w:r>
      <w:r>
        <w:t xml:space="preserve">und</w:t>
      </w:r>
      <w:r>
        <w:t xml:space="preserve"> </w:t>
      </w:r>
      <w:r>
        <w:t xml:space="preserve">Zinsen.</w:t>
      </w:r>
      <w:r>
        <w:t xml:space="preserve"> </w:t>
      </w:r>
      <w:r>
        <w:t xml:space="preserve">Das</w:t>
      </w:r>
      <w:r>
        <w:t xml:space="preserve"> </w:t>
      </w:r>
      <w:r>
        <w:t xml:space="preserve">Modell</w:t>
      </w:r>
      <w:r>
        <w:t xml:space="preserve"> </w:t>
      </w:r>
      <w:r>
        <w:t xml:space="preserve">enthält</w:t>
      </w:r>
      <w:r>
        <w:t xml:space="preserve"> </w:t>
      </w:r>
      <w:r>
        <w:t xml:space="preserve">Arbeits-,</w:t>
      </w:r>
      <w:r>
        <w:t xml:space="preserve"> </w:t>
      </w:r>
      <w:r>
        <w:t xml:space="preserve">Güter-</w:t>
      </w:r>
      <w:r>
        <w:t xml:space="preserve"> </w:t>
      </w:r>
      <w:r>
        <w:t xml:space="preserve">und</w:t>
      </w:r>
      <w:r>
        <w:t xml:space="preserve"> </w:t>
      </w:r>
      <w:r>
        <w:t xml:space="preserve">Kreditmarkt</w:t>
      </w:r>
      <w:r>
        <w:t xml:space="preserve"> </w:t>
      </w:r>
      <w:r>
        <w:t xml:space="preserve">mit</w:t>
      </w:r>
      <w:r>
        <w:t xml:space="preserve"> </w:t>
      </w:r>
      <w:r>
        <w:t xml:space="preserve">endogener</w:t>
      </w:r>
      <w:r>
        <w:t xml:space="preserve"> </w:t>
      </w:r>
      <w:r>
        <w:t xml:space="preserve">Geldschöpfung</w:t>
      </w:r>
      <w:r>
        <w:t xml:space="preserve"> </w:t>
      </w:r>
      <w:r>
        <w:t xml:space="preserve">und</w:t>
      </w:r>
      <w:r>
        <w:t xml:space="preserve"> </w:t>
      </w:r>
      <w:r>
        <w:t xml:space="preserve">eine</w:t>
      </w:r>
      <w:r>
        <w:t xml:space="preserve"> </w:t>
      </w:r>
      <w:r>
        <w:t xml:space="preserve">exakt</w:t>
      </w:r>
      <w:r>
        <w:t xml:space="preserve"> </w:t>
      </w:r>
      <w:r>
        <w:t xml:space="preserve">geschlossene</w:t>
      </w:r>
      <w:r>
        <w:t xml:space="preserve"> </w:t>
      </w:r>
      <w:r>
        <w:t xml:space="preserve">Bankbilanz.</w:t>
      </w:r>
      <w:r>
        <w:t xml:space="preserve"> </w:t>
      </w:r>
      <w:r>
        <w:t xml:space="preserve">Die</w:t>
      </w:r>
      <w:r>
        <w:t xml:space="preserve"> </w:t>
      </w:r>
      <w:r>
        <w:t xml:space="preserve">Vergleichbarkeit</w:t>
      </w:r>
      <w:r>
        <w:t xml:space="preserve"> </w:t>
      </w:r>
      <w:r>
        <w:t xml:space="preserve">wird</w:t>
      </w:r>
      <w:r>
        <w:t xml:space="preserve"> </w:t>
      </w:r>
      <w:r>
        <w:t xml:space="preserve">durch</w:t>
      </w:r>
      <w:r>
        <w:t xml:space="preserve"> </w:t>
      </w:r>
      <w:r>
        <w:t xml:space="preserve">einen</w:t>
      </w:r>
      <w:r>
        <w:t xml:space="preserve"> </w:t>
      </w:r>
      <w:r>
        <w:t xml:space="preserve">gemeinsamen</w:t>
      </w:r>
      <w:r>
        <w:t xml:space="preserve"> </w:t>
      </w:r>
      <w:r>
        <w:t xml:space="preserve">Modellkern,</w:t>
      </w:r>
      <w:r>
        <w:t xml:space="preserve"> </w:t>
      </w:r>
      <w:r>
        <w:t xml:space="preserve">gemeinsame</w:t>
      </w:r>
      <w:r>
        <w:t xml:space="preserve"> </w:t>
      </w:r>
      <w:r>
        <w:t xml:space="preserve">Zufallszahlen</w:t>
      </w:r>
      <w:r>
        <w:t xml:space="preserve"> </w:t>
      </w:r>
      <w:r>
        <w:t xml:space="preserve">und</w:t>
      </w:r>
      <w:r>
        <w:t xml:space="preserve"> </w:t>
      </w:r>
      <w:r>
        <w:t xml:space="preserve">gepaarte</w:t>
      </w:r>
      <w:r>
        <w:t xml:space="preserve"> </w:t>
      </w:r>
      <w:r>
        <w:t xml:space="preserve">Differenzen</w:t>
      </w:r>
      <w:r>
        <w:t xml:space="preserve"> </w:t>
      </w:r>
      <w:r>
        <w:t xml:space="preserve">über</w:t>
      </w:r>
      <w:r>
        <w:t xml:space="preserve"> </w:t>
      </w:r>
      <w:r>
        <w:t xml:space="preserve">30</w:t>
      </w:r>
      <w:r>
        <w:t xml:space="preserve"> </w:t>
      </w:r>
      <w:r>
        <w:t xml:space="preserve">Läufe</w:t>
      </w:r>
      <w:r>
        <w:t xml:space="preserve"> </w:t>
      </w:r>
      <w:r>
        <w:t xml:space="preserve">je</w:t>
      </w:r>
      <w:r>
        <w:t xml:space="preserve"> </w:t>
      </w:r>
      <w:r>
        <w:t xml:space="preserve">Regime</w:t>
      </w:r>
      <w:r>
        <w:t xml:space="preserve"> </w:t>
      </w:r>
      <w:r>
        <w:t xml:space="preserve">sowie</w:t>
      </w:r>
      <w:r>
        <w:t xml:space="preserve"> </w:t>
      </w:r>
      <w:r>
        <w:t xml:space="preserve">durch</w:t>
      </w:r>
      <w:r>
        <w:t xml:space="preserve"> </w:t>
      </w:r>
      <w:r>
        <w:t xml:space="preserve">Sensitivitätsanalysen</w:t>
      </w:r>
      <w:r>
        <w:t xml:space="preserve"> </w:t>
      </w:r>
      <w:r>
        <w:t xml:space="preserve">sichergestellt.</w:t>
      </w:r>
      <w:r>
        <w:t xml:space="preserve"> </w:t>
      </w:r>
      <w:r>
        <w:t xml:space="preserve">In</w:t>
      </w:r>
      <w:r>
        <w:t xml:space="preserve"> </w:t>
      </w:r>
      <w:r>
        <w:t xml:space="preserve">der</w:t>
      </w:r>
      <w:r>
        <w:t xml:space="preserve"> </w:t>
      </w:r>
      <w:r>
        <w:t xml:space="preserve">Simulation</w:t>
      </w:r>
      <w:r>
        <w:t xml:space="preserve"> </w:t>
      </w:r>
      <w:r>
        <w:t xml:space="preserve">erreicht</w:t>
      </w:r>
      <w:r>
        <w:t xml:space="preserve"> </w:t>
      </w:r>
      <w:r>
        <w:t xml:space="preserve">Regime</w:t>
      </w:r>
      <w:r>
        <w:t xml:space="preserve"> </w:t>
      </w:r>
      <w:r>
        <w:t xml:space="preserve">C</w:t>
      </w:r>
      <w:r>
        <w:t xml:space="preserve"> </w:t>
      </w:r>
      <w:r>
        <w:t xml:space="preserve">die</w:t>
      </w:r>
      <w:r>
        <w:t xml:space="preserve"> </w:t>
      </w:r>
      <w:r>
        <w:t xml:space="preserve">gleichmäßigste</w:t>
      </w:r>
      <w:r>
        <w:t xml:space="preserve"> </w:t>
      </w:r>
      <w:r>
        <w:t xml:space="preserve">Einkommensverteilung</w:t>
      </w:r>
      <w:r>
        <w:t xml:space="preserve"> </w:t>
      </w:r>
      <w:r>
        <w:t xml:space="preserve">und</w:t>
      </w:r>
      <w:r>
        <w:t xml:space="preserve"> </w:t>
      </w:r>
      <w:r>
        <w:t xml:space="preserve">die</w:t>
      </w:r>
      <w:r>
        <w:t xml:space="preserve"> </w:t>
      </w:r>
      <w:r>
        <w:t xml:space="preserve">geringste</w:t>
      </w:r>
      <w:r>
        <w:t xml:space="preserve"> </w:t>
      </w:r>
      <w:r>
        <w:t xml:space="preserve">Inflationsvolatilität,</w:t>
      </w:r>
      <w:r>
        <w:t xml:space="preserve"> </w:t>
      </w:r>
      <w:r>
        <w:t xml:space="preserve">erkauft</w:t>
      </w:r>
      <w:r>
        <w:t xml:space="preserve"> </w:t>
      </w:r>
      <w:r>
        <w:t xml:space="preserve">dies</w:t>
      </w:r>
      <w:r>
        <w:t xml:space="preserve"> </w:t>
      </w:r>
      <w:r>
        <w:t xml:space="preserve">aber</w:t>
      </w:r>
      <w:r>
        <w:t xml:space="preserve"> </w:t>
      </w:r>
      <w:r>
        <w:t xml:space="preserve">mit</w:t>
      </w:r>
      <w:r>
        <w:t xml:space="preserve"> </w:t>
      </w:r>
      <w:r>
        <w:t xml:space="preserve">dauerhafter</w:t>
      </w:r>
      <w:r>
        <w:t xml:space="preserve"> </w:t>
      </w:r>
      <w:r>
        <w:t xml:space="preserve">Knappheit,</w:t>
      </w:r>
      <w:r>
        <w:t xml:space="preserve"> </w:t>
      </w:r>
      <w:r>
        <w:t xml:space="preserve">fast</w:t>
      </w:r>
      <w:r>
        <w:t xml:space="preserve"> </w:t>
      </w:r>
      <w:r>
        <w:t xml:space="preserve">vollständiger</w:t>
      </w:r>
      <w:r>
        <w:t xml:space="preserve"> </w:t>
      </w:r>
      <w:r>
        <w:t xml:space="preserve">Kreditrationierung</w:t>
      </w:r>
      <w:r>
        <w:t xml:space="preserve"> </w:t>
      </w:r>
      <w:r>
        <w:t xml:space="preserve">und</w:t>
      </w:r>
      <w:r>
        <w:t xml:space="preserve"> </w:t>
      </w:r>
      <w:r>
        <w:t xml:space="preserve">der</w:t>
      </w:r>
      <w:r>
        <w:t xml:space="preserve"> </w:t>
      </w:r>
      <w:r>
        <w:t xml:space="preserve">langsamsten</w:t>
      </w:r>
      <w:r>
        <w:t xml:space="preserve"> </w:t>
      </w:r>
      <w:r>
        <w:t xml:space="preserve">Erholung</w:t>
      </w:r>
      <w:r>
        <w:t xml:space="preserve"> </w:t>
      </w:r>
      <w:r>
        <w:t xml:space="preserve">nach</w:t>
      </w:r>
      <w:r>
        <w:t xml:space="preserve"> </w:t>
      </w:r>
      <w:r>
        <w:t xml:space="preserve">einem</w:t>
      </w:r>
      <w:r>
        <w:t xml:space="preserve"> </w:t>
      </w:r>
      <w:r>
        <w:t xml:space="preserve">Angebotsschock.</w:t>
      </w:r>
      <w:r>
        <w:t xml:space="preserve"> </w:t>
      </w:r>
      <w:r>
        <w:t xml:space="preserve">B</w:t>
      </w:r>
      <w:r>
        <w:t xml:space="preserve"> </w:t>
      </w:r>
      <w:r>
        <w:t xml:space="preserve">absorbiert</w:t>
      </w:r>
      <w:r>
        <w:t xml:space="preserve"> </w:t>
      </w:r>
      <w:r>
        <w:t xml:space="preserve">den</w:t>
      </w:r>
      <w:r>
        <w:t xml:space="preserve"> </w:t>
      </w:r>
      <w:r>
        <w:t xml:space="preserve">Schock</w:t>
      </w:r>
      <w:r>
        <w:t xml:space="preserve"> </w:t>
      </w:r>
      <w:r>
        <w:t xml:space="preserve">am</w:t>
      </w:r>
      <w:r>
        <w:t xml:space="preserve"> </w:t>
      </w:r>
      <w:r>
        <w:t xml:space="preserve">besten;</w:t>
      </w:r>
      <w:r>
        <w:t xml:space="preserve"> </w:t>
      </w:r>
      <w:r>
        <w:t xml:space="preserve">A</w:t>
      </w:r>
      <w:r>
        <w:t xml:space="preserve"> </w:t>
      </w:r>
      <w:r>
        <w:t xml:space="preserve">ohne</w:t>
      </w:r>
      <w:r>
        <w:t xml:space="preserve"> </w:t>
      </w:r>
      <w:r>
        <w:t xml:space="preserve">Rechtsdurchsetzung</w:t>
      </w:r>
      <w:r>
        <w:t xml:space="preserve"> </w:t>
      </w:r>
      <w:r>
        <w:t xml:space="preserve">ist</w:t>
      </w:r>
      <w:r>
        <w:t xml:space="preserve"> </w:t>
      </w:r>
      <w:r>
        <w:t xml:space="preserve">instabil</w:t>
      </w:r>
      <w:r>
        <w:t xml:space="preserve"> </w:t>
      </w:r>
      <w:r>
        <w:t xml:space="preserve">und</w:t>
      </w:r>
      <w:r>
        <w:t xml:space="preserve"> </w:t>
      </w:r>
      <w:r>
        <w:t xml:space="preserve">neigt</w:t>
      </w:r>
      <w:r>
        <w:t xml:space="preserve"> </w:t>
      </w:r>
      <w:r>
        <w:t xml:space="preserve">zu</w:t>
      </w:r>
      <w:r>
        <w:t xml:space="preserve"> </w:t>
      </w:r>
      <w:r>
        <w:t xml:space="preserve">Bankenkrisen.</w:t>
      </w:r>
      <w:r>
        <w:t xml:space="preserve"> </w:t>
      </w:r>
      <w:r>
        <w:t xml:space="preserve">Vor</w:t>
      </w:r>
      <w:r>
        <w:t xml:space="preserve"> </w:t>
      </w:r>
      <w:r>
        <w:t xml:space="preserve">diesem</w:t>
      </w:r>
      <w:r>
        <w:t xml:space="preserve"> </w:t>
      </w:r>
      <w:r>
        <w:t xml:space="preserve">Hintergrund</w:t>
      </w:r>
      <w:r>
        <w:t xml:space="preserve"> </w:t>
      </w:r>
      <w:r>
        <w:t xml:space="preserve">wird</w:t>
      </w:r>
      <w:r>
        <w:t xml:space="preserve"> </w:t>
      </w:r>
      <w:r>
        <w:t xml:space="preserve">die</w:t>
      </w:r>
      <w:r>
        <w:t xml:space="preserve"> </w:t>
      </w:r>
      <w:r>
        <w:t xml:space="preserve">von</w:t>
      </w:r>
      <w:r>
        <w:t xml:space="preserve"> </w:t>
      </w:r>
      <w:r>
        <w:t xml:space="preserve">Isabella</w:t>
      </w:r>
      <w:r>
        <w:t xml:space="preserve"> </w:t>
      </w:r>
      <w:r>
        <w:t xml:space="preserve">Weber</w:t>
      </w:r>
      <w:r>
        <w:t xml:space="preserve"> </w:t>
      </w:r>
      <w:r>
        <w:t xml:space="preserve">geprägte</w:t>
      </w:r>
      <w:r>
        <w:t xml:space="preserve"> </w:t>
      </w:r>
      <w:r>
        <w:t xml:space="preserve">„Antifaschistische</w:t>
      </w:r>
      <w:r>
        <w:t xml:space="preserve"> </w:t>
      </w:r>
      <w:r>
        <w:t xml:space="preserve">Wirtschaftspolitik“</w:t>
      </w:r>
      <w:r>
        <w:t xml:space="preserve"> </w:t>
      </w:r>
      <w:r>
        <w:t xml:space="preserve">eingeordnet:</w:t>
      </w:r>
      <w:r>
        <w:t xml:space="preserve"> </w:t>
      </w:r>
      <w:r>
        <w:t xml:space="preserve">Ihr</w:t>
      </w:r>
      <w:r>
        <w:t xml:space="preserve"> </w:t>
      </w:r>
      <w:r>
        <w:t xml:space="preserve">Ziel,</w:t>
      </w:r>
      <w:r>
        <w:t xml:space="preserve"> </w:t>
      </w:r>
      <w:r>
        <w:t xml:space="preserve">Lebenshaltungskosten</w:t>
      </w:r>
      <w:r>
        <w:t xml:space="preserve"> </w:t>
      </w:r>
      <w:r>
        <w:t xml:space="preserve">in</w:t>
      </w:r>
      <w:r>
        <w:t xml:space="preserve"> </w:t>
      </w:r>
      <w:r>
        <w:t xml:space="preserve">Krisen</w:t>
      </w:r>
      <w:r>
        <w:t xml:space="preserve"> </w:t>
      </w:r>
      <w:r>
        <w:t xml:space="preserve">zu</w:t>
      </w:r>
      <w:r>
        <w:t xml:space="preserve"> </w:t>
      </w:r>
      <w:r>
        <w:t xml:space="preserve">stabilisieren,</w:t>
      </w:r>
      <w:r>
        <w:t xml:space="preserve"> </w:t>
      </w:r>
      <w:r>
        <w:t xml:space="preserve">findet</w:t>
      </w:r>
      <w:r>
        <w:t xml:space="preserve"> </w:t>
      </w:r>
      <w:r>
        <w:t xml:space="preserve">im</w:t>
      </w:r>
      <w:r>
        <w:t xml:space="preserve"> </w:t>
      </w:r>
      <w:r>
        <w:t xml:space="preserve">Modell</w:t>
      </w:r>
      <w:r>
        <w:t xml:space="preserve"> </w:t>
      </w:r>
      <w:r>
        <w:t xml:space="preserve">teilweise</w:t>
      </w:r>
      <w:r>
        <w:t xml:space="preserve"> </w:t>
      </w:r>
      <w:r>
        <w:t xml:space="preserve">Unterstützung,</w:t>
      </w:r>
      <w:r>
        <w:t xml:space="preserve"> </w:t>
      </w:r>
      <w:r>
        <w:t xml:space="preserve">breite</w:t>
      </w:r>
      <w:r>
        <w:t xml:space="preserve"> </w:t>
      </w:r>
      <w:r>
        <w:t xml:space="preserve">Preisobergrenzen</w:t>
      </w:r>
      <w:r>
        <w:t xml:space="preserve"> </w:t>
      </w:r>
      <w:r>
        <w:t xml:space="preserve">erzeugen</w:t>
      </w:r>
      <w:r>
        <w:t xml:space="preserve"> </w:t>
      </w:r>
      <w:r>
        <w:t xml:space="preserve">jedoch</w:t>
      </w:r>
      <w:r>
        <w:t xml:space="preserve"> </w:t>
      </w:r>
      <w:r>
        <w:t xml:space="preserve">dauerhafte</w:t>
      </w:r>
      <w:r>
        <w:t xml:space="preserve"> </w:t>
      </w:r>
      <w:r>
        <w:t xml:space="preserve">Knappheit,</w:t>
      </w:r>
      <w:r>
        <w:t xml:space="preserve"> </w:t>
      </w:r>
      <w:r>
        <w:t xml:space="preserve">und</w:t>
      </w:r>
      <w:r>
        <w:t xml:space="preserve"> </w:t>
      </w:r>
      <w:r>
        <w:t xml:space="preserve">im</w:t>
      </w:r>
      <w:r>
        <w:t xml:space="preserve"> </w:t>
      </w:r>
      <w:r>
        <w:t xml:space="preserve">Zusammenspiel</w:t>
      </w:r>
      <w:r>
        <w:t xml:space="preserve"> </w:t>
      </w:r>
      <w:r>
        <w:t xml:space="preserve">mit</w:t>
      </w:r>
      <w:r>
        <w:t xml:space="preserve"> </w:t>
      </w:r>
      <w:r>
        <w:t xml:space="preserve">einem</w:t>
      </w:r>
      <w:r>
        <w:t xml:space="preserve"> </w:t>
      </w:r>
      <w:r>
        <w:t xml:space="preserve">preisindexierten</w:t>
      </w:r>
      <w:r>
        <w:t xml:space="preserve"> </w:t>
      </w:r>
      <w:r>
        <w:t xml:space="preserve">Mindestlohn</w:t>
      </w:r>
      <w:r>
        <w:t xml:space="preserve"> </w:t>
      </w:r>
      <w:r>
        <w:t xml:space="preserve">verzögern</w:t>
      </w:r>
      <w:r>
        <w:t xml:space="preserve"> </w:t>
      </w:r>
      <w:r>
        <w:t xml:space="preserve">sie</w:t>
      </w:r>
      <w:r>
        <w:t xml:space="preserve"> </w:t>
      </w:r>
      <w:r>
        <w:t xml:space="preserve">die</w:t>
      </w:r>
      <w:r>
        <w:t xml:space="preserve"> </w:t>
      </w:r>
      <w:r>
        <w:t xml:space="preserve">Anpassung</w:t>
      </w:r>
      <w:r>
        <w:t xml:space="preserve"> </w:t>
      </w:r>
      <w:r>
        <w:t xml:space="preserve">an</w:t>
      </w:r>
      <w:r>
        <w:t xml:space="preserve"> </w:t>
      </w:r>
      <w:r>
        <w:t xml:space="preserve">Angebotsschocks</w:t>
      </w:r>
      <w:r>
        <w:t xml:space="preserve"> </w:t>
      </w:r>
      <w:r>
        <w:t xml:space="preserve">erheblich</w:t>
      </w:r>
      <w:r>
        <w:t xml:space="preserve"> </w:t>
      </w:r>
      <w:r>
        <w:t xml:space="preserve">–</w:t>
      </w:r>
      <w:r>
        <w:t xml:space="preserve"> </w:t>
      </w:r>
      <w:r>
        <w:t xml:space="preserve">Kosten,</w:t>
      </w:r>
      <w:r>
        <w:t xml:space="preserve"> </w:t>
      </w:r>
      <w:r>
        <w:t xml:space="preserve">die</w:t>
      </w:r>
      <w:r>
        <w:t xml:space="preserve"> </w:t>
      </w:r>
      <w:r>
        <w:t xml:space="preserve">ihre</w:t>
      </w:r>
      <w:r>
        <w:t xml:space="preserve"> </w:t>
      </w:r>
      <w:r>
        <w:t xml:space="preserve">Kritiker</w:t>
      </w:r>
      <w:r>
        <w:t xml:space="preserve"> </w:t>
      </w:r>
      <w:r>
        <w:t xml:space="preserve">erwarten.</w:t>
      </w:r>
      <w:r>
        <w:t xml:space="preserve"> </w:t>
      </w:r>
      <w:r>
        <w:t xml:space="preserve">Die</w:t>
      </w:r>
      <w:r>
        <w:t xml:space="preserve"> </w:t>
      </w:r>
      <w:r>
        <w:t xml:space="preserve">Ergebnisse</w:t>
      </w:r>
      <w:r>
        <w:t xml:space="preserve"> </w:t>
      </w:r>
      <w:r>
        <w:t xml:space="preserve">gelten</w:t>
      </w:r>
      <w:r>
        <w:t xml:space="preserve"> </w:t>
      </w:r>
      <w:r>
        <w:t xml:space="preserve">nur</w:t>
      </w:r>
      <w:r>
        <w:t xml:space="preserve"> </w:t>
      </w:r>
      <w:r>
        <w:t xml:space="preserve">innerhalb</w:t>
      </w:r>
      <w:r>
        <w:t xml:space="preserve"> </w:t>
      </w:r>
      <w:r>
        <w:t xml:space="preserve">der</w:t>
      </w:r>
      <w:r>
        <w:t xml:space="preserve"> </w:t>
      </w:r>
      <w:r>
        <w:t xml:space="preserve">stilisierten</w:t>
      </w:r>
      <w:r>
        <w:t xml:space="preserve"> </w:t>
      </w:r>
      <w:r>
        <w:t xml:space="preserve">Modellannahmen.</w:t>
      </w:r>
    </w:p>
    <w:sdt>
      <w:sdtPr>
        <w:docPartObj>
          <w:docPartGallery w:val="Table of Contents"/>
          <w:docPartUnique/>
        </w:docPartObj>
      </w:sdtPr>
      <w:sdtContent>
        <w:p>
          <w:pPr>
            <w:pStyle w:val="TOCHeading"/>
          </w:pPr>
          <w:r>
            <w:t xml:space="preserve">Inhalt</w:t>
          </w:r>
        </w:p>
        <w:p>
          <w:r>
            <w:fldChar w:fldCharType="begin" w:dirty="true"/>
            <w:instrText xml:space="preserve">TOC \o "1-3" \h \z \u</w:instrText>
            <w:fldChar w:fldCharType="separate"/>
            <w:fldChar w:fldCharType="end"/>
          </w:r>
        </w:p>
      </w:sdtContent>
    </w:sdt>
    <w:bookmarkStart w:id="20" w:name="einleitung"/>
    <w:p>
      <w:pPr>
        <w:pStyle w:val="Heading1"/>
        <w:pageBreakBefore/>
      </w:pPr>
      <w:r>
        <w:rPr>
          <w:rStyle w:val="SectionNumber"/>
        </w:rPr>
        <w:t xml:space="preserve">1</w:t>
      </w:r>
      <w:r>
        <w:tab/>
      </w:r>
      <w:r>
        <w:t xml:space="preserve">Einleitung</w:t>
      </w:r>
    </w:p>
    <w:p>
      <w:pPr>
        <w:pStyle w:val="FirstParagraph"/>
      </w:pPr>
      <w:r>
        <w:t xml:space="preserve">Die Frage, wie stark der Staat in wirtschaftliche Beziehungen eingreifen soll, gehört zu den ältesten der Ökonomik. Zwischen der Vorstellung freier, nur durch Verträge gebundener Tauschbeziehungen und einer Wirtschaft, in der der Staat Preise und Löhne festlegt, liegt ein breites Spektrum. Die ordoliberale Tradition etwa setzt auf einen</w:t>
      </w:r>
      <w:r>
        <w:t xml:space="preserve"> </w:t>
      </w:r>
      <w:r>
        <w:rPr>
          <w:iCs/>
          <w:i/>
        </w:rPr>
        <w:t xml:space="preserve">Regelrahmen</w:t>
      </w:r>
      <w:r>
        <w:t xml:space="preserve"> </w:t>
      </w:r>
      <w:r>
        <w:t xml:space="preserve">– Eigentumsrechte, Vertragsdurchsetzung, Wettbewerbsaufsicht –, innerhalb dessen sich Preise frei bilden. Andere Ansätze halten direkte Eingriffe in Preise und Mengen für nötig, um Versorgungssicherheit, Verteilungsgerechtigkeit oder politische Stabilität zu gewährleisten.</w:t>
      </w:r>
    </w:p>
    <w:p>
      <w:pPr>
        <w:pStyle w:val="BodyText"/>
      </w:pPr>
      <w:r>
        <w:t xml:space="preserve">Diese Debatte hat durch die Inflationswelle nach der Pandemie und dem russischen Angriff auf die Ukraine neue Schärfe gewonnen. Unter dem Begriff „Antifaschistische Wirtschaftspolitik“ argumentiert die Ökonomin Isabella M. Weber, dass Preisschocks bei Grundgütern den Aufstieg rechtsextremer Parteien begünstigen und daher durch eine Politik der Preisstabilität, notfalls mit strategischen Preiskontrollen, bekämpft werden müssen (Weber 2026). Kritiker halten dem entgegen, dass Preisobergrenzen Knappheit erzeugen und die Ursachen von Inflation verfehlen (z. B. Bourne 2026; IGM Forum 2022).</w:t>
      </w:r>
    </w:p>
    <w:p>
      <w:pPr>
        <w:pStyle w:val="BodyText"/>
      </w:pPr>
      <w:r>
        <w:t xml:space="preserve">Empirisch lassen sich solche Fragen nur schwer beantworten, weil sich reale Volkswirtschaften in unzähligen Merkmalen gleichzeitig unterscheiden. Die vorliegende Arbeit wählt daher einen kontrollierten, modellgestützten Zugang: Drei Ordnungen werden in einem agentenbasierten Modell (ABM) verglichen, in dem</w:t>
      </w:r>
      <w:r>
        <w:t xml:space="preserve"> </w:t>
      </w:r>
      <w:r>
        <w:rPr>
          <w:iCs/>
          <w:i/>
        </w:rPr>
        <w:t xml:space="preserve">nur</w:t>
      </w:r>
      <w:r>
        <w:t xml:space="preserve"> </w:t>
      </w:r>
      <w:r>
        <w:t xml:space="preserve">die Institutionen variieren. Bevölkerung, Technologie, Verhaltensregeln und Schocks sind identisch.</w:t>
      </w:r>
    </w:p>
    <w:p>
      <w:pPr>
        <w:pStyle w:val="BodyText"/>
      </w:pPr>
      <w:r>
        <w:t xml:space="preserve">Der Beitrag ist dreifach. Erstens wird ein kompaktes, vollständig dokumentiertes Makro-ABM mit Arbeits-, Güter- und Kreditmarkt vorgestellt, dessen Bankbilanz in jeder Periode exakt geschlossen ist. Zweitens wird ein Versuchsplan beschrieben, der Vergleichbarkeit durch gemeinsame Zufallszahlen, gepaarte Differenzen und systematische Sensitivitätsanalysen sicherstellt. Drittens werden die Ergebnisse genutzt, um die Instrumente der „Antifaschistischen Wirtschaftspolitik“ einzuordnen und kritisch zu diskutieren – mit dem ausdrücklichen Hinweis, dass ein stilisiertes Modell politische Wirkungszusammenhänge nicht abbildet.</w:t>
      </w:r>
    </w:p>
    <w:p>
      <w:pPr>
        <w:pStyle w:val="BodyText"/>
      </w:pPr>
      <w:r>
        <w:t xml:space="preserve">Die Arbeit ist wie folgt aufgebaut: Abschnitt 2 skizziert den Forschungsstand. Abschnitt 3 beschreibt das Modell formal, Abschnitt 4 den Versuchsplan. Abschnitt 5 präsentiert die Ergebnisse, Abschnitt 6 ordnet die „Antifaschistische Wirtschaftspolitik“ ein. Abschnitt 7 diskutiert Grenzen, Abschnitt 8 fasst zusammen.</w:t>
      </w:r>
    </w:p>
    <w:bookmarkEnd w:id="20"/>
    <w:bookmarkStart w:id="21" w:name="forschungsstand"/>
    <w:p>
      <w:pPr>
        <w:pStyle w:val="Heading1"/>
      </w:pPr>
      <w:r>
        <w:rPr>
          <w:rStyle w:val="SectionNumber"/>
        </w:rPr>
        <w:t xml:space="preserve">2</w:t>
      </w:r>
      <w:r>
        <w:tab/>
      </w:r>
      <w:r>
        <w:t xml:space="preserve">Forschungsstand</w:t>
      </w:r>
    </w:p>
    <w:p>
      <w:pPr>
        <w:pStyle w:val="FirstParagraph"/>
      </w:pPr>
      <w:r>
        <w:rPr>
          <w:bCs/>
          <w:b/>
        </w:rPr>
        <w:t xml:space="preserve">Agentenbasierte Makroökonomik.</w:t>
      </w:r>
      <w:r>
        <w:t xml:space="preserve"> </w:t>
      </w:r>
      <w:r>
        <w:t xml:space="preserve">Agentenbasierte Modelle bilden gesamtwirtschaftliche Größen als Ergebnis der Interaktion vieler heterogener, begrenzt rationaler Akteure ab. Prägend sind das CATS-Modell von Delli Gatti et al. (2011), aus dem die hier verwendeten adaptiven Preis- und Mengenregeln abgeleitet sind, sowie die „Keynes meets Schumpeter“-Modellfamilie von Dosi, Fagiolo und Roventini (2010), die Kreditmärkte, Innovation und Politikexperimente verbindet. Ein Vorteil dieser Modelle ist, dass Institutionen als Regeln explizit modelliert und kontrolliert variiert werden können. Für die Dokumentation hat sich das ODD-Protokoll durchgesetzt (Grimm et al. 2020), an dem sich Abschnitt 3 orientiert.</w:t>
      </w:r>
    </w:p>
    <w:p>
      <w:pPr>
        <w:pStyle w:val="BodyText"/>
      </w:pPr>
      <w:r>
        <w:rPr>
          <w:bCs/>
          <w:b/>
        </w:rPr>
        <w:t xml:space="preserve">Wirtschaftskrisen und politische Radikalisierung.</w:t>
      </w:r>
      <w:r>
        <w:t xml:space="preserve"> </w:t>
      </w:r>
      <w:r>
        <w:t xml:space="preserve">Eine wachsende empirische Literatur verknüpft wirtschaftliche Schocks mit dem Erfolg extremer Parteien. Funke, Schularick und Trebesch (2016) zeigen für 20 Industrieländer seit 1870, dass Stimmenanteile rechtsextremer Parteien in den fünf Jahren nach systemischen Bankenkrisen um etwa ein Drittel steigen – deutlich stärker als nach gewöhnlichen Rezessionen. Für die Weimarer Republik finden Galofré-Vilà et al. (2021), dass Regionen mit stärkeren Ausgabenkürzungen und Steuererhöhungen der Brüning-Ära höhere NSDAP-Stimmenanteile aufwiesen; eine Standardabweichung mehr Austerität ging mit zwei bis fünf Prozentpunkten mehr NSDAP-Stimmen einher. Doerr et al. (2022) zeigen, dass Städte, die stärker vom Zusammenbruch der Danatbank 1931 betroffen waren, sich stärker radikalisierten. Diese Befunde betonen Finanzkrisen, Austerität und Arbeitslosigkeit; die Rolle der Inflation ist Gegenstand der aktuellen Debatte (Abschnitt 6).</w:t>
      </w:r>
    </w:p>
    <w:p>
      <w:pPr>
        <w:pStyle w:val="BodyText"/>
      </w:pPr>
      <w:r>
        <w:rPr>
          <w:bCs/>
          <w:b/>
        </w:rPr>
        <w:t xml:space="preserve">Preiskontrollen.</w:t>
      </w:r>
      <w:r>
        <w:t xml:space="preserve"> </w:t>
      </w:r>
      <w:r>
        <w:t xml:space="preserve">In der Mehrheitsmeinung der Ökonomik gelten allgemeine Preisobergrenzen als ineffektiv oder schädlich: In einer Umfrage des IGM Forum unter führenden US-Ökonomen (Februar 2022) widersprachen 65 % (konfidenzgewichtet) der Aussage, Preiskontrollen nach dem Muster der 1970er Jahre könnten die US-Inflation binnen zwölf Monaten senken; als Gründe wurden Knappheit, Rationierung, versteckte Inflation und ein Wiederanstieg nach Aufhebung genannt (IGM Forum 2022). Weber (2026) und andere argumentieren dagegen, dass gezielte, zeitlich begrenzte Eingriffe in konzentrierten, systemrelevanten Märkten in Krisen sinnvoll sein können, und verweisen auf die Preiskontrollen der USA im Zweiten Weltkrieg sowie auf Energiepreisbremsen nach 2022.</w:t>
      </w:r>
    </w:p>
    <w:bookmarkEnd w:id="21"/>
    <w:bookmarkStart w:id="31" w:name="modell"/>
    <w:p>
      <w:pPr>
        <w:pStyle w:val="Heading1"/>
      </w:pPr>
      <w:r>
        <w:rPr>
          <w:rStyle w:val="SectionNumber"/>
        </w:rPr>
        <w:t xml:space="preserve">3</w:t>
      </w:r>
      <w:r>
        <w:tab/>
      </w:r>
      <w:r>
        <w:t xml:space="preserve">Modell</w:t>
      </w:r>
    </w:p>
    <w:bookmarkStart w:id="22" w:name="überblick-und-notation"/>
    <w:p>
      <w:pPr>
        <w:pStyle w:val="Heading2"/>
      </w:pPr>
      <w:r>
        <w:rPr>
          <w:rStyle w:val="SectionNumber"/>
        </w:rPr>
        <w:t xml:space="preserve">3.1</w:t>
      </w:r>
      <w:r>
        <w:tab/>
      </w:r>
      <w:r>
        <w:t xml:space="preserve">Überblick und Notation</w:t>
      </w:r>
    </w:p>
    <w:p>
      <w:pPr>
        <w:pStyle w:val="FirstParagraph"/>
      </w:pPr>
      <w:r>
        <w:t xml:space="preserve">Das Modell ist eine geschlossene Geldwirtschaft in diskreter Zeit</w:t>
      </w:r>
      <w:r>
        <w:t xml:space="preserve"> </w:t>
      </w:r>
      <m:oMath>
        <m:r>
          <m:t>t</m:t>
        </m:r>
        <m:r>
          <m:rPr>
            <m:sty m:val="p"/>
          </m:rPr>
          <m:t>=</m:t>
        </m:r>
        <m:r>
          <m:t>0</m:t>
        </m:r>
        <m:r>
          <m:rPr>
            <m:sty m:val="p"/>
          </m:rPr>
          <m:t>,</m:t>
        </m:r>
        <m:r>
          <m:t>1</m:t>
        </m:r>
        <m:r>
          <m:rPr>
            <m:sty m:val="p"/>
          </m:rPr>
          <m:t>,</m:t>
        </m:r>
        <m:r>
          <m:rPr>
            <m:sty m:val="p"/>
          </m:rPr>
          <m:t>…</m:t>
        </m:r>
        <m:r>
          <m:rPr>
            <m:sty m:val="p"/>
          </m:rPr>
          <m:t>,</m:t>
        </m:r>
        <m:r>
          <m:t>T</m:t>
        </m:r>
        <m:r>
          <m:rPr>
            <m:sty m:val="p"/>
          </m:rPr>
          <m:t>−</m:t>
        </m:r>
        <m:r>
          <m:t>1</m:t>
        </m:r>
      </m:oMath>
      <w:r>
        <w:t xml:space="preserve"> </w:t>
      </w:r>
      <w:r>
        <w:t xml:space="preserve">mit</w:t>
      </w:r>
      <w:r>
        <w:t xml:space="preserve"> </w:t>
      </w:r>
      <m:oMath>
        <m:r>
          <m:t>T</m:t>
        </m:r>
        <m:r>
          <m:rPr>
            <m:sty m:val="p"/>
          </m:rPr>
          <m:t>=</m:t>
        </m:r>
        <m:r>
          <m:t>600</m:t>
        </m:r>
      </m:oMath>
      <w:r>
        <w:t xml:space="preserve"> </w:t>
      </w:r>
      <w:r>
        <w:t xml:space="preserve">Perioden (eine Periode entspricht näherungsweise einem Monat). Es gibt</w:t>
      </w:r>
      <w:r>
        <w:t xml:space="preserve"> </w:t>
      </w:r>
      <m:oMath>
        <m:r>
          <m:t>H</m:t>
        </m:r>
        <m:r>
          <m:rPr>
            <m:sty m:val="p"/>
          </m:rPr>
          <m:t>=</m:t>
        </m:r>
        <m:r>
          <m:t>300</m:t>
        </m:r>
      </m:oMath>
      <w:r>
        <w:t xml:space="preserve"> </w:t>
      </w:r>
      <w:r>
        <w:t xml:space="preserve">Haushalte</w:t>
      </w:r>
      <w:r>
        <w:t xml:space="preserve"> </w:t>
      </w:r>
      <m:oMath>
        <m:r>
          <m:t>h</m:t>
        </m:r>
      </m:oMath>
      <w:r>
        <w:t xml:space="preserve">,</w:t>
      </w:r>
      <w:r>
        <w:t xml:space="preserve"> </w:t>
      </w:r>
      <m:oMath>
        <m:r>
          <m:t>F</m:t>
        </m:r>
        <m:r>
          <m:rPr>
            <m:sty m:val="p"/>
          </m:rPr>
          <m:t>=</m:t>
        </m:r>
        <m:r>
          <m:t>30</m:t>
        </m:r>
      </m:oMath>
      <w:r>
        <w:t xml:space="preserve"> </w:t>
      </w:r>
      <w:r>
        <w:t xml:space="preserve">Firmenplätze</w:t>
      </w:r>
      <w:r>
        <w:t xml:space="preserve"> </w:t>
      </w:r>
      <m:oMath>
        <m:r>
          <m:t>f</m:t>
        </m:r>
      </m:oMath>
      <w:r>
        <w:t xml:space="preserve">, eine Geschäftsbank und – je nach Regime – einen Staat. Produziert wird ein einziges homogenes, verderbliches Konsumgut ausschließlich mit Arbeit. Alle Agenten handeln nach einfachen adaptiven Regeln (begrenzte Rationalität); Märkte werden nicht durch einen Auktionator geräumt, sondern durch dezentrale, zufällige Suche.</w:t>
      </w:r>
    </w:p>
    <w:p>
      <w:pPr>
        <w:pStyle w:val="BodyText"/>
      </w:pPr>
      <w:r>
        <w:t xml:space="preserve">Jede Periode durchläuft dieselbe Abfolge: (1) Lohnsetzung, (2) Aufschlag-, Preis- und Mengenplanung, (3) Arbeitsnachfrage und Kreditaufnahme, (4) Einstellungen des Staates, (5) Arbeitsmarkt, (6) Lohnzahlung und Produktion, (7) Steuern und Transfers, (8) Gütermarkt, (9) Schuldendienst und Ausschüttungen, (10) Insolvenzen, (11) Markteintritt, (12) Bankbilanz und Kennzahlen. Tabelle 1 fasst die wichtigsten Symbole zusammen.</w:t>
      </w:r>
    </w:p>
    <w:p>
      <w:pPr>
        <w:pStyle w:val="TableCaption"/>
      </w:pPr>
      <w:r>
        <w:t xml:space="preserve">Tabelle 1: Notation (Auswahl)</w:t>
      </w:r>
    </w:p>
    <w:tbl>
      <w:tblPr>
        <w:tblStyle w:val="Table"/>
        <w:tblW w:type="pct" w:w="5000"/>
        <w:jc w:val="center"/>
        <w:tblLook w:firstRow="1" w:lastRow="0" w:firstColumn="0" w:lastColumn="0" w:noHBand="0" w:noVBand="0" w:val="0020"/>
        <w:tblCaption w:val="Tabelle 1: Notation (Auswahl)"/>
      </w:tblPr>
      <w:tblGrid>
        <w:gridCol w:w="990"/>
        <w:gridCol w:w="2970"/>
        <w:gridCol w:w="990"/>
        <w:gridCol w:w="2970"/>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Symbol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Bedeutung</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Symbol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Bedeutung</w:t>
            </w:r>
          </w:p>
        </w:tc>
      </w:tr>
      <w:tr>
        <w:tc>
          <w:tcPr/>
          <w:p>
            <w:pPr>
              <w:pStyle w:val="Compact"/>
              <w:spacing w:after="20" w:before="20"/>
              <w:jc w:val="left"/>
            </w:pPr>
            <m:oMath>
              <m:sSub>
                <m:e>
                  <m:r>
                    <m:t>M</m:t>
                  </m:r>
                </m:e>
                <m:sub>
                  <m:r>
                    <m:t>h</m:t>
                  </m:r>
                </m:sub>
              </m:sSub>
              <m:r>
                <m:rPr>
                  <m:sty m:val="p"/>
                </m:rPr>
                <m:t>,</m:t>
              </m:r>
              <m:sSub>
                <m:e>
                  <m:r>
                    <m:t>M</m:t>
                  </m:r>
                </m:e>
                <m:sub>
                  <m:r>
                    <m:t>f</m:t>
                  </m:r>
                </m:sub>
              </m:sSub>
            </m:oMath>
          </w:p>
        </w:tc>
        <w:tc>
          <w:tcPr/>
          <w:p>
            <w:pPr>
              <w:pStyle w:val="Compact"/>
              <w:spacing w:after="20" w:before="20"/>
              <w:jc w:val="left"/>
            </w:pPr>
            <w:r>
              <w:rPr>
                <w:sz w:val="18"/>
              </w:rPr>
              <w:t xml:space="preserve">Geldbestand Haushalt bzw. Firma</w:t>
            </w:r>
          </w:p>
        </w:tc>
        <w:tc>
          <w:tcPr/>
          <w:p>
            <w:pPr>
              <w:pStyle w:val="Compact"/>
              <w:spacing w:after="20" w:before="20"/>
              <w:jc w:val="center"/>
            </w:pPr>
            <m:oMath>
              <m:sSub>
                <m:e>
                  <m:r>
                    <m:t>D</m:t>
                  </m:r>
                </m:e>
                <m:sub>
                  <m:r>
                    <m:t>f</m:t>
                  </m:r>
                </m:sub>
              </m:sSub>
            </m:oMath>
          </w:p>
        </w:tc>
        <w:tc>
          <w:tcPr/>
          <w:p>
            <w:pPr>
              <w:pStyle w:val="Compact"/>
              <w:spacing w:after="20" w:before="20"/>
              <w:jc w:val="center"/>
            </w:pPr>
            <w:r>
              <w:rPr>
                <w:sz w:val="18"/>
              </w:rPr>
              <w:t xml:space="preserve">Bankschulden der Firma</w:t>
            </w:r>
          </w:p>
        </w:tc>
      </w:tr>
      <w:tr>
        <w:tc>
          <w:tcPr>
            <w:shd w:val="clear" w:color="auto" w:fill="F7F8FA"/>
          </w:tcPr>
          <w:p>
            <w:pPr>
              <w:pStyle w:val="Compact"/>
              <w:spacing w:after="20" w:before="20"/>
              <w:jc w:val="left"/>
            </w:pPr>
            <m:oMath>
              <m:sSub>
                <m:e>
                  <m:r>
                    <m:t>w</m:t>
                  </m:r>
                </m:e>
                <m:sub>
                  <m:r>
                    <m:t>f</m:t>
                  </m:r>
                </m:sub>
              </m:sSub>
            </m:oMath>
          </w:p>
        </w:tc>
        <w:tc>
          <w:tcPr>
            <w:shd w:val="clear" w:color="auto" w:fill="F7F8FA"/>
          </w:tcPr>
          <w:p>
            <w:pPr>
              <w:pStyle w:val="Compact"/>
              <w:spacing w:after="20" w:before="20"/>
              <w:jc w:val="center"/>
            </w:pPr>
            <w:r>
              <w:rPr>
                <w:sz w:val="18"/>
              </w:rPr>
              <w:t xml:space="preserve">Nominallohn der Firma</w:t>
            </w:r>
          </w:p>
        </w:tc>
        <w:tc>
          <w:tcPr>
            <w:shd w:val="clear" w:color="auto" w:fill="F7F8FA"/>
          </w:tcPr>
          <w:p>
            <w:pPr>
              <w:pStyle w:val="Compact"/>
              <w:spacing w:after="20" w:before="20"/>
              <w:jc w:val="center"/>
            </w:pPr>
            <m:oMath>
              <m:sSub>
                <m:e>
                  <m:r>
                    <m:t>μ</m:t>
                  </m:r>
                </m:e>
                <m:sub>
                  <m:r>
                    <m:t>f</m:t>
                  </m:r>
                </m:sub>
              </m:sSub>
            </m:oMath>
          </w:p>
        </w:tc>
        <w:tc>
          <w:tcPr>
            <w:shd w:val="clear" w:color="auto" w:fill="F7F8FA"/>
          </w:tcPr>
          <w:p>
            <w:pPr>
              <w:pStyle w:val="Compact"/>
              <w:spacing w:after="20" w:before="20"/>
              <w:jc w:val="left"/>
            </w:pPr>
            <w:r>
              <w:rPr>
                <w:sz w:val="18"/>
              </w:rPr>
              <w:t xml:space="preserve">Preisaufschlag auf Stückkosten</w:t>
            </w:r>
          </w:p>
        </w:tc>
      </w:tr>
      <w:tr>
        <w:tc>
          <w:tcPr/>
          <w:p>
            <w:pPr>
              <w:pStyle w:val="Compact"/>
              <w:spacing w:after="20" w:before="20"/>
              <w:jc w:val="left"/>
            </w:pPr>
            <m:oMath>
              <m:sSub>
                <m:e>
                  <m:r>
                    <m:t>p</m:t>
                  </m:r>
                </m:e>
                <m:sub>
                  <m:r>
                    <m:t>f</m:t>
                  </m:r>
                </m:sub>
              </m:sSub>
            </m:oMath>
          </w:p>
        </w:tc>
        <w:tc>
          <w:tcPr/>
          <w:p>
            <w:pPr>
              <w:pStyle w:val="Compact"/>
              <w:spacing w:after="20" w:before="20"/>
              <w:jc w:val="center"/>
            </w:pPr>
            <w:r>
              <w:rPr>
                <w:sz w:val="18"/>
              </w:rPr>
              <w:t xml:space="preserve">Preis</w:t>
            </w:r>
          </w:p>
        </w:tc>
        <w:tc>
          <w:tcPr/>
          <w:p>
            <w:pPr>
              <w:pStyle w:val="Compact"/>
              <w:spacing w:after="20" w:before="20"/>
              <w:jc w:val="center"/>
            </w:pPr>
            <m:oMath>
              <m:sSub>
                <m:e>
                  <m:r>
                    <m:t>A</m:t>
                  </m:r>
                </m:e>
                <m:sub>
                  <m:r>
                    <m:t>t</m:t>
                  </m:r>
                </m:sub>
              </m:sSub>
            </m:oMath>
          </w:p>
        </w:tc>
        <w:tc>
          <w:tcPr/>
          <w:p>
            <w:pPr>
              <w:pStyle w:val="Compact"/>
              <w:spacing w:after="20" w:before="20"/>
              <w:jc w:val="center"/>
            </w:pPr>
            <w:r>
              <w:rPr>
                <w:sz w:val="18"/>
              </w:rPr>
              <w:t xml:space="preserve">Arbeitsproduktivität</w:t>
            </w:r>
          </w:p>
        </w:tc>
      </w:tr>
      <w:tr>
        <w:tc>
          <w:tcPr>
            <w:shd w:val="clear" w:color="auto" w:fill="F7F8FA"/>
          </w:tcPr>
          <w:p>
            <w:pPr>
              <w:pStyle w:val="Compact"/>
              <w:spacing w:after="20" w:before="20"/>
              <w:jc w:val="left"/>
            </w:pPr>
            <m:oMath>
              <m:sSub>
                <m:e>
                  <m:r>
                    <m:t>N</m:t>
                  </m:r>
                </m:e>
                <m:sub>
                  <m:r>
                    <m:t>f</m:t>
                  </m:r>
                </m:sub>
              </m:sSub>
            </m:oMath>
          </w:p>
        </w:tc>
        <w:tc>
          <w:tcPr>
            <w:shd w:val="clear" w:color="auto" w:fill="F7F8FA"/>
          </w:tcPr>
          <w:p>
            <w:pPr>
              <w:pStyle w:val="Compact"/>
              <w:spacing w:after="20" w:before="20"/>
              <w:jc w:val="center"/>
            </w:pPr>
            <w:r>
              <w:rPr>
                <w:sz w:val="18"/>
              </w:rPr>
              <w:t xml:space="preserve">Beschäftigte</w:t>
            </w:r>
          </w:p>
        </w:tc>
        <w:tc>
          <w:tcPr>
            <w:shd w:val="clear" w:color="auto" w:fill="F7F8FA"/>
          </w:tcPr>
          <w:p>
            <w:pPr>
              <w:pStyle w:val="Compact"/>
              <w:spacing w:after="20" w:before="20"/>
              <w:jc w:val="center"/>
            </w:pPr>
            <m:oMath>
              <m:sSub>
                <m:e>
                  <m:r>
                    <m:t>Y</m:t>
                  </m:r>
                </m:e>
                <m:sub>
                  <m:r>
                    <m:t>f</m:t>
                  </m:r>
                </m:sub>
              </m:sSub>
            </m:oMath>
          </w:p>
        </w:tc>
        <w:tc>
          <w:tcPr>
            <w:shd w:val="clear" w:color="auto" w:fill="F7F8FA"/>
          </w:tcPr>
          <w:p>
            <w:pPr>
              <w:pStyle w:val="Compact"/>
              <w:spacing w:after="20" w:before="20"/>
              <w:jc w:val="center"/>
            </w:pPr>
            <w:r>
              <w:rPr>
                <w:sz w:val="18"/>
              </w:rPr>
              <w:t xml:space="preserve">Produktion</w:t>
            </w:r>
          </w:p>
        </w:tc>
      </w:tr>
      <w:tr>
        <w:tc>
          <w:tcPr/>
          <w:p>
            <w:pPr>
              <w:pStyle w:val="Compact"/>
              <w:spacing w:after="20" w:before="20"/>
              <w:jc w:val="left"/>
            </w:pPr>
            <m:oMath>
              <m:sSub>
                <m:e>
                  <m:r>
                    <m:t>S</m:t>
                  </m:r>
                </m:e>
                <m:sub>
                  <m:r>
                    <m:t>f</m:t>
                  </m:r>
                </m:sub>
              </m:sSub>
            </m:oMath>
          </w:p>
        </w:tc>
        <w:tc>
          <w:tcPr/>
          <w:p>
            <w:pPr>
              <w:pStyle w:val="Compact"/>
              <w:spacing w:after="20" w:before="20"/>
              <w:jc w:val="center"/>
            </w:pPr>
            <w:r>
              <w:rPr>
                <w:sz w:val="18"/>
              </w:rPr>
              <w:t xml:space="preserve">verkaufte Menge</w:t>
            </w:r>
          </w:p>
        </w:tc>
        <w:tc>
          <w:tcPr/>
          <w:p>
            <w:pPr>
              <w:pStyle w:val="Compact"/>
              <w:spacing w:after="20" w:before="20"/>
              <w:jc w:val="center"/>
            </w:pPr>
            <m:oMath>
              <m:sSub>
                <m:e>
                  <m:r>
                    <m:t>I</m:t>
                  </m:r>
                </m:e>
                <m:sub>
                  <m:r>
                    <m:t>f</m:t>
                  </m:r>
                </m:sub>
              </m:sSub>
            </m:oMath>
          </w:p>
        </w:tc>
        <w:tc>
          <w:tcPr/>
          <w:p>
            <w:pPr>
              <w:pStyle w:val="Compact"/>
              <w:spacing w:after="20" w:before="20"/>
              <w:jc w:val="center"/>
            </w:pPr>
            <w:r>
              <w:rPr>
                <w:sz w:val="18"/>
              </w:rPr>
              <w:t xml:space="preserve">Lagerbestand</w:t>
            </w:r>
          </w:p>
        </w:tc>
      </w:tr>
      <w:tr>
        <w:tc>
          <w:tcPr>
            <w:shd w:val="clear" w:color="auto" w:fill="F7F8FA"/>
          </w:tcPr>
          <w:p>
            <w:pPr>
              <w:pStyle w:val="Compact"/>
              <w:spacing w:after="20" w:before="20"/>
              <w:jc w:val="left"/>
            </w:pPr>
            <m:oMath>
              <m:sSubSup>
                <m:e>
                  <m:r>
                    <m:t>Y</m:t>
                  </m:r>
                </m:e>
                <m:sub>
                  <m:r>
                    <m:t>f</m:t>
                  </m:r>
                </m:sub>
                <m:sup>
                  <m:r>
                    <m:rPr>
                      <m:sty m:val="p"/>
                    </m:rPr>
                    <m:t>*</m:t>
                  </m:r>
                </m:sup>
              </m:sSubSup>
            </m:oMath>
          </w:p>
        </w:tc>
        <w:tc>
          <w:tcPr>
            <w:shd w:val="clear" w:color="auto" w:fill="F7F8FA"/>
          </w:tcPr>
          <w:p>
            <w:pPr>
              <w:pStyle w:val="Compact"/>
              <w:spacing w:after="20" w:before="20"/>
              <w:jc w:val="center"/>
            </w:pPr>
            <w:r>
              <w:rPr>
                <w:sz w:val="18"/>
              </w:rPr>
              <w:t xml:space="preserve">Produktionsziel</w:t>
            </w:r>
          </w:p>
        </w:tc>
        <w:tc>
          <w:tcPr>
            <w:shd w:val="clear" w:color="auto" w:fill="F7F8FA"/>
          </w:tcPr>
          <w:p>
            <w:pPr>
              <w:pStyle w:val="Compact"/>
              <w:spacing w:after="20" w:before="20"/>
              <w:jc w:val="center"/>
            </w:pPr>
            <m:oMath>
              <m:sSub>
                <m:e>
                  <m:r>
                    <m:t>V</m:t>
                  </m:r>
                </m:e>
                <m:sub>
                  <m:r>
                    <m:t>f</m:t>
                  </m:r>
                </m:sub>
              </m:sSub>
            </m:oMath>
          </w:p>
        </w:tc>
        <w:tc>
          <w:tcPr>
            <w:shd w:val="clear" w:color="auto" w:fill="F7F8FA"/>
          </w:tcPr>
          <w:p>
            <w:pPr>
              <w:pStyle w:val="Compact"/>
              <w:spacing w:after="20" w:before="20"/>
              <w:jc w:val="center"/>
            </w:pPr>
            <w:r>
              <w:rPr>
                <w:sz w:val="18"/>
              </w:rPr>
              <w:t xml:space="preserve">offene Stellen</w:t>
            </w:r>
          </w:p>
        </w:tc>
      </w:tr>
      <w:tr>
        <w:tc>
          <w:tcPr/>
          <w:p>
            <w:pPr>
              <w:pStyle w:val="Compact"/>
              <w:spacing w:after="20" w:before="20"/>
              <w:jc w:val="left"/>
            </w:pPr>
            <m:oMath>
              <m:sSub>
                <m:e>
                  <m:r>
                    <m:t>u</m:t>
                  </m:r>
                </m:e>
                <m:sub>
                  <m:r>
                    <m:t>t</m:t>
                  </m:r>
                </m:sub>
              </m:sSub>
            </m:oMath>
          </w:p>
        </w:tc>
        <w:tc>
          <w:tcPr/>
          <w:p>
            <w:pPr>
              <w:pStyle w:val="Compact"/>
              <w:spacing w:after="20" w:before="20"/>
              <w:jc w:val="center"/>
            </w:pPr>
            <w:r>
              <w:rPr>
                <w:sz w:val="18"/>
              </w:rPr>
              <w:t xml:space="preserve">Arbeitslosenquote</w:t>
            </w:r>
          </w:p>
        </w:tc>
        <w:tc>
          <w:tcPr/>
          <w:p>
            <w:pPr>
              <w:pStyle w:val="Compact"/>
              <w:spacing w:after="20" w:before="20"/>
              <w:jc w:val="center"/>
            </w:pPr>
            <m:oMath>
              <m:sSub>
                <m:e>
                  <m:r>
                    <m:t>P</m:t>
                  </m:r>
                </m:e>
                <m:sub>
                  <m:r>
                    <m:t>t</m:t>
                  </m:r>
                </m:sub>
              </m:sSub>
            </m:oMath>
          </w:p>
        </w:tc>
        <w:tc>
          <w:tcPr/>
          <w:p>
            <w:pPr>
              <w:pStyle w:val="Compact"/>
              <w:spacing w:after="20" w:before="20"/>
              <w:jc w:val="center"/>
            </w:pPr>
            <w:r>
              <w:rPr>
                <w:sz w:val="18"/>
              </w:rPr>
              <w:t xml:space="preserve">Preisindex</w:t>
            </w:r>
          </w:p>
        </w:tc>
      </w:tr>
      <w:tr>
        <w:tc>
          <w:tcPr>
            <w:shd w:val="clear" w:color="auto" w:fill="F7F8FA"/>
          </w:tcPr>
          <w:p>
            <w:pPr>
              <w:pStyle w:val="Compact"/>
              <w:spacing w:after="20" w:before="20"/>
              <w:jc w:val="left"/>
            </w:pPr>
            <m:oMath>
              <m:sSub>
                <m:e>
                  <m:r>
                    <m:t>E</m:t>
                  </m:r>
                </m:e>
                <m:sub>
                  <m:r>
                    <m:t>t</m:t>
                  </m:r>
                </m:sub>
              </m:sSub>
            </m:oMath>
          </w:p>
        </w:tc>
        <w:tc>
          <w:tcPr>
            <w:shd w:val="clear" w:color="auto" w:fill="F7F8FA"/>
          </w:tcPr>
          <w:p>
            <w:pPr>
              <w:pStyle w:val="Compact"/>
              <w:spacing w:after="20" w:before="20"/>
              <w:jc w:val="center"/>
            </w:pPr>
            <w:r>
              <w:rPr>
                <w:sz w:val="18"/>
              </w:rPr>
              <w:t xml:space="preserve">Eigenkapital der Bank</w:t>
            </w:r>
          </w:p>
        </w:tc>
        <w:tc>
          <w:tcPr>
            <w:shd w:val="clear" w:color="auto" w:fill="F7F8FA"/>
          </w:tcPr>
          <w:p>
            <w:pPr>
              <w:pStyle w:val="Compact"/>
              <w:spacing w:after="20" w:before="20"/>
              <w:jc w:val="center"/>
            </w:pPr>
            <m:oMath>
              <m:sSub>
                <m:e>
                  <m:r>
                    <m:t>L</m:t>
                  </m:r>
                </m:e>
                <m:sub>
                  <m:r>
                    <m:t>t</m:t>
                  </m:r>
                </m:sub>
              </m:sSub>
            </m:oMath>
          </w:p>
        </w:tc>
        <w:tc>
          <w:tcPr>
            <w:shd w:val="clear" w:color="auto" w:fill="F7F8FA"/>
          </w:tcPr>
          <w:p>
            <w:pPr>
              <w:pStyle w:val="Compact"/>
              <w:spacing w:after="20" w:before="20"/>
              <w:jc w:val="center"/>
            </w:pPr>
            <w:r>
              <w:rPr>
                <w:sz w:val="18"/>
              </w:rPr>
              <w:t xml:space="preserve">Kreditvolumen</w:t>
            </w:r>
          </w:p>
        </w:tc>
      </w:tr>
      <w:tr>
        <w:tc>
          <w:tcPr>
            <w:tcBorders>
              <w:bottom w:val="single" w:sz="12" w:color="1F3864"/>
            </w:tcBorders>
          </w:tcPr>
          <w:p>
            <w:pPr>
              <w:pStyle w:val="Compact"/>
              <w:spacing w:after="20" w:before="20"/>
              <w:jc w:val="left"/>
            </w:pPr>
            <m:oMath>
              <m:r>
                <m:t>τ</m:t>
              </m:r>
            </m:oMath>
          </w:p>
        </w:tc>
        <w:tc>
          <w:tcPr>
            <w:tcBorders>
              <w:bottom w:val="single" w:sz="12" w:color="1F3864"/>
            </w:tcBorders>
          </w:tcPr>
          <w:p>
            <w:pPr>
              <w:pStyle w:val="Compact"/>
              <w:spacing w:after="20" w:before="20"/>
              <w:jc w:val="center"/>
            </w:pPr>
            <w:r>
              <w:rPr>
                <w:sz w:val="18"/>
              </w:rPr>
              <w:t xml:space="preserve">Steuersatz</w:t>
            </w:r>
          </w:p>
        </w:tc>
        <w:tc>
          <w:tcPr>
            <w:tcBorders>
              <w:bottom w:val="single" w:sz="12" w:color="1F3864"/>
            </w:tcBorders>
          </w:tcPr>
          <w:p>
            <w:pPr>
              <w:pStyle w:val="Compact"/>
              <w:spacing w:after="20" w:before="20"/>
              <w:jc w:val="center"/>
            </w:pPr>
            <m:oMath>
              <m:sSub>
                <m:e>
                  <m:r>
                    <m:t>G</m:t>
                  </m:r>
                </m:e>
                <m:sub>
                  <m:r>
                    <m:t>t</m:t>
                  </m:r>
                </m:sub>
              </m:sSub>
            </m:oMath>
          </w:p>
        </w:tc>
        <w:tc>
          <w:tcPr>
            <w:tcBorders>
              <w:bottom w:val="single" w:sz="12" w:color="1F3864"/>
            </w:tcBorders>
          </w:tcPr>
          <w:p>
            <w:pPr>
              <w:pStyle w:val="Compact"/>
              <w:spacing w:after="20" w:before="20"/>
              <w:jc w:val="center"/>
            </w:pPr>
            <w:r>
              <w:rPr>
                <w:sz w:val="18"/>
              </w:rPr>
              <w:t xml:space="preserve">Kasse des Staates</w:t>
            </w:r>
          </w:p>
        </w:tc>
      </w:tr>
    </w:tbl>
    <w:bookmarkEnd w:id="22"/>
    <w:bookmarkStart w:id="23" w:name="haushalte"/>
    <w:p>
      <w:pPr>
        <w:pStyle w:val="Heading2"/>
      </w:pPr>
      <w:r>
        <w:rPr>
          <w:rStyle w:val="SectionNumber"/>
        </w:rPr>
        <w:t xml:space="preserve">3.2</w:t>
      </w:r>
      <w:r>
        <w:tab/>
      </w:r>
      <w:r>
        <w:t xml:space="preserve">Haushalte</w:t>
      </w:r>
    </w:p>
    <w:p>
      <w:pPr>
        <w:pStyle w:val="FirstParagraph"/>
      </w:pPr>
      <w:r>
        <w:t xml:space="preserve">Haushalte bieten unelastisch eine Einheit Arbeit an. Ihr Startvermögen ist lognormalverteilt,</w:t>
      </w:r>
      <w:r>
        <w:t xml:space="preserve"> </w:t>
      </w:r>
      <m:oMath>
        <m:sSub>
          <m:e>
            <m:r>
              <m:t>M</m:t>
            </m:r>
          </m:e>
          <m:sub>
            <m:r>
              <m:t>h</m:t>
            </m:r>
            <m:r>
              <m:rPr>
                <m:sty m:val="p"/>
              </m:rPr>
              <m:t>,</m:t>
            </m:r>
            <m:r>
              <m:t>0</m:t>
            </m:r>
          </m:sub>
        </m:sSub>
        <m:r>
          <m:rPr>
            <m:sty m:val="p"/>
          </m:rPr>
          <m:t>∼</m:t>
        </m:r>
        <m:r>
          <m:rPr>
            <m:sty m:val="p"/>
          </m:rPr>
          <m:t>L</m:t>
        </m:r>
        <m:r>
          <m:rPr>
            <m:sty m:val="p"/>
          </m:rPr>
          <m:t>N</m:t>
        </m:r>
        <m:d>
          <m:dPr>
            <m:begChr m:val="("/>
            <m:endChr m:val=")"/>
            <m:sepChr m:val=""/>
            <m:grow/>
          </m:dPr>
          <m:e>
            <m:r>
              <m:rPr>
                <m:sty m:val="p"/>
              </m:rPr>
              <m:t>ln</m:t>
            </m:r>
            <m:acc>
              <m:accPr>
                <m:chr m:val="‾"/>
              </m:accPr>
              <m:e>
                <m:r>
                  <m:t>M</m:t>
                </m:r>
              </m:e>
            </m:acc>
            <m:r>
              <m:rPr>
                <m:sty m:val="p"/>
              </m:rPr>
              <m:t>−</m:t>
            </m:r>
            <m:sSubSup>
              <m:e>
                <m:r>
                  <m:t>σ</m:t>
                </m:r>
              </m:e>
              <m:sub>
                <m:r>
                  <m:t>M</m:t>
                </m:r>
              </m:sub>
              <m:sup>
                <m:r>
                  <m:t>2</m:t>
                </m:r>
              </m:sup>
            </m:sSubSup>
            <m:r>
              <m:rPr>
                <m:sty m:val="p"/>
              </m:rPr>
              <m:t>/</m:t>
            </m:r>
            <m:r>
              <m:t>2</m:t>
            </m:r>
            <m:r>
              <m:rPr>
                <m:sty m:val="p"/>
              </m:rPr>
              <m:t>,</m:t>
            </m:r>
            <m:r>
              <m:t> </m:t>
            </m:r>
            <m:sSubSup>
              <m:e>
                <m:r>
                  <m:t>σ</m:t>
                </m:r>
              </m:e>
              <m:sub>
                <m:r>
                  <m:t>M</m:t>
                </m:r>
              </m:sub>
              <m:sup>
                <m:r>
                  <m:t>2</m:t>
                </m:r>
              </m:sup>
            </m:sSubSup>
          </m:e>
        </m:d>
      </m:oMath>
      <w:r>
        <w:t xml:space="preserve"> </w:t>
      </w:r>
      <w:r>
        <w:t xml:space="preserve">mit</w:t>
      </w:r>
      <w:r>
        <w:t xml:space="preserve"> </w:t>
      </w:r>
      <m:oMath>
        <m:acc>
          <m:accPr>
            <m:chr m:val="‾"/>
          </m:accPr>
          <m:e>
            <m:r>
              <m:t>M</m:t>
            </m:r>
          </m:e>
        </m:acc>
        <m:r>
          <m:rPr>
            <m:sty m:val="p"/>
          </m:rPr>
          <m:t>=</m:t>
        </m:r>
        <m:r>
          <m:t>10</m:t>
        </m:r>
      </m:oMath>
      <w:r>
        <w:t xml:space="preserve"> </w:t>
      </w:r>
      <w:r>
        <w:t xml:space="preserve">und</w:t>
      </w:r>
      <w:r>
        <w:t xml:space="preserve"> </w:t>
      </w:r>
      <m:oMath>
        <m:sSub>
          <m:e>
            <m:r>
              <m:t>σ</m:t>
            </m:r>
          </m:e>
          <m:sub>
            <m:r>
              <m:t>M</m:t>
            </m:r>
          </m:sub>
        </m:sSub>
        <m:r>
          <m:rPr>
            <m:sty m:val="p"/>
          </m:rPr>
          <m:t>=</m:t>
        </m:r>
        <m:r>
          <m:rPr>
            <m:nor/>
            <m:sty m:val="p"/>
          </m:rPr>
          <m:t>0,6</m:t>
        </m:r>
      </m:oMath>
      <w:r>
        <w:t xml:space="preserve">. Das Konsumbudget einer Periode folgt einer Konsumfunktion aus laufendem Einkommen</w:t>
      </w:r>
      <w:r>
        <w:t xml:space="preserve"> </w:t>
      </w:r>
      <m:oMath>
        <m:sSub>
          <m:e>
            <m:r>
              <m:t>y</m:t>
            </m:r>
          </m:e>
          <m:sub>
            <m:r>
              <m:t>h</m:t>
            </m:r>
            <m:r>
              <m:rPr>
                <m:sty m:val="p"/>
              </m:rPr>
              <m:t>,</m:t>
            </m:r>
            <m:r>
              <m:t>t</m:t>
            </m:r>
          </m:sub>
        </m:sSub>
      </m:oMath>
      <w:r>
        <w:t xml:space="preserve"> </w:t>
      </w:r>
      <w:r>
        <w:t xml:space="preserve">(Nettolohn, Transfers, Dividenden der Vorperiode) und Geldvermögen:</w:t>
      </w:r>
    </w:p>
    <w:p>
      <w:pPr>
        <w:pStyle w:val="BodyText"/>
      </w:pPr>
      <m:oMathPara>
        <m:oMathParaPr>
          <m:jc m:val="center"/>
        </m:oMathParaPr>
        <m:oMath>
          <m:sSub>
            <m:e>
              <m:r>
                <m:t>B</m:t>
              </m:r>
            </m:e>
            <m:sub>
              <m:r>
                <m:t>h</m:t>
              </m:r>
              <m:r>
                <m:rPr>
                  <m:sty m:val="p"/>
                </m:rPr>
                <m:t>,</m:t>
              </m:r>
              <m:r>
                <m:t>t</m:t>
              </m:r>
            </m:sub>
          </m:sSub>
          <m:r>
            <m:rPr>
              <m:sty m:val="p"/>
            </m:rPr>
            <m:t>=</m:t>
          </m:r>
          <m:r>
            <m:rPr>
              <m:sty m:val="p"/>
            </m:rPr>
            <m:t>min</m:t>
          </m:r>
          <m:d>
            <m:dPr>
              <m:begChr m:val="{"/>
              <m:endChr m:val="}"/>
              <m:sepChr m:val=""/>
              <m:grow/>
            </m:dPr>
            <m:e>
              <m:sSub>
                <m:e>
                  <m:r>
                    <m:t>M</m:t>
                  </m:r>
                </m:e>
                <m:sub>
                  <m:r>
                    <m:t>h</m:t>
                  </m:r>
                  <m:r>
                    <m:rPr>
                      <m:sty m:val="p"/>
                    </m:rPr>
                    <m:t>,</m:t>
                  </m:r>
                  <m:r>
                    <m:t>t</m:t>
                  </m:r>
                </m:sub>
              </m:sSub>
              <m:r>
                <m:rPr>
                  <m:sty m:val="p"/>
                </m:rPr>
                <m:t>,</m:t>
              </m:r>
              <m:r>
                <m:t> </m:t>
              </m:r>
              <m:sSub>
                <m:e>
                  <m:r>
                    <m:t>c</m:t>
                  </m:r>
                </m:e>
                <m:sub>
                  <m:r>
                    <m:t>y</m:t>
                  </m:r>
                </m:sub>
              </m:sSub>
              <m:r>
                <m:t> </m:t>
              </m:r>
              <m:sSub>
                <m:e>
                  <m:r>
                    <m:t>y</m:t>
                  </m:r>
                </m:e>
                <m:sub>
                  <m:r>
                    <m:t>h</m:t>
                  </m:r>
                  <m:r>
                    <m:rPr>
                      <m:sty m:val="p"/>
                    </m:rPr>
                    <m:t>,</m:t>
                  </m:r>
                  <m:r>
                    <m:t>t</m:t>
                  </m:r>
                </m:sub>
              </m:sSub>
              <m:r>
                <m:rPr>
                  <m:sty m:val="p"/>
                </m:rPr>
                <m:t>+</m:t>
              </m:r>
              <m:sSub>
                <m:e>
                  <m:r>
                    <m:t>c</m:t>
                  </m:r>
                </m:e>
                <m:sub>
                  <m:r>
                    <m:t>m</m:t>
                  </m:r>
                </m:sub>
              </m:sSub>
              <m:r>
                <m:t> </m:t>
              </m:r>
              <m:sSub>
                <m:e>
                  <m:r>
                    <m:t>M</m:t>
                  </m:r>
                </m:e>
                <m:sub>
                  <m:r>
                    <m:t>h</m:t>
                  </m:r>
                  <m:r>
                    <m:rPr>
                      <m:sty m:val="p"/>
                    </m:rPr>
                    <m:t>,</m:t>
                  </m:r>
                  <m:r>
                    <m:t>t</m:t>
                  </m:r>
                </m:sub>
              </m:sSub>
            </m:e>
          </m:d>
          <m:r>
            <m:rPr>
              <m:sty m:val="p"/>
            </m:rPr>
            <m:t>,</m:t>
          </m:r>
          <m:r>
            <m:t>  </m:t>
          </m:r>
          <m:sSub>
            <m:e>
              <m:r>
                <m:t>c</m:t>
              </m:r>
            </m:e>
            <m:sub>
              <m:r>
                <m:t>y</m:t>
              </m:r>
            </m:sub>
          </m:sSub>
          <m:r>
            <m:rPr>
              <m:sty m:val="p"/>
            </m:rPr>
            <m:t>=</m:t>
          </m:r>
          <m:r>
            <m:rPr>
              <m:nor/>
              <m:sty m:val="p"/>
            </m:rPr>
            <m:t>0,8</m:t>
          </m:r>
          <m:r>
            <m:rPr>
              <m:sty m:val="p"/>
            </m:rPr>
            <m:t>,</m:t>
          </m:r>
          <m:r>
            <m:t> </m:t>
          </m:r>
          <m:sSub>
            <m:e>
              <m:r>
                <m:t>c</m:t>
              </m:r>
            </m:e>
            <m:sub>
              <m:r>
                <m:t>m</m:t>
              </m:r>
            </m:sub>
          </m:sSub>
          <m:r>
            <m:rPr>
              <m:sty m:val="p"/>
            </m:rPr>
            <m:t>=</m:t>
          </m:r>
          <m:r>
            <m:rPr>
              <m:nor/>
              <m:sty m:val="p"/>
            </m:rPr>
            <m:t>0,05</m:t>
          </m:r>
          <m:r>
            <m:rPr>
              <m:sty m:val="p"/>
            </m:rPr>
            <m:t>.</m:t>
          </m:r>
          <m:r>
            <m:t>  </m:t>
          </m:r>
          <m:r>
            <m:t>  </m:t>
          </m:r>
          <m:d>
            <m:dPr>
              <m:begChr m:val="("/>
              <m:endChr m:val=")"/>
              <m:sepChr m:val=""/>
              <m:grow/>
            </m:dPr>
            <m:e>
              <m:r>
                <m:t>1</m:t>
              </m:r>
            </m:e>
          </m:d>
        </m:oMath>
      </m:oMathPara>
    </w:p>
    <w:p>
      <w:pPr>
        <w:pStyle w:val="FirstParagraph"/>
      </w:pPr>
      <w:r>
        <w:t xml:space="preserve">Auf dem Gütermarkt besucht jeder Haushalt in zufälliger Reihenfolge</w:t>
      </w:r>
      <w:r>
        <w:t xml:space="preserve"> </w:t>
      </w:r>
      <m:oMath>
        <m:sSub>
          <m:e>
            <m:r>
              <m:t>k</m:t>
            </m:r>
          </m:e>
          <m:sub>
            <m:r>
              <m:t>g</m:t>
            </m:r>
          </m:sub>
        </m:sSub>
        <m:r>
          <m:rPr>
            <m:sty m:val="p"/>
          </m:rPr>
          <m:t>=</m:t>
        </m:r>
        <m:r>
          <m:t>3</m:t>
        </m:r>
      </m:oMath>
      <w:r>
        <w:t xml:space="preserve"> </w:t>
      </w:r>
      <w:r>
        <w:t xml:space="preserve">zufällig gezogene Anbieter, ordnet sie nach Preis und kauft beim günstigsten, bis das Budget erschöpft ist oder alle besuchten Anbieter ausverkauft sind. Ein nicht ausgegebener Budgetrest gilt als unbefriedigte Nachfrage. Der realisierte Konsum</w:t>
      </w:r>
      <w:r>
        <w:t xml:space="preserve"> </w:t>
      </w:r>
      <m:oMath>
        <m:sSub>
          <m:e>
            <m:r>
              <m:t>c</m:t>
            </m:r>
          </m:e>
          <m:sub>
            <m:r>
              <m:t>h</m:t>
            </m:r>
            <m:r>
              <m:rPr>
                <m:sty m:val="p"/>
              </m:rPr>
              <m:t>,</m:t>
            </m:r>
            <m:r>
              <m:t>t</m:t>
            </m:r>
          </m:sub>
        </m:sSub>
      </m:oMath>
      <w:r>
        <w:t xml:space="preserve"> </w:t>
      </w:r>
      <w:r>
        <w:t xml:space="preserve">geht in ein konkaves Nutzenmaß ein:</w:t>
      </w:r>
    </w:p>
    <w:p>
      <w:pPr>
        <w:pStyle w:val="BodyText"/>
      </w:pPr>
      <m:oMathPara>
        <m:oMathParaPr>
          <m:jc m:val="center"/>
        </m:oMathParaPr>
        <m:oMath>
          <m:r>
            <m:t>u</m:t>
          </m:r>
          <m:d>
            <m:dPr>
              <m:begChr m:val="("/>
              <m:endChr m:val=")"/>
              <m:sepChr m:val=""/>
              <m:grow/>
            </m:dPr>
            <m:e>
              <m:sSub>
                <m:e>
                  <m:r>
                    <m:t>c</m:t>
                  </m:r>
                </m:e>
                <m:sub>
                  <m:r>
                    <m:t>h</m:t>
                  </m:r>
                  <m:r>
                    <m:rPr>
                      <m:sty m:val="p"/>
                    </m:rPr>
                    <m:t>,</m:t>
                  </m:r>
                  <m:r>
                    <m:t>t</m:t>
                  </m:r>
                </m:sub>
              </m:sSub>
            </m:e>
          </m:d>
          <m:r>
            <m:rPr>
              <m:sty m:val="p"/>
            </m:rPr>
            <m:t>=</m:t>
          </m:r>
          <m:r>
            <m:rPr>
              <m:sty m:val="p"/>
            </m:rPr>
            <m:t>ln</m:t>
          </m:r>
          <m:d>
            <m:dPr>
              <m:begChr m:val="("/>
              <m:endChr m:val=")"/>
              <m:sepChr m:val=""/>
              <m:grow/>
            </m:dPr>
            <m:e>
              <m:r>
                <m:t>1</m:t>
              </m:r>
              <m:r>
                <m:rPr>
                  <m:sty m:val="p"/>
                </m:rPr>
                <m:t>+</m:t>
              </m:r>
              <m:sSub>
                <m:e>
                  <m:r>
                    <m:t>c</m:t>
                  </m:r>
                </m:e>
                <m:sub>
                  <m:r>
                    <m:t>h</m:t>
                  </m:r>
                  <m:r>
                    <m:rPr>
                      <m:sty m:val="p"/>
                    </m:rPr>
                    <m:t>,</m:t>
                  </m:r>
                  <m:r>
                    <m:t>t</m:t>
                  </m:r>
                </m:sub>
              </m:sSub>
            </m:e>
          </m:d>
          <m:r>
            <m:rPr>
              <m:sty m:val="p"/>
            </m:rPr>
            <m:t>.</m:t>
          </m:r>
          <m:r>
            <m:t>  </m:t>
          </m:r>
          <m:r>
            <m:t>  </m:t>
          </m:r>
          <m:d>
            <m:dPr>
              <m:begChr m:val="("/>
              <m:endChr m:val=")"/>
              <m:sepChr m:val=""/>
              <m:grow/>
            </m:dPr>
            <m:e>
              <m:r>
                <m:t>2</m:t>
              </m:r>
            </m:e>
          </m:d>
        </m:oMath>
      </m:oMathPara>
    </w:p>
    <w:p>
      <w:pPr>
        <w:pStyle w:val="FirstParagraph"/>
      </w:pPr>
      <w:r>
        <w:t xml:space="preserve">Arbeitslose bewerben sich bei bis zu</w:t>
      </w:r>
      <w:r>
        <w:t xml:space="preserve"> </w:t>
      </w:r>
      <m:oMath>
        <m:sSub>
          <m:e>
            <m:r>
              <m:t>k</m:t>
            </m:r>
          </m:e>
          <m:sub>
            <m:r>
              <m:t>j</m:t>
            </m:r>
          </m:sub>
        </m:sSub>
        <m:r>
          <m:rPr>
            <m:sty m:val="p"/>
          </m:rPr>
          <m:t>=</m:t>
        </m:r>
        <m:r>
          <m:t>4</m:t>
        </m:r>
      </m:oMath>
      <w:r>
        <w:t xml:space="preserve"> </w:t>
      </w:r>
      <w:r>
        <w:t xml:space="preserve">Firmen mit offenen Stellen und nehmen das höchste Lohnangebot an, sofern der Nettolohn den Reservationslohn übersteigt:</w:t>
      </w:r>
    </w:p>
    <w:p>
      <w:pPr>
        <w:pStyle w:val="BodyText"/>
      </w:pPr>
      <m:oMathPara>
        <m:oMathParaPr>
          <m:jc m:val="center"/>
        </m:oMathParaPr>
        <m:oMath>
          <m:d>
            <m:dPr>
              <m:begChr m:val="("/>
              <m:endChr m:val=")"/>
              <m:sepChr m:val=""/>
              <m:grow/>
            </m:dPr>
            <m:e>
              <m:r>
                <m:t>1</m:t>
              </m:r>
              <m:r>
                <m:rPr>
                  <m:sty m:val="p"/>
                </m:rPr>
                <m:t>−</m:t>
              </m:r>
              <m:r>
                <m:t>τ</m:t>
              </m:r>
            </m:e>
          </m:d>
          <m:r>
            <m:t> </m:t>
          </m:r>
          <m:sSub>
            <m:e>
              <m:r>
                <m:t>w</m:t>
              </m:r>
            </m:e>
            <m:sub>
              <m:r>
                <m:t>f</m:t>
              </m:r>
            </m:sub>
          </m:sSub>
          <m:r>
            <m:t> </m:t>
          </m:r>
          <m:r>
            <m:rPr>
              <m:sty m:val="p"/>
            </m:rPr>
            <m:t>≥</m:t>
          </m:r>
          <m:r>
            <m:t> </m:t>
          </m:r>
          <m:r>
            <m:t>φ</m:t>
          </m:r>
          <m:r>
            <m:t> </m:t>
          </m:r>
          <m:sSub>
            <m:e>
              <m:r>
                <m:t>b</m:t>
              </m:r>
            </m:e>
            <m:sub>
              <m:r>
                <m:t>t</m:t>
              </m:r>
              <m:r>
                <m:rPr>
                  <m:sty m:val="p"/>
                </m:rPr>
                <m:t>−</m:t>
              </m:r>
              <m:r>
                <m:t>1</m:t>
              </m:r>
            </m:sub>
          </m:sSub>
          <m:r>
            <m:rPr>
              <m:sty m:val="p"/>
            </m:rPr>
            <m:t>,</m:t>
          </m:r>
          <m:r>
            <m:t>  </m:t>
          </m:r>
          <m:r>
            <m:t>  </m:t>
          </m:r>
          <m:d>
            <m:dPr>
              <m:begChr m:val="("/>
              <m:endChr m:val=")"/>
              <m:sepChr m:val=""/>
              <m:grow/>
            </m:dPr>
            <m:e>
              <m:r>
                <m:t>3</m:t>
              </m:r>
            </m:e>
          </m:d>
        </m:oMath>
      </m:oMathPara>
    </w:p>
    <w:p>
      <w:pPr>
        <w:pStyle w:val="FirstParagraph"/>
      </w:pPr>
      <w:r>
        <w:t xml:space="preserve">wobei</w:t>
      </w:r>
      <w:r>
        <w:t xml:space="preserve"> </w:t>
      </w:r>
      <m:oMath>
        <m:sSub>
          <m:e>
            <m:r>
              <m:t>b</m:t>
            </m:r>
          </m:e>
          <m:sub>
            <m:r>
              <m:t>t</m:t>
            </m:r>
            <m:r>
              <m:rPr>
                <m:sty m:val="p"/>
              </m:rPr>
              <m:t>−</m:t>
            </m:r>
            <m:r>
              <m:t>1</m:t>
            </m:r>
          </m:sub>
        </m:sSub>
      </m:oMath>
      <w:r>
        <w:t xml:space="preserve"> </w:t>
      </w:r>
      <w:r>
        <w:t xml:space="preserve">das zuletzt gezahlte Arbeitslosengeld und</w:t>
      </w:r>
      <w:r>
        <w:t xml:space="preserve"> </w:t>
      </w:r>
      <m:oMath>
        <m:r>
          <m:t>φ</m:t>
        </m:r>
      </m:oMath>
      <w:r>
        <w:t xml:space="preserve"> </w:t>
      </w:r>
      <w:r>
        <w:t xml:space="preserve">der Reservationsfaktor ist (</w:t>
      </w:r>
      <m:oMath>
        <m:r>
          <m:t>φ</m:t>
        </m:r>
        <m:r>
          <m:rPr>
            <m:sty m:val="p"/>
          </m:rPr>
          <m:t>=</m:t>
        </m:r>
        <m:r>
          <m:rPr>
            <m:nor/>
            <m:sty m:val="p"/>
          </m:rPr>
          <m:t>1,1</m:t>
        </m:r>
      </m:oMath>
      <w:r>
        <w:t xml:space="preserve"> </w:t>
      </w:r>
      <w:r>
        <w:t xml:space="preserve">in B und C; in A gilt</w:t>
      </w:r>
      <w:r>
        <w:t xml:space="preserve"> </w:t>
      </w:r>
      <m:oMath>
        <m:r>
          <m:t>b</m:t>
        </m:r>
        <m:r>
          <m:rPr>
            <m:sty m:val="p"/>
          </m:rPr>
          <m:t>=</m:t>
        </m:r>
        <m:r>
          <m:t>0</m:t>
        </m:r>
      </m:oMath>
      <w:r>
        <w:t xml:space="preserve">).</w:t>
      </w:r>
    </w:p>
    <w:bookmarkEnd w:id="23"/>
    <w:bookmarkStart w:id="24" w:name="unternehmen"/>
    <w:p>
      <w:pPr>
        <w:pStyle w:val="Heading2"/>
      </w:pPr>
      <w:r>
        <w:rPr>
          <w:rStyle w:val="SectionNumber"/>
        </w:rPr>
        <w:t xml:space="preserve">3.3</w:t>
      </w:r>
      <w:r>
        <w:tab/>
      </w:r>
      <w:r>
        <w:t xml:space="preserve">Unternehmen</w:t>
      </w:r>
    </w:p>
    <w:p>
      <w:pPr>
        <w:pStyle w:val="FirstParagraph"/>
      </w:pPr>
      <w:r>
        <w:rPr>
          <w:bCs/>
          <w:b/>
        </w:rPr>
        <w:t xml:space="preserve">Lohnsetzung.</w:t>
      </w:r>
      <w:r>
        <w:t xml:space="preserve"> </w:t>
      </w:r>
      <w:r>
        <w:t xml:space="preserve">Mit</w:t>
      </w:r>
      <w:r>
        <w:t xml:space="preserve"> </w:t>
      </w:r>
      <m:oMath>
        <m:sSubSup>
          <m:e>
            <m:r>
              <m:t>ε</m:t>
            </m:r>
          </m:e>
          <m:sub>
            <m:r>
              <m:t>f</m:t>
            </m:r>
            <m:r>
              <m:rPr>
                <m:sty m:val="p"/>
              </m:rPr>
              <m:t>,</m:t>
            </m:r>
            <m:r>
              <m:t>t</m:t>
            </m:r>
          </m:sub>
          <m:sup>
            <m:r>
              <m:t>w</m:t>
            </m:r>
          </m:sup>
        </m:sSubSup>
        <m:r>
          <m:rPr>
            <m:sty m:val="p"/>
          </m:rPr>
          <m:t>∼</m:t>
        </m:r>
        <m:r>
          <m:t>U</m:t>
        </m:r>
        <m:d>
          <m:dPr>
            <m:begChr m:val="("/>
            <m:endChr m:val=")"/>
            <m:sepChr m:val=""/>
            <m:grow/>
          </m:dPr>
          <m:e>
            <m:r>
              <m:t>0</m:t>
            </m:r>
            <m:r>
              <m:rPr>
                <m:sty m:val="p"/>
              </m:rPr>
              <m:t>,</m:t>
            </m:r>
            <m:sSub>
              <m:e>
                <m:r>
                  <m:t>δ</m:t>
                </m:r>
              </m:e>
              <m:sub>
                <m:r>
                  <m:t>w</m:t>
                </m:r>
              </m:sub>
            </m:sSub>
          </m:e>
        </m:d>
      </m:oMath>
      <w:r>
        <w:t xml:space="preserve">,</w:t>
      </w:r>
      <w:r>
        <w:t xml:space="preserve"> </w:t>
      </w:r>
      <m:oMath>
        <m:sSub>
          <m:e>
            <m:r>
              <m:t>δ</m:t>
            </m:r>
          </m:e>
          <m:sub>
            <m:r>
              <m:t>w</m:t>
            </m:r>
          </m:sub>
        </m:sSub>
        <m:r>
          <m:rPr>
            <m:sty m:val="p"/>
          </m:rPr>
          <m:t>=</m:t>
        </m:r>
        <m:r>
          <m:rPr>
            <m:nor/>
            <m:sty m:val="p"/>
          </m:rPr>
          <m:t>0,02</m:t>
        </m:r>
      </m:oMath>
      <w:r>
        <w:t xml:space="preserve">, gilt</w:t>
      </w:r>
    </w:p>
    <w:p>
      <w:pPr>
        <w:pStyle w:val="BodyText"/>
      </w:pPr>
      <m:oMathPara>
        <m:oMathParaPr>
          <m:jc m:val="center"/>
        </m:oMathParaPr>
        <m:oMath>
          <m:sSub>
            <m:e>
              <m:r>
                <m:t>w</m:t>
              </m:r>
            </m:e>
            <m:sub>
              <m:r>
                <m:t>f</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w</m:t>
                        </m:r>
                      </m:e>
                      <m:sub>
                        <m:r>
                          <m:t>f</m:t>
                        </m:r>
                        <m:r>
                          <m:rPr>
                            <m:sty m:val="p"/>
                          </m:rPr>
                          <m:t>,</m:t>
                        </m:r>
                        <m:r>
                          <m:t>t</m:t>
                        </m:r>
                        <m:r>
                          <m:rPr>
                            <m:sty m:val="p"/>
                          </m:rPr>
                          <m:t>−</m:t>
                        </m:r>
                        <m:r>
                          <m:t>1</m:t>
                        </m:r>
                      </m:sub>
                    </m:sSub>
                    <m:r>
                      <m:t> </m:t>
                    </m:r>
                    <m:d>
                      <m:dPr>
                        <m:begChr m:val="("/>
                        <m:endChr m:val=")"/>
                        <m:sepChr m:val=""/>
                        <m:grow/>
                      </m:dPr>
                      <m:e>
                        <m:r>
                          <m:t>1</m:t>
                        </m:r>
                        <m:r>
                          <m:rPr>
                            <m:sty m:val="p"/>
                          </m:rPr>
                          <m:t>+</m:t>
                        </m:r>
                        <m:sSubSup>
                          <m:e>
                            <m:r>
                              <m:t>ε</m:t>
                            </m:r>
                          </m:e>
                          <m:sub>
                            <m:r>
                              <m:t>f</m:t>
                            </m:r>
                            <m:r>
                              <m:rPr>
                                <m:sty m:val="p"/>
                              </m:rPr>
                              <m:t>,</m:t>
                            </m:r>
                            <m:r>
                              <m:t>t</m:t>
                            </m:r>
                          </m:sub>
                          <m:sup>
                            <m:r>
                              <m:t>w</m:t>
                            </m:r>
                          </m:sup>
                        </m:sSubSup>
                      </m:e>
                    </m:d>
                  </m:e>
                  <m:e>
                    <m:r>
                      <m:rPr>
                        <m:nor/>
                        <m:sty m:val="p"/>
                      </m:rPr>
                      <m:t>falls </m:t>
                    </m:r>
                    <m:sSub>
                      <m:e>
                        <m:r>
                          <m:t>V</m:t>
                        </m:r>
                      </m:e>
                      <m:sub>
                        <m:r>
                          <m:t>f</m:t>
                        </m:r>
                        <m:r>
                          <m:rPr>
                            <m:sty m:val="p"/>
                          </m:rPr>
                          <m:t>,</m:t>
                        </m:r>
                        <m:r>
                          <m:t>t</m:t>
                        </m:r>
                        <m:r>
                          <m:rPr>
                            <m:sty m:val="p"/>
                          </m:rPr>
                          <m:t>−</m:t>
                        </m:r>
                        <m:r>
                          <m:t>1</m:t>
                        </m:r>
                      </m:sub>
                    </m:sSub>
                    <m:r>
                      <m:rPr>
                        <m:sty m:val="p"/>
                      </m:rPr>
                      <m:t>&gt;</m:t>
                    </m:r>
                    <m:r>
                      <m:t>0</m:t>
                    </m:r>
                    <m:r>
                      <m:rPr>
                        <m:sty m:val="p"/>
                      </m:rPr>
                      <m:t>,</m:t>
                    </m:r>
                  </m:e>
                </m:mr>
                <m:mr>
                  <m:e>
                    <m:sSub>
                      <m:e>
                        <m:r>
                          <m:t>w</m:t>
                        </m:r>
                      </m:e>
                      <m:sub>
                        <m:r>
                          <m:t>f</m:t>
                        </m:r>
                        <m:r>
                          <m:rPr>
                            <m:sty m:val="p"/>
                          </m:rPr>
                          <m:t>,</m:t>
                        </m:r>
                        <m:r>
                          <m:t>t</m:t>
                        </m:r>
                        <m:r>
                          <m:rPr>
                            <m:sty m:val="p"/>
                          </m:rPr>
                          <m:t>−</m:t>
                        </m:r>
                        <m:r>
                          <m:t>1</m:t>
                        </m:r>
                      </m:sub>
                    </m:sSub>
                    <m:r>
                      <m:t> </m:t>
                    </m:r>
                    <m:d>
                      <m:dPr>
                        <m:begChr m:val="("/>
                        <m:endChr m:val=")"/>
                        <m:sepChr m:val=""/>
                        <m:grow/>
                      </m:dPr>
                      <m:e>
                        <m:r>
                          <m:t>1</m:t>
                        </m:r>
                        <m:r>
                          <m:rPr>
                            <m:sty m:val="p"/>
                          </m:rPr>
                          <m:t>−</m:t>
                        </m:r>
                        <m:f>
                          <m:fPr>
                            <m:type m:val="lin"/>
                          </m:fPr>
                          <m:num>
                            <m:r>
                              <m:t>1</m:t>
                            </m:r>
                          </m:num>
                          <m:den>
                            <m:r>
                              <m:t>2</m:t>
                            </m:r>
                          </m:den>
                        </m:f>
                        <m:sSubSup>
                          <m:e>
                            <m:r>
                              <m:t>ε</m:t>
                            </m:r>
                          </m:e>
                          <m:sub>
                            <m:r>
                              <m:t>f</m:t>
                            </m:r>
                            <m:r>
                              <m:rPr>
                                <m:sty m:val="p"/>
                              </m:rPr>
                              <m:t>,</m:t>
                            </m:r>
                            <m:r>
                              <m:t>t</m:t>
                            </m:r>
                          </m:sub>
                          <m:sup>
                            <m:r>
                              <m:t>w</m:t>
                            </m:r>
                          </m:sup>
                        </m:sSubSup>
                      </m:e>
                    </m:d>
                  </m:e>
                  <m:e>
                    <m:r>
                      <m:rPr>
                        <m:nor/>
                        <m:sty m:val="p"/>
                      </m:rPr>
                      <m:t>falls </m:t>
                    </m:r>
                    <m:sSub>
                      <m:e>
                        <m:r>
                          <m:t>V</m:t>
                        </m:r>
                      </m:e>
                      <m:sub>
                        <m:r>
                          <m:t>f</m:t>
                        </m:r>
                        <m:r>
                          <m:rPr>
                            <m:sty m:val="p"/>
                          </m:rPr>
                          <m:t>,</m:t>
                        </m:r>
                        <m:r>
                          <m:t>t</m:t>
                        </m:r>
                        <m:r>
                          <m:rPr>
                            <m:sty m:val="p"/>
                          </m:rPr>
                          <m:t>−</m:t>
                        </m:r>
                        <m:r>
                          <m:t>1</m:t>
                        </m:r>
                      </m:sub>
                    </m:sSub>
                    <m:r>
                      <m:rPr>
                        <m:sty m:val="p"/>
                      </m:rPr>
                      <m:t>=</m:t>
                    </m:r>
                    <m:r>
                      <m:t>0</m:t>
                    </m:r>
                    <m:r>
                      <m:rPr>
                        <m:nor/>
                        <m:sty m:val="p"/>
                      </m:rPr>
                      <m:t> und </m:t>
                    </m:r>
                    <m:sSub>
                      <m:e>
                        <m:r>
                          <m:t>u</m:t>
                        </m:r>
                      </m:e>
                      <m:sub>
                        <m:r>
                          <m:t>t</m:t>
                        </m:r>
                        <m:r>
                          <m:rPr>
                            <m:sty m:val="p"/>
                          </m:rPr>
                          <m:t>−</m:t>
                        </m:r>
                        <m:r>
                          <m:t>1</m:t>
                        </m:r>
                      </m:sub>
                    </m:sSub>
                    <m:r>
                      <m:rPr>
                        <m:sty m:val="p"/>
                      </m:rPr>
                      <m:t>&gt;</m:t>
                    </m:r>
                    <m:acc>
                      <m:accPr>
                        <m:chr m:val="‾"/>
                      </m:accPr>
                      <m:e>
                        <m:r>
                          <m:t>u</m:t>
                        </m:r>
                      </m:e>
                    </m:acc>
                    <m:r>
                      <m:rPr>
                        <m:sty m:val="p"/>
                      </m:rPr>
                      <m:t>,</m:t>
                    </m:r>
                  </m:e>
                </m:mr>
                <m:mr>
                  <m:e>
                    <m:sSub>
                      <m:e>
                        <m:r>
                          <m:t>w</m:t>
                        </m:r>
                      </m:e>
                      <m:sub>
                        <m:r>
                          <m:t>f</m:t>
                        </m:r>
                        <m:r>
                          <m:rPr>
                            <m:sty m:val="p"/>
                          </m:rPr>
                          <m:t>,</m:t>
                        </m:r>
                        <m:r>
                          <m:t>t</m:t>
                        </m:r>
                        <m:r>
                          <m:rPr>
                            <m:sty m:val="p"/>
                          </m:rPr>
                          <m:t>−</m:t>
                        </m:r>
                        <m:r>
                          <m:t>1</m:t>
                        </m:r>
                      </m:sub>
                    </m:sSub>
                  </m:e>
                  <m:e>
                    <m:r>
                      <m:rPr>
                        <m:nor/>
                        <m:sty m:val="p"/>
                      </m:rPr>
                      <m:t>sonst,</m:t>
                    </m:r>
                  </m:e>
                </m:mr>
              </m:m>
            </m:e>
          </m:d>
          <m:r>
            <m:t>  </m:t>
          </m:r>
          <m:r>
            <m:t>  </m:t>
          </m:r>
          <m:d>
            <m:dPr>
              <m:begChr m:val="("/>
              <m:endChr m:val=")"/>
              <m:sepChr m:val=""/>
              <m:grow/>
            </m:dPr>
            <m:e>
              <m:r>
                <m:t>4</m:t>
              </m:r>
            </m:e>
          </m:d>
        </m:oMath>
      </m:oMathPara>
    </w:p>
    <w:p>
      <w:pPr>
        <w:pStyle w:val="FirstParagraph"/>
      </w:pPr>
      <w:r>
        <w:t xml:space="preserve">mit der Schwelle</w:t>
      </w:r>
      <w:r>
        <w:t xml:space="preserve"> </w:t>
      </w:r>
      <m:oMath>
        <m:acc>
          <m:accPr>
            <m:chr m:val="‾"/>
          </m:accPr>
          <m:e>
            <m:r>
              <m:t>u</m:t>
            </m:r>
          </m:e>
        </m:acc>
        <m:r>
          <m:rPr>
            <m:sty m:val="p"/>
          </m:rPr>
          <m:t>=</m:t>
        </m:r>
        <m:r>
          <m:rPr>
            <m:nor/>
            <m:sty m:val="p"/>
          </m:rPr>
          <m:t>0,05</m:t>
        </m:r>
      </m:oMath>
      <w:r>
        <w:t xml:space="preserve">. Löhne steigen also bei Arbeitskräfteknappheit und sinken nur bei deutlicher Unterbeschäftigung. In Regime C gilt zusätzlich ein Mindestlohn</w:t>
      </w:r>
      <w:r>
        <w:t xml:space="preserve"> </w:t>
      </w:r>
      <m:oMath>
        <m:sSub>
          <m:e>
            <m:r>
              <m:t>w</m:t>
            </m:r>
          </m:e>
          <m:sub>
            <m:r>
              <m:t>f</m:t>
            </m:r>
            <m:r>
              <m:rPr>
                <m:sty m:val="p"/>
              </m:rPr>
              <m:t>,</m:t>
            </m:r>
            <m:r>
              <m:t>t</m:t>
            </m:r>
          </m:sub>
        </m:sSub>
        <m:r>
          <m:rPr>
            <m:sty m:val="p"/>
          </m:rPr>
          <m:t>≥</m:t>
        </m:r>
        <m:sSub>
          <m:e>
            <m:bar>
              <m:barPr>
                <m:pos m:val="bot"/>
              </m:barPr>
              <m:e>
                <m:r>
                  <m:t>w</m:t>
                </m:r>
              </m:e>
            </m:bar>
          </m:e>
          <m:sub>
            <m:r>
              <m:t>t</m:t>
            </m:r>
          </m:sub>
        </m:sSub>
      </m:oMath>
      <w:r>
        <w:t xml:space="preserve">, der alle zwölf Perioden an das Preisniveau angepasst wird:</w:t>
      </w:r>
      <w:r>
        <w:t xml:space="preserve"> </w:t>
      </w:r>
      <m:oMath>
        <m:sSub>
          <m:e>
            <m:bar>
              <m:barPr>
                <m:pos m:val="bot"/>
              </m:barPr>
              <m:e>
                <m:r>
                  <m:t>w</m:t>
                </m:r>
              </m:e>
            </m:bar>
          </m:e>
          <m:sub>
            <m:r>
              <m:t>t</m:t>
            </m:r>
          </m:sub>
        </m:sSub>
        <m:r>
          <m:rPr>
            <m:sty m:val="p"/>
          </m:rPr>
          <m:t>=</m:t>
        </m:r>
        <m:r>
          <m:t>ω</m:t>
        </m:r>
        <m:r>
          <m:t> </m:t>
        </m:r>
        <m:sSub>
          <m:e>
            <m:r>
              <m:t>P</m:t>
            </m:r>
          </m:e>
          <m:sub>
            <m:r>
              <m:t>t</m:t>
            </m:r>
            <m:r>
              <m:rPr>
                <m:sty m:val="p"/>
              </m:rPr>
              <m:t>′</m:t>
            </m:r>
          </m:sub>
        </m:sSub>
        <m:r>
          <m:t> </m:t>
        </m:r>
        <m:acc>
          <m:accPr>
            <m:chr m:val="‾"/>
          </m:accPr>
          <m:e>
            <m:r>
              <m:t>A</m:t>
            </m:r>
          </m:e>
        </m:acc>
      </m:oMath>
      <w:r>
        <w:t xml:space="preserve"> </w:t>
      </w:r>
      <w:r>
        <w:t xml:space="preserve">mit</w:t>
      </w:r>
      <w:r>
        <w:t xml:space="preserve"> </w:t>
      </w:r>
      <m:oMath>
        <m:r>
          <m:t>ω</m:t>
        </m:r>
        <m:r>
          <m:rPr>
            <m:sty m:val="p"/>
          </m:rPr>
          <m:t>=</m:t>
        </m:r>
        <m:r>
          <m:rPr>
            <m:nor/>
            <m:sty m:val="p"/>
          </m:rPr>
          <m:t>0,8</m:t>
        </m:r>
      </m:oMath>
      <w:r>
        <w:t xml:space="preserve"> </w:t>
      </w:r>
      <w:r>
        <w:t xml:space="preserve">und</w:t>
      </w:r>
      <w:r>
        <w:t xml:space="preserve"> </w:t>
      </w:r>
      <m:oMath>
        <m:r>
          <m:t>t</m:t>
        </m:r>
        <m:r>
          <m:rPr>
            <m:sty m:val="p"/>
          </m:rPr>
          <m:t>′</m:t>
        </m:r>
      </m:oMath>
      <w:r>
        <w:t xml:space="preserve"> </w:t>
      </w:r>
      <w:r>
        <w:t xml:space="preserve">dem letzten Anpassungszeitpunkt.</w:t>
      </w:r>
    </w:p>
    <w:p>
      <w:pPr>
        <w:pStyle w:val="BodyText"/>
      </w:pPr>
      <w:r>
        <w:rPr>
          <w:bCs/>
          <w:b/>
        </w:rPr>
        <w:t xml:space="preserve">Aufschlag und Preis.</w:t>
      </w:r>
      <w:r>
        <w:t xml:space="preserve"> </w:t>
      </w:r>
      <w:r>
        <w:t xml:space="preserve">Firmen setzen den Preis als Aufschlag auf die Stückkosten. Der Aufschlag reagiert auf die Lage am Gütermarkt; mit</w:t>
      </w:r>
      <w:r>
        <w:t xml:space="preserve"> </w:t>
      </w:r>
      <m:oMath>
        <m:sSubSup>
          <m:e>
            <m:r>
              <m:t>ε</m:t>
            </m:r>
          </m:e>
          <m:sub>
            <m:r>
              <m:t>f</m:t>
            </m:r>
            <m:r>
              <m:rPr>
                <m:sty m:val="p"/>
              </m:rPr>
              <m:t>,</m:t>
            </m:r>
            <m:r>
              <m:t>t</m:t>
            </m:r>
          </m:sub>
          <m:sup>
            <m:r>
              <m:t>μ</m:t>
            </m:r>
          </m:sup>
        </m:sSubSup>
        <m:r>
          <m:rPr>
            <m:sty m:val="p"/>
          </m:rPr>
          <m:t>∼</m:t>
        </m:r>
        <m:r>
          <m:t>U</m:t>
        </m:r>
        <m:d>
          <m:dPr>
            <m:begChr m:val="("/>
            <m:endChr m:val=")"/>
            <m:sepChr m:val=""/>
            <m:grow/>
          </m:dPr>
          <m:e>
            <m:r>
              <m:t>0</m:t>
            </m:r>
            <m:r>
              <m:rPr>
                <m:sty m:val="p"/>
              </m:rPr>
              <m:t>,</m:t>
            </m:r>
            <m:sSub>
              <m:e>
                <m:r>
                  <m:t>δ</m:t>
                </m:r>
              </m:e>
              <m:sub>
                <m:r>
                  <m:t>μ</m:t>
                </m:r>
              </m:sub>
            </m:sSub>
          </m:e>
        </m:d>
      </m:oMath>
      <w:r>
        <w:t xml:space="preserve">,</w:t>
      </w:r>
      <w:r>
        <w:t xml:space="preserve"> </w:t>
      </w:r>
      <m:oMath>
        <m:sSub>
          <m:e>
            <m:r>
              <m:t>δ</m:t>
            </m:r>
          </m:e>
          <m:sub>
            <m:r>
              <m:t>μ</m:t>
            </m:r>
          </m:sub>
        </m:sSub>
        <m:r>
          <m:rPr>
            <m:sty m:val="p"/>
          </m:rPr>
          <m:t>=</m:t>
        </m:r>
        <m:r>
          <m:rPr>
            <m:nor/>
            <m:sty m:val="p"/>
          </m:rPr>
          <m:t>0,01</m:t>
        </m:r>
      </m:oMath>
      <w:r>
        <w:t xml:space="preserve">:</w:t>
      </w:r>
    </w:p>
    <w:p>
      <w:pPr>
        <w:pStyle w:val="BodyText"/>
      </w:pPr>
      <m:oMathPara>
        <m:oMathParaPr>
          <m:jc m:val="center"/>
        </m:oMathParaPr>
        <m:oMath>
          <m:sSub>
            <m:e>
              <m:acc>
                <m:accPr>
                  <m:chr m:val="̃"/>
                </m:accPr>
                <m:e>
                  <m:r>
                    <m:t>μ</m:t>
                  </m:r>
                </m:e>
              </m:acc>
            </m:e>
            <m:sub>
              <m:r>
                <m:t>f</m:t>
              </m:r>
              <m:r>
                <m:rPr>
                  <m:sty m:val="p"/>
                </m:rPr>
                <m:t>,</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μ</m:t>
                        </m:r>
                      </m:e>
                      <m:sub>
                        <m:r>
                          <m:t>f</m:t>
                        </m:r>
                        <m:r>
                          <m:rPr>
                            <m:sty m:val="p"/>
                          </m:rPr>
                          <m:t>,</m:t>
                        </m:r>
                        <m:r>
                          <m:t>t</m:t>
                        </m:r>
                        <m:r>
                          <m:rPr>
                            <m:sty m:val="p"/>
                          </m:rPr>
                          <m:t>−</m:t>
                        </m:r>
                        <m:r>
                          <m:t>1</m:t>
                        </m:r>
                      </m:sub>
                    </m:sSub>
                    <m:r>
                      <m:rPr>
                        <m:sty m:val="p"/>
                      </m:rPr>
                      <m:t>+</m:t>
                    </m:r>
                    <m:sSubSup>
                      <m:e>
                        <m:r>
                          <m:t>ε</m:t>
                        </m:r>
                      </m:e>
                      <m:sub>
                        <m:r>
                          <m:t>f</m:t>
                        </m:r>
                        <m:r>
                          <m:rPr>
                            <m:sty m:val="p"/>
                          </m:rPr>
                          <m:t>,</m:t>
                        </m:r>
                        <m:r>
                          <m:t>t</m:t>
                        </m:r>
                      </m:sub>
                      <m:sup>
                        <m:r>
                          <m:t>μ</m:t>
                        </m:r>
                      </m:sup>
                    </m:sSubSup>
                  </m:e>
                  <m:e>
                    <m:r>
                      <m:rPr>
                        <m:nor/>
                        <m:sty m:val="p"/>
                      </m:rPr>
                      <m:t>falls die Firma in </m:t>
                    </m:r>
                    <m:r>
                      <m:t>t</m:t>
                    </m:r>
                    <m:r>
                      <m:rPr>
                        <m:sty m:val="p"/>
                      </m:rPr>
                      <m:t>−</m:t>
                    </m:r>
                    <m:r>
                      <m:t>1</m:t>
                    </m:r>
                    <m:r>
                      <m:rPr>
                        <m:nor/>
                        <m:sty m:val="p"/>
                      </m:rPr>
                      <m:t> ausverkauft war</m:t>
                    </m:r>
                    <m:r>
                      <m:rPr>
                        <m:sty m:val="p"/>
                      </m:rPr>
                      <m:t>,</m:t>
                    </m:r>
                  </m:e>
                </m:mr>
                <m:mr>
                  <m:e>
                    <m:sSub>
                      <m:e>
                        <m:r>
                          <m:t>μ</m:t>
                        </m:r>
                      </m:e>
                      <m:sub>
                        <m:r>
                          <m:t>f</m:t>
                        </m:r>
                        <m:r>
                          <m:rPr>
                            <m:sty m:val="p"/>
                          </m:rPr>
                          <m:t>,</m:t>
                        </m:r>
                        <m:r>
                          <m:t>t</m:t>
                        </m:r>
                        <m:r>
                          <m:rPr>
                            <m:sty m:val="p"/>
                          </m:rPr>
                          <m:t>−</m:t>
                        </m:r>
                        <m:r>
                          <m:t>1</m:t>
                        </m:r>
                      </m:sub>
                    </m:sSub>
                    <m:r>
                      <m:rPr>
                        <m:sty m:val="p"/>
                      </m:rPr>
                      <m:t>−</m:t>
                    </m:r>
                    <m:sSubSup>
                      <m:e>
                        <m:r>
                          <m:t>ε</m:t>
                        </m:r>
                      </m:e>
                      <m:sub>
                        <m:r>
                          <m:t>f</m:t>
                        </m:r>
                        <m:r>
                          <m:rPr>
                            <m:sty m:val="p"/>
                          </m:rPr>
                          <m:t>,</m:t>
                        </m:r>
                        <m:r>
                          <m:t>t</m:t>
                        </m:r>
                      </m:sub>
                      <m:sup>
                        <m:r>
                          <m:t>μ</m:t>
                        </m:r>
                      </m:sup>
                    </m:sSubSup>
                  </m:e>
                  <m:e>
                    <m:r>
                      <m:rPr>
                        <m:nor/>
                        <m:sty m:val="p"/>
                      </m:rPr>
                      <m:t>falls </m:t>
                    </m:r>
                    <m:sSub>
                      <m:e>
                        <m:r>
                          <m:t>I</m:t>
                        </m:r>
                      </m:e>
                      <m:sub>
                        <m:r>
                          <m:t>f</m:t>
                        </m:r>
                        <m:r>
                          <m:rPr>
                            <m:sty m:val="p"/>
                          </m:rPr>
                          <m:t>,</m:t>
                        </m:r>
                        <m:r>
                          <m:t>t</m:t>
                        </m:r>
                      </m:sub>
                    </m:sSub>
                    <m:r>
                      <m:rPr>
                        <m:sty m:val="p"/>
                      </m:rPr>
                      <m:t>&gt;</m:t>
                    </m:r>
                    <m:r>
                      <m:rPr>
                        <m:nor/>
                        <m:sty m:val="p"/>
                      </m:rPr>
                      <m:t>0,05</m:t>
                    </m:r>
                    <m:r>
                      <m:t> </m:t>
                    </m:r>
                    <m:sSub>
                      <m:e>
                        <m:r>
                          <m:t>Y</m:t>
                        </m:r>
                      </m:e>
                      <m:sub>
                        <m:r>
                          <m:t>f</m:t>
                        </m:r>
                        <m:r>
                          <m:rPr>
                            <m:sty m:val="p"/>
                          </m:rPr>
                          <m:t>,</m:t>
                        </m:r>
                        <m:r>
                          <m:t>t</m:t>
                        </m:r>
                        <m:r>
                          <m:rPr>
                            <m:sty m:val="p"/>
                          </m:rPr>
                          <m:t>−</m:t>
                        </m:r>
                        <m:r>
                          <m:t>1</m:t>
                        </m:r>
                      </m:sub>
                    </m:sSub>
                    <m:r>
                      <m:rPr>
                        <m:sty m:val="p"/>
                      </m:rPr>
                      <m:t>,</m:t>
                    </m:r>
                  </m:e>
                </m:mr>
                <m:mr>
                  <m:e>
                    <m:sSub>
                      <m:e>
                        <m:r>
                          <m:t>μ</m:t>
                        </m:r>
                      </m:e>
                      <m:sub>
                        <m:r>
                          <m:t>f</m:t>
                        </m:r>
                        <m:r>
                          <m:rPr>
                            <m:sty m:val="p"/>
                          </m:rPr>
                          <m:t>,</m:t>
                        </m:r>
                        <m:r>
                          <m:t>t</m:t>
                        </m:r>
                        <m:r>
                          <m:rPr>
                            <m:sty m:val="p"/>
                          </m:rPr>
                          <m:t>−</m:t>
                        </m:r>
                        <m:r>
                          <m:t>1</m:t>
                        </m:r>
                      </m:sub>
                    </m:sSub>
                  </m:e>
                  <m:e>
                    <m:r>
                      <m:rPr>
                        <m:nor/>
                        <m:sty m:val="p"/>
                      </m:rPr>
                      <m:t>sonst.</m:t>
                    </m:r>
                  </m:e>
                </m:mr>
              </m:m>
            </m:e>
          </m:d>
          <m:r>
            <m:t>  </m:t>
          </m:r>
          <m:r>
            <m:t>  </m:t>
          </m:r>
          <m:d>
            <m:dPr>
              <m:begChr m:val="("/>
              <m:endChr m:val=")"/>
              <m:sepChr m:val=""/>
              <m:grow/>
            </m:dPr>
            <m:e>
              <m:r>
                <m:t>5</m:t>
              </m:r>
            </m:e>
          </m:d>
        </m:oMath>
      </m:oMathPara>
    </w:p>
    <w:p>
      <w:pPr>
        <w:pStyle w:val="FirstParagraph"/>
      </w:pPr>
      <w:r>
        <w:t xml:space="preserve">Der wirksame Aufschlag wird nach unten durch Marktmacht und nach oben durch einen etwaigen Preisdeckel begrenzt:</w:t>
      </w:r>
    </w:p>
    <w:p>
      <w:pPr>
        <w:pStyle w:val="BodyText"/>
      </w:pPr>
      <m:oMathPara>
        <m:oMathParaPr>
          <m:jc m:val="center"/>
        </m:oMathParaPr>
        <m:oMath>
          <m:sSub>
            <m:e>
              <m:r>
                <m:t>μ</m:t>
              </m:r>
            </m:e>
            <m:sub>
              <m:r>
                <m:t>f</m:t>
              </m:r>
              <m:r>
                <m:rPr>
                  <m:sty m:val="p"/>
                </m:rPr>
                <m:t>,</m:t>
              </m:r>
              <m:r>
                <m:t>t</m:t>
              </m:r>
            </m:sub>
          </m:sSub>
          <m:r>
            <m:rPr>
              <m:sty m:val="p"/>
            </m:rPr>
            <m:t>=</m:t>
          </m:r>
          <m:r>
            <m:rPr>
              <m:sty m:val="p"/>
            </m:rPr>
            <m:t>min</m:t>
          </m:r>
          <m:d>
            <m:dPr>
              <m:begChr m:val="{"/>
              <m:endChr m:val="}"/>
              <m:sepChr m:val=""/>
              <m:grow/>
            </m:dPr>
            <m:e>
              <m:r>
                <m:rPr>
                  <m:sty m:val="p"/>
                </m:rPr>
                <m:t>max</m:t>
              </m:r>
              <m:d>
                <m:dPr>
                  <m:begChr m:val="{"/>
                  <m:endChr m:val="}"/>
                  <m:sepChr m:val=""/>
                  <m:grow/>
                </m:dPr>
                <m:e>
                  <m:sSub>
                    <m:e>
                      <m:acc>
                        <m:accPr>
                          <m:chr m:val="̃"/>
                        </m:accPr>
                        <m:e>
                          <m:r>
                            <m:t>μ</m:t>
                          </m:r>
                        </m:e>
                      </m:acc>
                    </m:e>
                    <m:sub>
                      <m:r>
                        <m:t>f</m:t>
                      </m:r>
                      <m:r>
                        <m:rPr>
                          <m:sty m:val="p"/>
                        </m:rPr>
                        <m:t>,</m:t>
                      </m:r>
                      <m:r>
                        <m:t>t</m:t>
                      </m:r>
                    </m:sub>
                  </m:sSub>
                  <m:r>
                    <m:rPr>
                      <m:sty m:val="p"/>
                    </m:rPr>
                    <m:t>,</m:t>
                  </m:r>
                  <m:r>
                    <m:t> </m:t>
                  </m:r>
                  <m:bar>
                    <m:barPr>
                      <m:pos m:val="bot"/>
                    </m:barPr>
                    <m:e>
                      <m:r>
                        <m:t>μ</m:t>
                      </m:r>
                    </m:e>
                  </m:bar>
                  <m:r>
                    <m:rPr>
                      <m:sty m:val="p"/>
                    </m:rPr>
                    <m:t>+</m:t>
                  </m:r>
                  <m:r>
                    <m:t>κ</m:t>
                  </m:r>
                  <m:r>
                    <m:t> </m:t>
                  </m:r>
                  <m:sSub>
                    <m:e>
                      <m:r>
                        <m:t>s</m:t>
                      </m:r>
                    </m:e>
                    <m:sub>
                      <m:r>
                        <m:t>f</m:t>
                      </m:r>
                      <m:r>
                        <m:rPr>
                          <m:sty m:val="p"/>
                        </m:rPr>
                        <m:t>,</m:t>
                      </m:r>
                      <m:r>
                        <m:t>t</m:t>
                      </m:r>
                      <m:r>
                        <m:rPr>
                          <m:sty m:val="p"/>
                        </m:rPr>
                        <m:t>−</m:t>
                      </m:r>
                      <m:r>
                        <m:t>1</m:t>
                      </m:r>
                    </m:sub>
                  </m:sSub>
                </m:e>
              </m:d>
              <m:r>
                <m:rPr>
                  <m:sty m:val="p"/>
                </m:rPr>
                <m:t>,</m:t>
              </m:r>
              <m:r>
                <m:t> </m:t>
              </m:r>
              <m:acc>
                <m:accPr>
                  <m:chr m:val="‾"/>
                </m:accPr>
                <m:e>
                  <m:r>
                    <m:t>μ</m:t>
                  </m:r>
                </m:e>
              </m:acc>
            </m:e>
          </m:d>
          <m:r>
            <m:rPr>
              <m:sty m:val="p"/>
            </m:rPr>
            <m:t>,</m:t>
          </m:r>
          <m:r>
            <m:t>  </m:t>
          </m:r>
          <m:sSub>
            <m:e>
              <m:r>
                <m:t>p</m:t>
              </m:r>
            </m:e>
            <m:sub>
              <m:r>
                <m:t>f</m:t>
              </m:r>
              <m:r>
                <m:rPr>
                  <m:sty m:val="p"/>
                </m:rPr>
                <m:t>,</m:t>
              </m:r>
              <m:r>
                <m:t>t</m:t>
              </m:r>
            </m:sub>
          </m:sSub>
          <m:r>
            <m:rPr>
              <m:sty m:val="p"/>
            </m:rPr>
            <m:t>=</m:t>
          </m:r>
          <m:d>
            <m:dPr>
              <m:begChr m:val="("/>
              <m:endChr m:val=")"/>
              <m:sepChr m:val=""/>
              <m:grow/>
            </m:dPr>
            <m:e>
              <m:r>
                <m:t>1</m:t>
              </m:r>
              <m:r>
                <m:rPr>
                  <m:sty m:val="p"/>
                </m:rPr>
                <m:t>+</m:t>
              </m:r>
              <m:sSub>
                <m:e>
                  <m:r>
                    <m:t>μ</m:t>
                  </m:r>
                </m:e>
                <m:sub>
                  <m:r>
                    <m:t>f</m:t>
                  </m:r>
                  <m:r>
                    <m:rPr>
                      <m:sty m:val="p"/>
                    </m:rPr>
                    <m:t>,</m:t>
                  </m:r>
                  <m:r>
                    <m:t>t</m:t>
                  </m:r>
                </m:sub>
              </m:sSub>
            </m:e>
          </m:d>
          <m:r>
            <m:t> </m:t>
          </m:r>
          <m:f>
            <m:fPr>
              <m:type m:val="bar"/>
            </m:fPr>
            <m:num>
              <m:sSub>
                <m:e>
                  <m:r>
                    <m:t>w</m:t>
                  </m:r>
                </m:e>
                <m:sub>
                  <m:r>
                    <m:t>f</m:t>
                  </m:r>
                  <m:r>
                    <m:rPr>
                      <m:sty m:val="p"/>
                    </m:rPr>
                    <m:t>,</m:t>
                  </m:r>
                  <m:r>
                    <m:t>t</m:t>
                  </m:r>
                </m:sub>
              </m:sSub>
            </m:num>
            <m:den>
              <m:sSub>
                <m:e>
                  <m:r>
                    <m:t>A</m:t>
                  </m:r>
                </m:e>
                <m:sub>
                  <m:r>
                    <m:t>t</m:t>
                  </m:r>
                </m:sub>
              </m:sSub>
            </m:den>
          </m:f>
          <m:r>
            <m:rPr>
              <m:sty m:val="p"/>
            </m:rPr>
            <m:t>.</m:t>
          </m:r>
          <m:r>
            <m:t>  </m:t>
          </m:r>
          <m:r>
            <m:t>  </m:t>
          </m:r>
          <m:d>
            <m:dPr>
              <m:begChr m:val="("/>
              <m:endChr m:val=")"/>
              <m:sepChr m:val=""/>
              <m:grow/>
            </m:dPr>
            <m:e>
              <m:r>
                <m:t>6</m:t>
              </m:r>
            </m:e>
          </m:d>
        </m:oMath>
      </m:oMathPara>
    </w:p>
    <w:p>
      <w:pPr>
        <w:pStyle w:val="FirstParagraph"/>
      </w:pPr>
      <w:r>
        <w:t xml:space="preserve">Dabei ist</w:t>
      </w:r>
      <w:r>
        <w:t xml:space="preserve"> </w:t>
      </w:r>
      <m:oMath>
        <m:sSub>
          <m:e>
            <m:r>
              <m:t>s</m:t>
            </m:r>
          </m:e>
          <m:sub>
            <m:r>
              <m:t>f</m:t>
            </m:r>
            <m:r>
              <m:rPr>
                <m:sty m:val="p"/>
              </m:rPr>
              <m:t>,</m:t>
            </m:r>
            <m:r>
              <m:t>t</m:t>
            </m:r>
            <m:r>
              <m:rPr>
                <m:sty m:val="p"/>
              </m:rPr>
              <m:t>−</m:t>
            </m:r>
            <m:r>
              <m:t>1</m:t>
            </m:r>
          </m:sub>
        </m:sSub>
      </m:oMath>
      <w:r>
        <w:t xml:space="preserve"> </w:t>
      </w:r>
      <w:r>
        <w:t xml:space="preserve">der Marktanteil der Firma (Absatz),</w:t>
      </w:r>
      <w:r>
        <w:t xml:space="preserve"> </w:t>
      </w:r>
      <m:oMath>
        <m:r>
          <m:t>κ</m:t>
        </m:r>
        <m:r>
          <m:rPr>
            <m:sty m:val="p"/>
          </m:rPr>
          <m:t>=</m:t>
        </m:r>
        <m:r>
          <m:t>1</m:t>
        </m:r>
      </m:oMath>
      <w:r>
        <w:t xml:space="preserve"> </w:t>
      </w:r>
      <w:r>
        <w:t xml:space="preserve">die Stärke der Marktmacht ohne Wettbewerbsaufsicht (</w:t>
      </w:r>
      <m:oMath>
        <m:r>
          <m:t>κ</m:t>
        </m:r>
        <m:r>
          <m:rPr>
            <m:sty m:val="p"/>
          </m:rPr>
          <m:t>=</m:t>
        </m:r>
        <m:r>
          <m:t>0</m:t>
        </m:r>
      </m:oMath>
      <w:r>
        <w:t xml:space="preserve"> </w:t>
      </w:r>
      <w:r>
        <w:t xml:space="preserve">in B und C) und</w:t>
      </w:r>
      <w:r>
        <w:t xml:space="preserve"> </w:t>
      </w:r>
      <m:oMath>
        <m:acc>
          <m:accPr>
            <m:chr m:val="‾"/>
          </m:accPr>
          <m:e>
            <m:r>
              <m:t>μ</m:t>
            </m:r>
          </m:e>
        </m:acc>
      </m:oMath>
      <w:r>
        <w:t xml:space="preserve"> </w:t>
      </w:r>
      <w:r>
        <w:t xml:space="preserve">der Preisdeckel (</w:t>
      </w:r>
      <m:oMath>
        <m:acc>
          <m:accPr>
            <m:chr m:val="‾"/>
          </m:accPr>
          <m:e>
            <m:r>
              <m:t>μ</m:t>
            </m:r>
          </m:e>
        </m:acc>
        <m:r>
          <m:rPr>
            <m:sty m:val="p"/>
          </m:rPr>
          <m:t>=</m:t>
        </m:r>
        <m:r>
          <m:rPr>
            <m:nor/>
            <m:sty m:val="p"/>
          </m:rPr>
          <m:t>0,05</m:t>
        </m:r>
      </m:oMath>
      <w:r>
        <w:t xml:space="preserve"> </w:t>
      </w:r>
      <w:r>
        <w:t xml:space="preserve">in C, sonst</w:t>
      </w:r>
      <w:r>
        <w:t xml:space="preserve"> </w:t>
      </w:r>
      <m:oMath>
        <m:acc>
          <m:accPr>
            <m:chr m:val="‾"/>
          </m:accPr>
          <m:e>
            <m:r>
              <m:t>μ</m:t>
            </m:r>
          </m:e>
        </m:acc>
        <m:r>
          <m:rPr>
            <m:sty m:val="p"/>
          </m:rPr>
          <m:t>=</m:t>
        </m:r>
        <m:r>
          <m:rPr>
            <m:sty m:val="p"/>
          </m:rPr>
          <m:t>∞</m:t>
        </m:r>
      </m:oMath>
      <w:r>
        <w:t xml:space="preserve">).</w:t>
      </w:r>
    </w:p>
    <w:p>
      <w:pPr>
        <w:pStyle w:val="BodyText"/>
      </w:pPr>
      <w:r>
        <w:rPr>
          <w:bCs/>
          <w:b/>
        </w:rPr>
        <w:t xml:space="preserve">Produktionsplanung.</w:t>
      </w:r>
      <w:r>
        <w:t xml:space="preserve"> </w:t>
      </w:r>
      <w:r>
        <w:t xml:space="preserve">Erwartete Nachfrage sind die Verkäufe plus ein Teil der abgewiesenen Nachfrage</w:t>
      </w:r>
      <w:r>
        <w:t xml:space="preserve"> </w:t>
      </w:r>
      <m:oMath>
        <m:sSub>
          <m:e>
            <m:r>
              <m:t>Λ</m:t>
            </m:r>
          </m:e>
          <m:sub>
            <m:r>
              <m:t>f</m:t>
            </m:r>
            <m:r>
              <m:rPr>
                <m:sty m:val="p"/>
              </m:rPr>
              <m:t>,</m:t>
            </m:r>
            <m:r>
              <m:t>t</m:t>
            </m:r>
            <m:r>
              <m:rPr>
                <m:sty m:val="p"/>
              </m:rPr>
              <m:t>−</m:t>
            </m:r>
            <m:r>
              <m:t>1</m:t>
            </m:r>
          </m:sub>
        </m:sSub>
      </m:oMath>
      <w:r>
        <w:t xml:space="preserve"> </w:t>
      </w:r>
      <w:r>
        <w:t xml:space="preserve">(Kunden, die die Firma ausverkauft vorfanden), zuzüglich eines Lagerpuffers</w:t>
      </w:r>
      <w:r>
        <w:t xml:space="preserve"> </w:t>
      </w:r>
      <m:oMath>
        <m:sSub>
          <m:e>
            <m:r>
              <m:t>β</m:t>
            </m:r>
          </m:e>
          <m:sub>
            <m:r>
              <m:t>I</m:t>
            </m:r>
          </m:sub>
        </m:sSub>
        <m:r>
          <m:rPr>
            <m:sty m:val="p"/>
          </m:rPr>
          <m:t>=</m:t>
        </m:r>
        <m:r>
          <m:rPr>
            <m:nor/>
            <m:sty m:val="p"/>
          </m:rPr>
          <m:t>0,05</m:t>
        </m:r>
      </m:oMath>
      <w:r>
        <w:t xml:space="preserve">. Das Produktionsziel passt sich geglättet an (</w:t>
      </w:r>
      <m:oMath>
        <m:r>
          <m:t>α</m:t>
        </m:r>
        <m:r>
          <m:rPr>
            <m:sty m:val="p"/>
          </m:rPr>
          <m:t>=</m:t>
        </m:r>
        <m:r>
          <m:rPr>
            <m:nor/>
            <m:sty m:val="p"/>
          </m:rPr>
          <m:t>0,3</m:t>
        </m:r>
      </m:oMath>
      <w:r>
        <w:t xml:space="preserve">,</w:t>
      </w:r>
      <w:r>
        <w:t xml:space="preserve"> </w:t>
      </w:r>
      <m:oMath>
        <m:r>
          <m:t>λ</m:t>
        </m:r>
        <m:r>
          <m:rPr>
            <m:sty m:val="p"/>
          </m:rPr>
          <m:t>=</m:t>
        </m:r>
        <m:r>
          <m:rPr>
            <m:nor/>
            <m:sty m:val="p"/>
          </m:rPr>
          <m:t>0,5</m:t>
        </m:r>
      </m:oMath>
      <w:r>
        <w:t xml:space="preserve">):</w:t>
      </w:r>
    </w:p>
    <w:p>
      <w:pPr>
        <w:pStyle w:val="BodyText"/>
      </w:pPr>
      <m:oMathPara>
        <m:oMathParaPr>
          <m:jc m:val="center"/>
        </m:oMathParaPr>
        <m:oMath>
          <m:sSubSup>
            <m:e>
              <m:r>
                <m:t>Y</m:t>
              </m:r>
            </m:e>
            <m:sub>
              <m:r>
                <m:t>f</m:t>
              </m:r>
              <m:r>
                <m:rPr>
                  <m:sty m:val="p"/>
                </m:rPr>
                <m:t>,</m:t>
              </m:r>
              <m:r>
                <m:t>t</m:t>
              </m:r>
            </m:sub>
            <m:sup>
              <m:r>
                <m:rPr>
                  <m:sty m:val="p"/>
                </m:rPr>
                <m:t>*</m:t>
              </m:r>
            </m:sup>
          </m:sSubSup>
          <m:r>
            <m:rPr>
              <m:sty m:val="p"/>
            </m:rPr>
            <m:t>=</m:t>
          </m:r>
          <m:sSubSup>
            <m:e>
              <m:r>
                <m:t>Y</m:t>
              </m:r>
            </m:e>
            <m:sub>
              <m:r>
                <m:t>f</m:t>
              </m:r>
              <m:r>
                <m:rPr>
                  <m:sty m:val="p"/>
                </m:rPr>
                <m:t>,</m:t>
              </m:r>
              <m:r>
                <m:t>t</m:t>
              </m:r>
              <m:r>
                <m:rPr>
                  <m:sty m:val="p"/>
                </m:rPr>
                <m:t>−</m:t>
              </m:r>
              <m:r>
                <m:t>1</m:t>
              </m:r>
            </m:sub>
            <m:sup>
              <m:r>
                <m:rPr>
                  <m:sty m:val="p"/>
                </m:rPr>
                <m:t>*</m:t>
              </m:r>
            </m:sup>
          </m:sSubSup>
          <m:r>
            <m:rPr>
              <m:sty m:val="p"/>
            </m:rPr>
            <m:t>+</m:t>
          </m:r>
          <m:r>
            <m:t>α</m:t>
          </m:r>
          <m:d>
            <m:dPr>
              <m:begChr m:val="["/>
              <m:endChr m:val="]"/>
              <m:sepChr m:val=""/>
              <m:grow/>
            </m:dPr>
            <m:e>
              <m:d>
                <m:dPr>
                  <m:begChr m:val="("/>
                  <m:endChr m:val=")"/>
                  <m:sepChr m:val=""/>
                  <m:grow/>
                </m:dPr>
                <m:e>
                  <m:sSub>
                    <m:e>
                      <m:r>
                        <m:t>S</m:t>
                      </m:r>
                    </m:e>
                    <m:sub>
                      <m:r>
                        <m:t>f</m:t>
                      </m:r>
                      <m:r>
                        <m:rPr>
                          <m:sty m:val="p"/>
                        </m:rPr>
                        <m:t>,</m:t>
                      </m:r>
                      <m:r>
                        <m:t>t</m:t>
                      </m:r>
                      <m:r>
                        <m:rPr>
                          <m:sty m:val="p"/>
                        </m:rPr>
                        <m:t>−</m:t>
                      </m:r>
                      <m:r>
                        <m:t>1</m:t>
                      </m:r>
                    </m:sub>
                  </m:sSub>
                  <m:r>
                    <m:rPr>
                      <m:sty m:val="p"/>
                    </m:rPr>
                    <m:t>+</m:t>
                  </m:r>
                  <m:r>
                    <m:t>λ</m:t>
                  </m:r>
                  <m:sSub>
                    <m:e>
                      <m:r>
                        <m:t>Λ</m:t>
                      </m:r>
                    </m:e>
                    <m:sub>
                      <m:r>
                        <m:t>f</m:t>
                      </m:r>
                      <m:r>
                        <m:rPr>
                          <m:sty m:val="p"/>
                        </m:rPr>
                        <m:t>,</m:t>
                      </m:r>
                      <m:r>
                        <m:t>t</m:t>
                      </m:r>
                      <m:r>
                        <m:rPr>
                          <m:sty m:val="p"/>
                        </m:rPr>
                        <m:t>−</m:t>
                      </m:r>
                      <m:r>
                        <m:t>1</m:t>
                      </m:r>
                    </m:sub>
                  </m:sSub>
                </m:e>
              </m:d>
              <m:d>
                <m:dPr>
                  <m:begChr m:val="("/>
                  <m:endChr m:val=")"/>
                  <m:sepChr m:val=""/>
                  <m:grow/>
                </m:dPr>
                <m:e>
                  <m:r>
                    <m:t>1</m:t>
                  </m:r>
                  <m:r>
                    <m:rPr>
                      <m:sty m:val="p"/>
                    </m:rPr>
                    <m:t>+</m:t>
                  </m:r>
                  <m:sSub>
                    <m:e>
                      <m:r>
                        <m:t>β</m:t>
                      </m:r>
                    </m:e>
                    <m:sub>
                      <m:r>
                        <m:t>I</m:t>
                      </m:r>
                    </m:sub>
                  </m:sSub>
                </m:e>
              </m:d>
              <m:r>
                <m:rPr>
                  <m:sty m:val="p"/>
                </m:rPr>
                <m:t>−</m:t>
              </m:r>
              <m:sSubSup>
                <m:e>
                  <m:r>
                    <m:t>Y</m:t>
                  </m:r>
                </m:e>
                <m:sub>
                  <m:r>
                    <m:t>f</m:t>
                  </m:r>
                  <m:r>
                    <m:rPr>
                      <m:sty m:val="p"/>
                    </m:rPr>
                    <m:t>,</m:t>
                  </m:r>
                  <m:r>
                    <m:t>t</m:t>
                  </m:r>
                  <m:r>
                    <m:rPr>
                      <m:sty m:val="p"/>
                    </m:rPr>
                    <m:t>−</m:t>
                  </m:r>
                  <m:r>
                    <m:t>1</m:t>
                  </m:r>
                </m:sub>
                <m:sup>
                  <m:r>
                    <m:rPr>
                      <m:sty m:val="p"/>
                    </m:rPr>
                    <m:t>*</m:t>
                  </m:r>
                </m:sup>
              </m:sSubSup>
            </m:e>
          </m:d>
          <m:r>
            <m:rPr>
              <m:sty m:val="p"/>
            </m:rPr>
            <m:t>.</m:t>
          </m:r>
          <m:r>
            <m:t>  </m:t>
          </m:r>
          <m:r>
            <m:t>  </m:t>
          </m:r>
          <m:d>
            <m:dPr>
              <m:begChr m:val="("/>
              <m:endChr m:val=")"/>
              <m:sepChr m:val=""/>
              <m:grow/>
            </m:dPr>
            <m:e>
              <m:r>
                <m:t>7</m:t>
              </m:r>
            </m:e>
          </m:d>
        </m:oMath>
      </m:oMathPara>
    </w:p>
    <w:p>
      <w:pPr>
        <w:pStyle w:val="FirstParagraph"/>
      </w:pPr>
      <w:r>
        <w:rPr>
          <w:bCs/>
          <w:b/>
        </w:rPr>
        <w:t xml:space="preserve">Arbeitsnachfrage und Produktion.</w:t>
      </w:r>
      <w:r>
        <w:t xml:space="preserve"> </w:t>
      </w:r>
      <w:r>
        <w:t xml:space="preserve">Da Löhne vor dem Verkauf gezahlt werden, ist die Beschäftigung durch die Liquidität begrenzt:</w:t>
      </w:r>
    </w:p>
    <w:p>
      <w:pPr>
        <w:pStyle w:val="BodyText"/>
      </w:pPr>
      <m:oMathPara>
        <m:oMathParaPr>
          <m:jc m:val="center"/>
        </m:oMathParaPr>
        <m:oMath>
          <m:sSubSup>
            <m:e>
              <m:r>
                <m:t>N</m:t>
              </m:r>
            </m:e>
            <m:sub>
              <m:r>
                <m:t>f</m:t>
              </m:r>
              <m:r>
                <m:rPr>
                  <m:sty m:val="p"/>
                </m:rPr>
                <m:t>,</m:t>
              </m:r>
              <m:r>
                <m:t>t</m:t>
              </m:r>
            </m:sub>
            <m:sup>
              <m:r>
                <m:rPr>
                  <m:nor/>
                  <m:sty m:val="p"/>
                </m:rPr>
                <m:t>need</m:t>
              </m:r>
            </m:sup>
          </m:sSubSup>
          <m:r>
            <m:rPr>
              <m:sty m:val="p"/>
            </m:rPr>
            <m:t>=</m:t>
          </m:r>
          <m:d>
            <m:dPr>
              <m:begChr m:val="⌈"/>
              <m:endChr m:val="⌉"/>
              <m:sepChr m:val=""/>
              <m:grow/>
            </m:dPr>
            <m:e>
              <m:f>
                <m:fPr>
                  <m:type m:val="bar"/>
                </m:fPr>
                <m:num>
                  <m:r>
                    <m:rPr>
                      <m:sty m:val="p"/>
                    </m:rPr>
                    <m:t>max</m:t>
                  </m:r>
                  <m:r>
                    <m:rPr>
                      <m:sty m:val="p"/>
                    </m:rPr>
                    <m:t>{</m:t>
                  </m:r>
                  <m:sSubSup>
                    <m:e>
                      <m:r>
                        <m:t>Y</m:t>
                      </m:r>
                    </m:e>
                    <m:sub>
                      <m:r>
                        <m:t>f</m:t>
                      </m:r>
                      <m:r>
                        <m:rPr>
                          <m:sty m:val="p"/>
                        </m:rPr>
                        <m:t>,</m:t>
                      </m:r>
                      <m:r>
                        <m:t>t</m:t>
                      </m:r>
                    </m:sub>
                    <m:sup>
                      <m:r>
                        <m:rPr>
                          <m:sty m:val="p"/>
                        </m:rPr>
                        <m:t>*</m:t>
                      </m:r>
                    </m:sup>
                  </m:sSubSup>
                  <m:r>
                    <m:rPr>
                      <m:sty m:val="p"/>
                    </m:rPr>
                    <m:t>−</m:t>
                  </m:r>
                  <m:sSub>
                    <m:e>
                      <m:r>
                        <m:t>I</m:t>
                      </m:r>
                    </m:e>
                    <m:sub>
                      <m:r>
                        <m:t>f</m:t>
                      </m:r>
                      <m:r>
                        <m:rPr>
                          <m:sty m:val="p"/>
                        </m:rPr>
                        <m:t>,</m:t>
                      </m:r>
                      <m:r>
                        <m:t>t</m:t>
                      </m:r>
                    </m:sub>
                  </m:sSub>
                  <m:r>
                    <m:rPr>
                      <m:sty m:val="p"/>
                    </m:rPr>
                    <m:t>,</m:t>
                  </m:r>
                  <m:r>
                    <m:t> </m:t>
                  </m:r>
                  <m:r>
                    <m:t>0</m:t>
                  </m:r>
                  <m:r>
                    <m:rPr>
                      <m:sty m:val="p"/>
                    </m:rPr>
                    <m:t>}</m:t>
                  </m:r>
                </m:num>
                <m:den>
                  <m:sSub>
                    <m:e>
                      <m:r>
                        <m:t>A</m:t>
                      </m:r>
                    </m:e>
                    <m:sub>
                      <m:r>
                        <m:t>t</m:t>
                      </m:r>
                    </m:sub>
                  </m:sSub>
                </m:den>
              </m:f>
            </m:e>
          </m:d>
          <m:r>
            <m:rPr>
              <m:sty m:val="p"/>
            </m:rPr>
            <m:t>,</m:t>
          </m:r>
          <m:r>
            <m:t>  </m:t>
          </m:r>
          <m:sSubSup>
            <m:e>
              <m:r>
                <m:t>N</m:t>
              </m:r>
            </m:e>
            <m:sub>
              <m:r>
                <m:t>f</m:t>
              </m:r>
              <m:r>
                <m:rPr>
                  <m:sty m:val="p"/>
                </m:rPr>
                <m:t>,</m:t>
              </m:r>
              <m:r>
                <m:t>t</m:t>
              </m:r>
            </m:sub>
            <m:sup>
              <m:r>
                <m:t>d</m:t>
              </m:r>
            </m:sup>
          </m:sSubSup>
          <m:r>
            <m:rPr>
              <m:sty m:val="p"/>
            </m:rPr>
            <m:t>=</m:t>
          </m:r>
          <m:r>
            <m:rPr>
              <m:sty m:val="p"/>
            </m:rPr>
            <m:t>min</m:t>
          </m:r>
          <m:d>
            <m:dPr>
              <m:begChr m:val="{"/>
              <m:endChr m:val="}"/>
              <m:sepChr m:val=""/>
              <m:grow/>
            </m:dPr>
            <m:e>
              <m:sSubSup>
                <m:e>
                  <m:r>
                    <m:t>N</m:t>
                  </m:r>
                </m:e>
                <m:sub>
                  <m:r>
                    <m:t>f</m:t>
                  </m:r>
                  <m:r>
                    <m:rPr>
                      <m:sty m:val="p"/>
                    </m:rPr>
                    <m:t>,</m:t>
                  </m:r>
                  <m:r>
                    <m:t>t</m:t>
                  </m:r>
                </m:sub>
                <m:sup>
                  <m:r>
                    <m:rPr>
                      <m:nor/>
                      <m:sty m:val="p"/>
                    </m:rPr>
                    <m:t>need</m:t>
                  </m:r>
                </m:sup>
              </m:sSubSup>
              <m:r>
                <m:rPr>
                  <m:sty m:val="p"/>
                </m:rPr>
                <m:t>,</m:t>
              </m:r>
              <m:r>
                <m:t> </m:t>
              </m:r>
              <m:d>
                <m:dPr>
                  <m:begChr m:val="⌊"/>
                  <m:endChr m:val="⌋"/>
                  <m:sepChr m:val=""/>
                  <m:grow/>
                </m:dPr>
                <m:e>
                  <m:f>
                    <m:fPr>
                      <m:type m:val="bar"/>
                    </m:fPr>
                    <m:num>
                      <m:sSub>
                        <m:e>
                          <m:r>
                            <m:t>M</m:t>
                          </m:r>
                        </m:e>
                        <m:sub>
                          <m:r>
                            <m:t>f</m:t>
                          </m:r>
                          <m:r>
                            <m:rPr>
                              <m:sty m:val="p"/>
                            </m:rPr>
                            <m:t>,</m:t>
                          </m:r>
                          <m:r>
                            <m:t>t</m:t>
                          </m:r>
                        </m:sub>
                      </m:sSub>
                    </m:num>
                    <m:den>
                      <m:sSub>
                        <m:e>
                          <m:r>
                            <m:t>w</m:t>
                          </m:r>
                        </m:e>
                        <m:sub>
                          <m:r>
                            <m:t>f</m:t>
                          </m:r>
                          <m:r>
                            <m:rPr>
                              <m:sty m:val="p"/>
                            </m:rPr>
                            <m:t>,</m:t>
                          </m:r>
                          <m:r>
                            <m:t>t</m:t>
                          </m:r>
                        </m:sub>
                      </m:sSub>
                    </m:den>
                  </m:f>
                </m:e>
              </m:d>
            </m:e>
          </m:d>
          <m:r>
            <m:rPr>
              <m:sty m:val="p"/>
            </m:rPr>
            <m:t>,</m:t>
          </m:r>
          <m:r>
            <m:t>  </m:t>
          </m:r>
          <m:r>
            <m:t>  </m:t>
          </m:r>
          <m:d>
            <m:dPr>
              <m:begChr m:val="("/>
              <m:endChr m:val=")"/>
              <m:sepChr m:val=""/>
              <m:grow/>
            </m:dPr>
            <m:e>
              <m:r>
                <m:t>8</m:t>
              </m:r>
            </m:e>
          </m:d>
        </m:oMath>
      </m:oMathPara>
    </w:p>
    <w:p>
      <w:pPr>
        <w:pStyle w:val="FirstParagraph"/>
      </w:pPr>
      <w:r>
        <w:t xml:space="preserve">wobei</w:t>
      </w:r>
      <w:r>
        <w:t xml:space="preserve"> </w:t>
      </w:r>
      <m:oMath>
        <m:sSub>
          <m:e>
            <m:r>
              <m:t>M</m:t>
            </m:r>
          </m:e>
          <m:sub>
            <m:r>
              <m:t>f</m:t>
            </m:r>
            <m:r>
              <m:rPr>
                <m:sty m:val="p"/>
              </m:rPr>
              <m:t>,</m:t>
            </m:r>
            <m:r>
              <m:t>t</m:t>
            </m:r>
          </m:sub>
        </m:sSub>
      </m:oMath>
      <w:r>
        <w:t xml:space="preserve"> </w:t>
      </w:r>
      <w:r>
        <w:t xml:space="preserve">bereits einen in dieser Periode gewährten Kredit enthält (Abschnitt 3.6). Überzählige Beschäftigte werden entlassen; fehlende werden als offene Stellen</w:t>
      </w:r>
      <w:r>
        <w:t xml:space="preserve"> </w:t>
      </w:r>
      <m:oMath>
        <m:sSub>
          <m:e>
            <m:r>
              <m:t>V</m:t>
            </m:r>
          </m:e>
          <m:sub>
            <m:r>
              <m:t>f</m:t>
            </m:r>
            <m:r>
              <m:rPr>
                <m:sty m:val="p"/>
              </m:rPr>
              <m:t>,</m:t>
            </m:r>
            <m:r>
              <m:t>t</m:t>
            </m:r>
          </m:sub>
        </m:sSub>
      </m:oMath>
      <w:r>
        <w:t xml:space="preserve"> </w:t>
      </w:r>
      <w:r>
        <w:t xml:space="preserve">ausgeschrieben. Produziert wird</w:t>
      </w:r>
      <w:r>
        <w:t xml:space="preserve"> </w:t>
      </w:r>
      <m:oMath>
        <m:sSub>
          <m:e>
            <m:r>
              <m:t>Y</m:t>
            </m:r>
          </m:e>
          <m:sub>
            <m:r>
              <m:t>f</m:t>
            </m:r>
            <m:r>
              <m:rPr>
                <m:sty m:val="p"/>
              </m:rPr>
              <m:t>,</m:t>
            </m:r>
            <m:r>
              <m:t>t</m:t>
            </m:r>
          </m:sub>
        </m:sSub>
        <m:r>
          <m:rPr>
            <m:sty m:val="p"/>
          </m:rPr>
          <m:t>=</m:t>
        </m:r>
        <m:sSub>
          <m:e>
            <m:r>
              <m:t>A</m:t>
            </m:r>
          </m:e>
          <m:sub>
            <m:r>
              <m:t>t</m:t>
            </m:r>
          </m:sub>
        </m:sSub>
        <m:sSub>
          <m:e>
            <m:r>
              <m:t>N</m:t>
            </m:r>
          </m:e>
          <m:sub>
            <m:r>
              <m:t>f</m:t>
            </m:r>
            <m:r>
              <m:rPr>
                <m:sty m:val="p"/>
              </m:rPr>
              <m:t>,</m:t>
            </m:r>
            <m:r>
              <m:t>t</m:t>
            </m:r>
          </m:sub>
        </m:sSub>
      </m:oMath>
      <w:r>
        <w:t xml:space="preserve">. Unverkaufte Ware verdirbt zur Hälfte (</w:t>
      </w:r>
      <m:oMath>
        <m:sSub>
          <m:e>
            <m:r>
              <m:t>I</m:t>
            </m:r>
          </m:e>
          <m:sub>
            <m:r>
              <m:t>f</m:t>
            </m:r>
            <m:r>
              <m:rPr>
                <m:sty m:val="p"/>
              </m:rPr>
              <m:t>,</m:t>
            </m:r>
            <m:r>
              <m:t>t</m:t>
            </m:r>
            <m:r>
              <m:rPr>
                <m:sty m:val="p"/>
              </m:rPr>
              <m:t>+</m:t>
            </m:r>
            <m:r>
              <m:t>1</m:t>
            </m:r>
          </m:sub>
        </m:sSub>
        <m:r>
          <m:rPr>
            <m:sty m:val="p"/>
          </m:rPr>
          <m:t>=</m:t>
        </m:r>
        <m:r>
          <m:rPr>
            <m:nor/>
            <m:sty m:val="p"/>
          </m:rPr>
          <m:t>0,5</m:t>
        </m:r>
        <m:r>
          <m:t> </m:t>
        </m:r>
        <m:d>
          <m:dPr>
            <m:begChr m:val="("/>
            <m:endChr m:val=")"/>
            <m:sepChr m:val=""/>
            <m:grow/>
          </m:dPr>
          <m:e>
            <m:sSub>
              <m:e>
                <m:r>
                  <m:t>I</m:t>
                </m:r>
              </m:e>
              <m:sub>
                <m:r>
                  <m:t>f</m:t>
                </m:r>
                <m:r>
                  <m:rPr>
                    <m:sty m:val="p"/>
                  </m:rPr>
                  <m:t>,</m:t>
                </m:r>
                <m:r>
                  <m:t>t</m:t>
                </m:r>
              </m:sub>
            </m:sSub>
            <m:r>
              <m:rPr>
                <m:sty m:val="p"/>
              </m:rPr>
              <m:t>+</m:t>
            </m:r>
            <m:sSub>
              <m:e>
                <m:r>
                  <m:t>Y</m:t>
                </m:r>
              </m:e>
              <m:sub>
                <m:r>
                  <m:t>f</m:t>
                </m:r>
                <m:r>
                  <m:rPr>
                    <m:sty m:val="p"/>
                  </m:rPr>
                  <m:t>,</m:t>
                </m:r>
                <m:r>
                  <m:t>t</m:t>
                </m:r>
              </m:sub>
            </m:sSub>
            <m:r>
              <m:rPr>
                <m:sty m:val="p"/>
              </m:rPr>
              <m:t>−</m:t>
            </m:r>
            <m:sSub>
              <m:e>
                <m:r>
                  <m:t>S</m:t>
                </m:r>
              </m:e>
              <m:sub>
                <m:r>
                  <m:t>f</m:t>
                </m:r>
                <m:r>
                  <m:rPr>
                    <m:sty m:val="p"/>
                  </m:rPr>
                  <m:t>,</m:t>
                </m:r>
                <m:r>
                  <m:t>t</m:t>
                </m:r>
              </m:sub>
            </m:sSub>
          </m:e>
        </m:d>
      </m:oMath>
      <w:r>
        <w:t xml:space="preserve">).</w:t>
      </w:r>
    </w:p>
    <w:p>
      <w:pPr>
        <w:pStyle w:val="BodyText"/>
      </w:pPr>
      <w:r>
        <w:rPr>
          <w:bCs/>
          <w:b/>
        </w:rPr>
        <w:t xml:space="preserve">Ausschüttung.</w:t>
      </w:r>
      <w:r>
        <w:t xml:space="preserve"> </w:t>
      </w:r>
      <w:r>
        <w:t xml:space="preserve">Nach Schuldendienst wird der Gewinn</w:t>
      </w:r>
      <w:r>
        <w:t xml:space="preserve"> </w:t>
      </w:r>
      <m:oMath>
        <m:sSub>
          <m:e>
            <m:r>
              <m:t>Π</m:t>
            </m:r>
          </m:e>
          <m:sub>
            <m:r>
              <m:t>f</m:t>
            </m:r>
            <m:r>
              <m:rPr>
                <m:sty m:val="p"/>
              </m:rPr>
              <m:t>,</m:t>
            </m:r>
            <m:r>
              <m:t>t</m:t>
            </m:r>
          </m:sub>
        </m:sSub>
        <m:r>
          <m:rPr>
            <m:sty m:val="p"/>
          </m:rPr>
          <m:t>=</m:t>
        </m:r>
        <m:sSub>
          <m:e>
            <m:r>
              <m:rPr>
                <m:sty m:val="p"/>
                <m:scr m:val="script"/>
              </m:rPr>
              <m:t>R</m:t>
            </m:r>
          </m:e>
          <m:sub>
            <m:r>
              <m:t>f</m:t>
            </m:r>
            <m:r>
              <m:rPr>
                <m:sty m:val="p"/>
              </m:rPr>
              <m:t>,</m:t>
            </m:r>
            <m:r>
              <m:t>t</m:t>
            </m:r>
          </m:sub>
        </m:sSub>
        <m:r>
          <m:rPr>
            <m:sty m:val="p"/>
          </m:rPr>
          <m:t>−</m:t>
        </m:r>
        <m:sSub>
          <m:e>
            <m:r>
              <m:t>W</m:t>
            </m:r>
          </m:e>
          <m:sub>
            <m:r>
              <m:t>f</m:t>
            </m:r>
            <m:r>
              <m:rPr>
                <m:sty m:val="p"/>
              </m:rPr>
              <m:t>,</m:t>
            </m:r>
            <m:r>
              <m:t>t</m:t>
            </m:r>
          </m:sub>
        </m:sSub>
        <m:r>
          <m:rPr>
            <m:sty m:val="p"/>
          </m:rPr>
          <m:t>−</m:t>
        </m:r>
        <m:sSub>
          <m:e>
            <m:r>
              <m:t>Z</m:t>
            </m:r>
          </m:e>
          <m:sub>
            <m:r>
              <m:t>f</m:t>
            </m:r>
            <m:r>
              <m:rPr>
                <m:sty m:val="p"/>
              </m:rPr>
              <m:t>,</m:t>
            </m:r>
            <m:r>
              <m:t>t</m:t>
            </m:r>
          </m:sub>
        </m:sSub>
      </m:oMath>
      <w:r>
        <w:t xml:space="preserve"> </w:t>
      </w:r>
      <w:r>
        <w:t xml:space="preserve">(Umsatz minus Lohnsumme minus Zinsen) zur Hälfte ausgeschüttet. Kasse oberhalb einer Liquiditätsreserve von</w:t>
      </w:r>
      <w:r>
        <w:t xml:space="preserve"> </w:t>
      </w:r>
      <m:oMath>
        <m:r>
          <m:t>χ</m:t>
        </m:r>
      </m:oMath>
      <w:r>
        <w:t xml:space="preserve"> </w:t>
      </w:r>
      <w:r>
        <w:t xml:space="preserve">geplanten Lohnsummen tilgt zunächst Schulden und wird dann ebenfalls ausgeschüttet. Mit Kreditzugang gilt</w:t>
      </w:r>
      <w:r>
        <w:t xml:space="preserve"> </w:t>
      </w:r>
      <m:oMath>
        <m:r>
          <m:t>χ</m:t>
        </m:r>
        <m:r>
          <m:rPr>
            <m:sty m:val="p"/>
          </m:rPr>
          <m:t>=</m:t>
        </m:r>
        <m:r>
          <m:t>1</m:t>
        </m:r>
      </m:oMath>
      <w:r>
        <w:t xml:space="preserve">, ohne Kreditzugang (oder in den zwölf Perioden nach einer Kreditablehnung)</w:t>
      </w:r>
      <w:r>
        <w:t xml:space="preserve"> </w:t>
      </w:r>
      <m:oMath>
        <m:r>
          <m:t>χ</m:t>
        </m:r>
        <m:r>
          <m:rPr>
            <m:sty m:val="p"/>
          </m:rPr>
          <m:t>=</m:t>
        </m:r>
        <m:r>
          <m:t>4</m:t>
        </m:r>
      </m:oMath>
      <w:r>
        <w:t xml:space="preserve">.</w:t>
      </w:r>
    </w:p>
    <w:p>
      <w:pPr>
        <w:pStyle w:val="BodyText"/>
      </w:pPr>
      <w:r>
        <w:rPr>
          <w:bCs/>
          <w:b/>
        </w:rPr>
        <w:t xml:space="preserve">Insolvenz und Markteintritt.</w:t>
      </w:r>
      <w:r>
        <w:t xml:space="preserve"> </w:t>
      </w:r>
      <w:r>
        <w:t xml:space="preserve">Eine Firma scheidet aus, wenn sie keinen einzigen Lohn mehr zahlen kann oder überschuldet ist:</w:t>
      </w:r>
    </w:p>
    <w:p>
      <w:pPr>
        <w:pStyle w:val="BodyText"/>
      </w:pPr>
      <m:oMathPara>
        <m:oMathParaPr>
          <m:jc m:val="center"/>
        </m:oMathParaPr>
        <m:oMath>
          <m:sSub>
            <m:e>
              <m:r>
                <m:t>M</m:t>
              </m:r>
            </m:e>
            <m:sub>
              <m:r>
                <m:t>f</m:t>
              </m:r>
              <m:r>
                <m:rPr>
                  <m:sty m:val="p"/>
                </m:rPr>
                <m:t>,</m:t>
              </m:r>
              <m:r>
                <m:t>t</m:t>
              </m:r>
            </m:sub>
          </m:sSub>
          <m:r>
            <m:rPr>
              <m:sty m:val="p"/>
            </m:rPr>
            <m:t>+</m:t>
          </m:r>
          <m:sSub>
            <m:e>
              <m:r>
                <m:t>p</m:t>
              </m:r>
            </m:e>
            <m:sub>
              <m:r>
                <m:t>f</m:t>
              </m:r>
              <m:r>
                <m:rPr>
                  <m:sty m:val="p"/>
                </m:rPr>
                <m:t>,</m:t>
              </m:r>
              <m:r>
                <m:t>t</m:t>
              </m:r>
            </m:sub>
          </m:sSub>
          <m:sSub>
            <m:e>
              <m:r>
                <m:t>I</m:t>
              </m:r>
            </m:e>
            <m:sub>
              <m:r>
                <m:t>f</m:t>
              </m:r>
              <m:r>
                <m:rPr>
                  <m:sty m:val="p"/>
                </m:rPr>
                <m:t>,</m:t>
              </m:r>
              <m:r>
                <m:t>t</m:t>
              </m:r>
            </m:sub>
          </m:sSub>
          <m:r>
            <m:rPr>
              <m:sty m:val="p"/>
            </m:rPr>
            <m:t>&lt;</m:t>
          </m:r>
          <m:sSub>
            <m:e>
              <m:r>
                <m:t>w</m:t>
              </m:r>
            </m:e>
            <m:sub>
              <m:r>
                <m:t>f</m:t>
              </m:r>
              <m:r>
                <m:rPr>
                  <m:sty m:val="p"/>
                </m:rPr>
                <m:t>,</m:t>
              </m:r>
              <m:r>
                <m:t>t</m:t>
              </m:r>
            </m:sub>
          </m:sSub>
          <m:r>
            <m:t> </m:t>
          </m:r>
          <m:r>
            <m:rPr>
              <m:nor/>
              <m:sty m:val="p"/>
            </m:rPr>
            <m:t>oder</m:t>
          </m:r>
          <m:r>
            <m:t> </m:t>
          </m:r>
          <m:sSub>
            <m:e>
              <m:r>
                <m:t>M</m:t>
              </m:r>
            </m:e>
            <m:sub>
              <m:r>
                <m:t>f</m:t>
              </m:r>
              <m:r>
                <m:rPr>
                  <m:sty m:val="p"/>
                </m:rPr>
                <m:t>,</m:t>
              </m:r>
              <m:r>
                <m:t>t</m:t>
              </m:r>
            </m:sub>
          </m:sSub>
          <m:r>
            <m:rPr>
              <m:sty m:val="p"/>
            </m:rPr>
            <m:t>+</m:t>
          </m:r>
          <m:sSub>
            <m:e>
              <m:r>
                <m:t>p</m:t>
              </m:r>
            </m:e>
            <m:sub>
              <m:r>
                <m:t>f</m:t>
              </m:r>
              <m:r>
                <m:rPr>
                  <m:sty m:val="p"/>
                </m:rPr>
                <m:t>,</m:t>
              </m:r>
              <m:r>
                <m:t>t</m:t>
              </m:r>
            </m:sub>
          </m:sSub>
          <m:sSub>
            <m:e>
              <m:r>
                <m:t>I</m:t>
              </m:r>
            </m:e>
            <m:sub>
              <m:r>
                <m:t>f</m:t>
              </m:r>
              <m:r>
                <m:rPr>
                  <m:sty m:val="p"/>
                </m:rPr>
                <m:t>,</m:t>
              </m:r>
              <m:r>
                <m:t>t</m:t>
              </m:r>
            </m:sub>
          </m:sSub>
          <m:r>
            <m:rPr>
              <m:sty m:val="p"/>
            </m:rPr>
            <m:t>&lt;</m:t>
          </m:r>
          <m:sSub>
            <m:e>
              <m:r>
                <m:t>D</m:t>
              </m:r>
            </m:e>
            <m:sub>
              <m:r>
                <m:t>f</m:t>
              </m:r>
              <m:r>
                <m:rPr>
                  <m:sty m:val="p"/>
                </m:rPr>
                <m:t>,</m:t>
              </m:r>
              <m:r>
                <m:t>t</m:t>
              </m:r>
            </m:sub>
          </m:sSub>
          <m:r>
            <m:rPr>
              <m:sty m:val="p"/>
            </m:rPr>
            <m:t>.</m:t>
          </m:r>
          <m:r>
            <m:t>  </m:t>
          </m:r>
          <m:r>
            <m:t>  </m:t>
          </m:r>
          <m:d>
            <m:dPr>
              <m:begChr m:val="("/>
              <m:endChr m:val=")"/>
              <m:sepChr m:val=""/>
              <m:grow/>
            </m:dPr>
            <m:e>
              <m:r>
                <m:t>9</m:t>
              </m:r>
            </m:e>
          </m:d>
        </m:oMath>
      </m:oMathPara>
    </w:p>
    <w:p>
      <w:pPr>
        <w:pStyle w:val="FirstParagraph"/>
      </w:pPr>
      <w:r>
        <w:t xml:space="preserve">Ein freier Firmenplatz wird mit Wahrscheinlichkeit</w:t>
      </w:r>
      <w:r>
        <w:t xml:space="preserve"> </w:t>
      </w:r>
      <m:oMath>
        <m:r>
          <m:t>q</m:t>
        </m:r>
      </m:oMath>
      <w:r>
        <w:t xml:space="preserve"> </w:t>
      </w:r>
      <w:r>
        <w:t xml:space="preserve">je Periode neu besetzt (</w:t>
      </w:r>
      <m:oMath>
        <m:r>
          <m:t>q</m:t>
        </m:r>
        <m:r>
          <m:rPr>
            <m:sty m:val="p"/>
          </m:rPr>
          <m:t>=</m:t>
        </m:r>
        <m:r>
          <m:t>1</m:t>
        </m:r>
      </m:oMath>
      <w:r>
        <w:t xml:space="preserve"> </w:t>
      </w:r>
      <w:r>
        <w:t xml:space="preserve">mit Wettbewerbsaufsicht,</w:t>
      </w:r>
      <w:r>
        <w:t xml:space="preserve"> </w:t>
      </w:r>
      <m:oMath>
        <m:r>
          <m:t>q</m:t>
        </m:r>
        <m:r>
          <m:rPr>
            <m:sty m:val="p"/>
          </m:rPr>
          <m:t>=</m:t>
        </m:r>
        <m:r>
          <m:rPr>
            <m:nor/>
            <m:sty m:val="p"/>
          </m:rPr>
          <m:t>0,1</m:t>
        </m:r>
      </m:oMath>
      <w:r>
        <w:t xml:space="preserve"> </w:t>
      </w:r>
      <w:r>
        <w:t xml:space="preserve">ohne). Gründer ist ein vermögensgewichtet gezogener Haushalt, der die Hälfte seines Geldes, höchstens aber das (lohnindexierte) Startkapital, einbringt; den Rest kann die Bank finanzieren.</w:t>
      </w:r>
    </w:p>
    <w:bookmarkEnd w:id="24"/>
    <w:bookmarkStart w:id="25" w:name="betrug-und-rechtsdurchsetzung"/>
    <w:p>
      <w:pPr>
        <w:pStyle w:val="Heading2"/>
      </w:pPr>
      <w:r>
        <w:rPr>
          <w:rStyle w:val="SectionNumber"/>
        </w:rPr>
        <w:t xml:space="preserve">3.4</w:t>
      </w:r>
      <w:r>
        <w:tab/>
      </w:r>
      <w:r>
        <w:t xml:space="preserve">Betrug und Rechtsdurchsetzung</w:t>
      </w:r>
    </w:p>
    <w:p>
      <w:pPr>
        <w:pStyle w:val="FirstParagraph"/>
      </w:pPr>
      <w:r>
        <w:t xml:space="preserve">Ein Anteil</w:t>
      </w:r>
      <w:r>
        <w:t xml:space="preserve"> </w:t>
      </w:r>
      <m:oMath>
        <m:r>
          <m:t>θ</m:t>
        </m:r>
        <m:r>
          <m:rPr>
            <m:sty m:val="p"/>
          </m:rPr>
          <m:t>=</m:t>
        </m:r>
        <m:r>
          <m:rPr>
            <m:nor/>
            <m:sty m:val="p"/>
          </m:rPr>
          <m:t>0,3</m:t>
        </m:r>
      </m:oMath>
      <w:r>
        <w:t xml:space="preserve"> </w:t>
      </w:r>
      <w:r>
        <w:t xml:space="preserve">der Firmen ist bereit zu betrügen. Bei jeder Transaktion (Lohnzahlung, Verkauf, Schuldendienst) betrügt eine solche Firma mit Wahrscheinlichkeit</w:t>
      </w:r>
    </w:p>
    <w:p>
      <w:pPr>
        <w:pStyle w:val="BodyText"/>
      </w:pPr>
      <m:oMathPara>
        <m:oMathParaPr>
          <m:jc m:val="center"/>
        </m:oMathParaPr>
        <m:oMath>
          <m:r>
            <m:t>π</m:t>
          </m:r>
          <m:r>
            <m:rPr>
              <m:sty m:val="p"/>
            </m:rPr>
            <m:t>=</m:t>
          </m:r>
          <m:d>
            <m:dPr>
              <m:begChr m:val="{"/>
              <m:endChr m:val=""/>
              <m:sepChr m:val=""/>
              <m:grow/>
            </m:dPr>
            <m:e>
              <m:m>
                <m:mPr>
                  <m:baseJc m:val="center"/>
                  <m:plcHide m:val="on"/>
                  <m:mcs>
                    <m:mc>
                      <m:mcPr>
                        <m:mcJc m:val="left"/>
                        <m:count m:val="1"/>
                      </m:mcPr>
                    </m:mc>
                    <m:mc>
                      <m:mcPr>
                        <m:mcJc m:val="left"/>
                        <m:count m:val="1"/>
                      </m:mcPr>
                    </m:mc>
                  </m:mcs>
                </m:mPr>
                <m:mr>
                  <m:e>
                    <m:sSub>
                      <m:e>
                        <m:r>
                          <m:t>π</m:t>
                        </m:r>
                      </m:e>
                      <m:sub>
                        <m:r>
                          <m:t>0</m:t>
                        </m:r>
                      </m:sub>
                    </m:sSub>
                  </m:e>
                  <m:e>
                    <m:r>
                      <m:rPr>
                        <m:nor/>
                        <m:sty m:val="p"/>
                      </m:rPr>
                      <m:t>ohne Rechtsdurchsetzung</m:t>
                    </m:r>
                    <m:r>
                      <m:rPr>
                        <m:sty m:val="p"/>
                      </m:rPr>
                      <m:t>,</m:t>
                    </m:r>
                  </m:e>
                </m:mr>
                <m:mr>
                  <m:e>
                    <m:sSub>
                      <m:e>
                        <m:r>
                          <m:t>π</m:t>
                        </m:r>
                      </m:e>
                      <m:sub>
                        <m:r>
                          <m:t>0</m:t>
                        </m:r>
                      </m:sub>
                    </m:sSub>
                    <m:r>
                      <m:t> </m:t>
                    </m:r>
                    <m:d>
                      <m:dPr>
                        <m:begChr m:val="("/>
                        <m:endChr m:val=")"/>
                        <m:sepChr m:val=""/>
                        <m:grow/>
                      </m:dPr>
                      <m:e>
                        <m:r>
                          <m:t>1</m:t>
                        </m:r>
                        <m:r>
                          <m:rPr>
                            <m:sty m:val="p"/>
                          </m:rPr>
                          <m:t>−</m:t>
                        </m:r>
                        <m:r>
                          <m:t>e</m:t>
                        </m:r>
                      </m:e>
                    </m:d>
                  </m:e>
                  <m:e>
                    <m:r>
                      <m:rPr>
                        <m:nor/>
                        <m:sty m:val="p"/>
                      </m:rPr>
                      <m:t>mit Rechtsdurchsetzung,</m:t>
                    </m:r>
                  </m:e>
                </m:mr>
              </m:m>
            </m:e>
          </m:d>
          <m:r>
            <m:t>  </m:t>
          </m:r>
          <m:sSub>
            <m:e>
              <m:r>
                <m:t>π</m:t>
              </m:r>
            </m:e>
            <m:sub>
              <m:r>
                <m:t>0</m:t>
              </m:r>
            </m:sub>
          </m:sSub>
          <m:r>
            <m:rPr>
              <m:sty m:val="p"/>
            </m:rPr>
            <m:t>=</m:t>
          </m:r>
          <m:r>
            <m:rPr>
              <m:nor/>
              <m:sty m:val="p"/>
            </m:rPr>
            <m:t>0,3</m:t>
          </m:r>
          <m:r>
            <m:rPr>
              <m:sty m:val="p"/>
            </m:rPr>
            <m:t>,</m:t>
          </m:r>
          <m:r>
            <m:t> </m:t>
          </m:r>
          <m:r>
            <m:t>e</m:t>
          </m:r>
          <m:r>
            <m:rPr>
              <m:sty m:val="p"/>
            </m:rPr>
            <m:t>=</m:t>
          </m:r>
          <m:r>
            <m:rPr>
              <m:nor/>
              <m:sty m:val="p"/>
            </m:rPr>
            <m:t>0,9</m:t>
          </m:r>
          <m:r>
            <m:rPr>
              <m:sty m:val="p"/>
            </m:rPr>
            <m:t>,</m:t>
          </m:r>
          <m:r>
            <m:t>  </m:t>
          </m:r>
          <m:r>
            <m:t>  </m:t>
          </m:r>
          <m:d>
            <m:dPr>
              <m:begChr m:val="("/>
              <m:endChr m:val=")"/>
              <m:sepChr m:val=""/>
              <m:grow/>
            </m:dPr>
            <m:e>
              <m:r>
                <m:t>10</m:t>
              </m:r>
            </m:e>
          </m:d>
        </m:oMath>
      </m:oMathPara>
    </w:p>
    <w:p>
      <w:pPr>
        <w:pStyle w:val="FirstParagraph"/>
      </w:pPr>
      <w:r>
        <w:t xml:space="preserve">und behält dabei die Hälfte der geschuldeten Leistung ein. Betrogene Haushalte meiden die Firma für 50 Perioden (Reputationsmechanismus); die Bank gewährt einer Firma, die einen Kredit absichtlich nicht bedient hat, keinen weiteren Kredit.</w:t>
      </w:r>
    </w:p>
    <w:bookmarkEnd w:id="25"/>
    <w:bookmarkStart w:id="26" w:name="staat"/>
    <w:p>
      <w:pPr>
        <w:pStyle w:val="Heading2"/>
      </w:pPr>
      <w:r>
        <w:rPr>
          <w:rStyle w:val="SectionNumber"/>
        </w:rPr>
        <w:t xml:space="preserve">3.5</w:t>
      </w:r>
      <w:r>
        <w:tab/>
      </w:r>
      <w:r>
        <w:t xml:space="preserve">Staat</w:t>
      </w:r>
    </w:p>
    <w:p>
      <w:pPr>
        <w:pStyle w:val="FirstParagraph"/>
      </w:pPr>
      <w:r>
        <w:t xml:space="preserve">In den Regimen B und C erhebt der Staat eine proportionale Steuer</w:t>
      </w:r>
      <w:r>
        <w:t xml:space="preserve"> </w:t>
      </w:r>
      <m:oMath>
        <m:r>
          <m:t>τ</m:t>
        </m:r>
        <m:r>
          <m:rPr>
            <m:sty m:val="p"/>
          </m:rPr>
          <m:t>=</m:t>
        </m:r>
        <m:r>
          <m:rPr>
            <m:nor/>
            <m:sty m:val="p"/>
          </m:rPr>
          <m:t>0,2</m:t>
        </m:r>
      </m:oMath>
      <w:r>
        <w:t xml:space="preserve"> </w:t>
      </w:r>
      <w:r>
        <w:t xml:space="preserve">auf Löhne und Dividenden. Er beschäftigt einen festen Anteil</w:t>
      </w:r>
      <w:r>
        <w:t xml:space="preserve"> </w:t>
      </w:r>
      <m:oMath>
        <m:r>
          <m:t>g</m:t>
        </m:r>
      </m:oMath>
      <w:r>
        <w:t xml:space="preserve"> </w:t>
      </w:r>
      <w:r>
        <w:t xml:space="preserve">der Erwerbspersonen (Verwaltung, Rechtsdurchsetzung, Aufsicht;</w:t>
      </w:r>
      <w:r>
        <w:t xml:space="preserve"> </w:t>
      </w:r>
      <m:oMath>
        <m:r>
          <m:t>g</m:t>
        </m:r>
        <m:r>
          <m:rPr>
            <m:sty m:val="p"/>
          </m:rPr>
          <m:t>=</m:t>
        </m:r>
        <m:r>
          <m:rPr>
            <m:nor/>
            <m:sty m:val="p"/>
          </m:rPr>
          <m:t>0,05</m:t>
        </m:r>
      </m:oMath>
      <w:r>
        <w:t xml:space="preserve"> </w:t>
      </w:r>
      <w:r>
        <w:t xml:space="preserve">in B,</w:t>
      </w:r>
      <w:r>
        <w:t xml:space="preserve"> </w:t>
      </w:r>
      <m:oMath>
        <m:r>
          <m:t>g</m:t>
        </m:r>
        <m:r>
          <m:rPr>
            <m:sty m:val="p"/>
          </m:rPr>
          <m:t>=</m:t>
        </m:r>
        <m:r>
          <m:rPr>
            <m:nor/>
            <m:sty m:val="p"/>
          </m:rPr>
          <m:t>0,07</m:t>
        </m:r>
      </m:oMath>
      <w:r>
        <w:t xml:space="preserve"> </w:t>
      </w:r>
      <w:r>
        <w:t xml:space="preserve">in C), die nichts für den Gütermarkt produzieren. Aus der verbleibenden Kasse wird Arbeitslosengeld gezahlt:</w:t>
      </w:r>
    </w:p>
    <w:p>
      <w:pPr>
        <w:pStyle w:val="BodyText"/>
      </w:pPr>
      <m:oMathPara>
        <m:oMathParaPr>
          <m:jc m:val="center"/>
        </m:oMathParaPr>
        <m:oMath>
          <m:sSub>
            <m:e>
              <m:r>
                <m:t>b</m:t>
              </m:r>
            </m:e>
            <m:sub>
              <m:r>
                <m:t>t</m:t>
              </m:r>
            </m:sub>
          </m:sSub>
          <m:r>
            <m:rPr>
              <m:sty m:val="p"/>
            </m:rPr>
            <m:t>=</m:t>
          </m:r>
          <m:r>
            <m:rPr>
              <m:sty m:val="p"/>
            </m:rPr>
            <m:t>min</m:t>
          </m:r>
          <m:d>
            <m:dPr>
              <m:begChr m:val="{"/>
              <m:endChr m:val="}"/>
              <m:sepChr m:val=""/>
              <m:grow/>
            </m:dPr>
            <m:e>
              <m:r>
                <m:t>ρ</m:t>
              </m:r>
              <m:r>
                <m:t> </m:t>
              </m:r>
              <m:d>
                <m:dPr>
                  <m:begChr m:val="("/>
                  <m:endChr m:val=")"/>
                  <m:sepChr m:val=""/>
                  <m:grow/>
                </m:dPr>
                <m:e>
                  <m:r>
                    <m:t>1</m:t>
                  </m:r>
                  <m:r>
                    <m:rPr>
                      <m:sty m:val="p"/>
                    </m:rPr>
                    <m:t>−</m:t>
                  </m:r>
                  <m:r>
                    <m:t>τ</m:t>
                  </m:r>
                </m:e>
              </m:d>
              <m:r>
                <m:t> </m:t>
              </m:r>
              <m:sSub>
                <m:e>
                  <m:acc>
                    <m:accPr>
                      <m:chr m:val="‾"/>
                    </m:accPr>
                    <m:e>
                      <m:r>
                        <m:t>w</m:t>
                      </m:r>
                    </m:e>
                  </m:acc>
                </m:e>
                <m:sub>
                  <m:r>
                    <m:t>t</m:t>
                  </m:r>
                  <m:r>
                    <m:rPr>
                      <m:sty m:val="p"/>
                    </m:rPr>
                    <m:t>−</m:t>
                  </m:r>
                  <m:r>
                    <m:t>1</m:t>
                  </m:r>
                </m:sub>
              </m:sSub>
              <m:r>
                <m:rPr>
                  <m:sty m:val="p"/>
                </m:rPr>
                <m:t>,</m:t>
              </m:r>
              <m:r>
                <m:t> </m:t>
              </m:r>
              <m:f>
                <m:fPr>
                  <m:type m:val="bar"/>
                </m:fPr>
                <m:num>
                  <m:sSub>
                    <m:e>
                      <m:r>
                        <m:t>G</m:t>
                      </m:r>
                    </m:e>
                    <m:sub>
                      <m:r>
                        <m:t>t</m:t>
                      </m:r>
                    </m:sub>
                  </m:sSub>
                </m:num>
                <m:den>
                  <m:sSub>
                    <m:e>
                      <m:r>
                        <m:t>U</m:t>
                      </m:r>
                    </m:e>
                    <m:sub>
                      <m:r>
                        <m:t>t</m:t>
                      </m:r>
                    </m:sub>
                  </m:sSub>
                </m:den>
              </m:f>
            </m:e>
          </m:d>
          <m:r>
            <m:rPr>
              <m:sty m:val="p"/>
            </m:rPr>
            <m:t>,</m:t>
          </m:r>
          <m:r>
            <m:t>  </m:t>
          </m:r>
          <m:r>
            <m:t>ρ</m:t>
          </m:r>
          <m:r>
            <m:rPr>
              <m:sty m:val="p"/>
            </m:rPr>
            <m:t>=</m:t>
          </m:r>
          <m:r>
            <m:rPr>
              <m:nor/>
              <m:sty m:val="p"/>
            </m:rPr>
            <m:t>0,5</m:t>
          </m:r>
          <m:r>
            <m:rPr>
              <m:sty m:val="p"/>
            </m:rPr>
            <m:t>,</m:t>
          </m:r>
          <m:r>
            <m:t>  </m:t>
          </m:r>
          <m:r>
            <m:t>  </m:t>
          </m:r>
          <m:d>
            <m:dPr>
              <m:begChr m:val="("/>
              <m:endChr m:val=")"/>
              <m:sepChr m:val=""/>
              <m:grow/>
            </m:dPr>
            <m:e>
              <m:r>
                <m:t>11</m:t>
              </m:r>
            </m:e>
          </m:d>
        </m:oMath>
      </m:oMathPara>
    </w:p>
    <w:p>
      <w:pPr>
        <w:pStyle w:val="FirstParagraph"/>
      </w:pPr>
      <w:r>
        <w:t xml:space="preserve">mit</w:t>
      </w:r>
      <w:r>
        <w:t xml:space="preserve"> </w:t>
      </w:r>
      <m:oMath>
        <m:sSub>
          <m:e>
            <m:r>
              <m:t>U</m:t>
            </m:r>
          </m:e>
          <m:sub>
            <m:r>
              <m:t>t</m:t>
            </m:r>
          </m:sub>
        </m:sSub>
      </m:oMath>
      <w:r>
        <w:t xml:space="preserve"> </w:t>
      </w:r>
      <w:r>
        <w:t xml:space="preserve">der Zahl der Arbeitslosen. Überschreitet die Staatskasse einen Puffer, wird der Überschuss pauschal an alle Haushalte zurückgegeben. Der Staat verschuldet sich nicht.</w:t>
      </w:r>
    </w:p>
    <w:bookmarkEnd w:id="26"/>
    <w:bookmarkStart w:id="27" w:name="bank-und-kreditmarkt"/>
    <w:p>
      <w:pPr>
        <w:pStyle w:val="Heading2"/>
      </w:pPr>
      <w:r>
        <w:rPr>
          <w:rStyle w:val="SectionNumber"/>
        </w:rPr>
        <w:t xml:space="preserve">3.6</w:t>
      </w:r>
      <w:r>
        <w:tab/>
      </w:r>
      <w:r>
        <w:t xml:space="preserve">Bank und Kreditmarkt</w:t>
      </w:r>
    </w:p>
    <w:p>
      <w:pPr>
        <w:pStyle w:val="FirstParagraph"/>
      </w:pPr>
      <w:r>
        <w:rPr>
          <w:bCs/>
          <w:b/>
        </w:rPr>
        <w:t xml:space="preserve">Kreditantrag.</w:t>
      </w:r>
      <w:r>
        <w:t xml:space="preserve"> </w:t>
      </w:r>
      <w:r>
        <w:t xml:space="preserve">Reicht die Kasse nicht für die benötigte Belegschaft, beantragt die Firma den Fehlbetrag zuzüglich eines Puffers von einer Lohnsumme:</w:t>
      </w:r>
    </w:p>
    <w:p>
      <w:pPr>
        <w:pStyle w:val="BodyText"/>
      </w:pPr>
      <m:oMathPara>
        <m:oMathParaPr>
          <m:jc m:val="center"/>
        </m:oMathParaPr>
        <m:oMath>
          <m:sSub>
            <m:e>
              <m:r>
                <m:t>Δ</m:t>
              </m:r>
            </m:e>
            <m:sub>
              <m:r>
                <m:t>f</m:t>
              </m:r>
              <m:r>
                <m:rPr>
                  <m:sty m:val="p"/>
                </m:rPr>
                <m:t>,</m:t>
              </m:r>
              <m:r>
                <m:t>t</m:t>
              </m:r>
            </m:sub>
          </m:sSub>
          <m:r>
            <m:rPr>
              <m:sty m:val="p"/>
            </m:rPr>
            <m:t>=</m:t>
          </m:r>
          <m:d>
            <m:dPr>
              <m:begChr m:val="("/>
              <m:endChr m:val=")"/>
              <m:sepChr m:val=""/>
              <m:grow/>
            </m:dPr>
            <m:e>
              <m:sSubSup>
                <m:e>
                  <m:r>
                    <m:t>N</m:t>
                  </m:r>
                </m:e>
                <m:sub>
                  <m:r>
                    <m:t>f</m:t>
                  </m:r>
                  <m:r>
                    <m:rPr>
                      <m:sty m:val="p"/>
                    </m:rPr>
                    <m:t>,</m:t>
                  </m:r>
                  <m:r>
                    <m:t>t</m:t>
                  </m:r>
                </m:sub>
                <m:sup>
                  <m:r>
                    <m:rPr>
                      <m:nor/>
                      <m:sty m:val="p"/>
                    </m:rPr>
                    <m:t>need</m:t>
                  </m:r>
                </m:sup>
              </m:sSubSup>
              <m:r>
                <m:rPr>
                  <m:sty m:val="p"/>
                </m:rPr>
                <m:t>+</m:t>
              </m:r>
              <m:r>
                <m:t>1</m:t>
              </m:r>
            </m:e>
          </m:d>
          <m:sSub>
            <m:e>
              <m:r>
                <m:t>w</m:t>
              </m:r>
            </m:e>
            <m:sub>
              <m:r>
                <m:t>f</m:t>
              </m:r>
              <m:r>
                <m:rPr>
                  <m:sty m:val="p"/>
                </m:rPr>
                <m:t>,</m:t>
              </m:r>
              <m:r>
                <m:t>t</m:t>
              </m:r>
            </m:sub>
          </m:sSub>
          <m:r>
            <m:rPr>
              <m:sty m:val="p"/>
            </m:rPr>
            <m:t>−</m:t>
          </m:r>
          <m:sSub>
            <m:e>
              <m:r>
                <m:t>M</m:t>
              </m:r>
            </m:e>
            <m:sub>
              <m:r>
                <m:t>f</m:t>
              </m:r>
              <m:r>
                <m:rPr>
                  <m:sty m:val="p"/>
                </m:rPr>
                <m:t>,</m:t>
              </m:r>
              <m:r>
                <m:t>t</m:t>
              </m:r>
            </m:sub>
          </m:sSub>
          <m:r>
            <m:rPr>
              <m:sty m:val="p"/>
            </m:rPr>
            <m:t>.</m:t>
          </m:r>
          <m:r>
            <m:t>  </m:t>
          </m:r>
          <m:r>
            <m:t>  </m:t>
          </m:r>
          <m:d>
            <m:dPr>
              <m:begChr m:val="("/>
              <m:endChr m:val=")"/>
              <m:sepChr m:val=""/>
              <m:grow/>
            </m:dPr>
            <m:e>
              <m:r>
                <m:t>12</m:t>
              </m:r>
            </m:e>
          </m:d>
        </m:oMath>
      </m:oMathPara>
    </w:p>
    <w:p>
      <w:pPr>
        <w:pStyle w:val="FirstParagraph"/>
      </w:pPr>
      <w:r>
        <w:rPr>
          <w:bCs/>
          <w:b/>
        </w:rPr>
        <w:t xml:space="preserve">Kreditprüfung und Zins.</w:t>
      </w:r>
      <w:r>
        <w:t xml:space="preserve"> </w:t>
      </w:r>
      <w:r>
        <w:t xml:space="preserve">Die Bank berechnet den Verschuldungsgrad nach Kreditvergabe und daraus den Zins;</w:t>
      </w:r>
      <w:r>
        <w:t xml:space="preserve"> </w:t>
      </w:r>
      <m:oMath>
        <m:r>
          <m:t>ϕ</m:t>
        </m:r>
      </m:oMath>
      <w:r>
        <w:t xml:space="preserve"> </w:t>
      </w:r>
      <w:r>
        <w:t xml:space="preserve">ist die erwartete Verwertungsquote im Insolvenzfall (</w:t>
      </w:r>
      <m:oMath>
        <m:r>
          <m:t>ϕ</m:t>
        </m:r>
        <m:r>
          <m:rPr>
            <m:sty m:val="p"/>
          </m:rPr>
          <m:t>=</m:t>
        </m:r>
        <m:r>
          <m:t>1</m:t>
        </m:r>
      </m:oMath>
      <w:r>
        <w:t xml:space="preserve"> </w:t>
      </w:r>
      <w:r>
        <w:t xml:space="preserve">mit,</w:t>
      </w:r>
      <w:r>
        <w:t xml:space="preserve"> </w:t>
      </w:r>
      <m:oMath>
        <m:r>
          <m:t>ϕ</m:t>
        </m:r>
        <m:r>
          <m:rPr>
            <m:sty m:val="p"/>
          </m:rPr>
          <m:t>=</m:t>
        </m:r>
        <m:r>
          <m:rPr>
            <m:nor/>
            <m:sty m:val="p"/>
          </m:rPr>
          <m:t>0,3</m:t>
        </m:r>
      </m:oMath>
      <w:r>
        <w:t xml:space="preserve"> </w:t>
      </w:r>
      <w:r>
        <w:t xml:space="preserve">ohne Rechtsdurchsetzung):</w:t>
      </w:r>
    </w:p>
    <w:p>
      <w:pPr>
        <w:pStyle w:val="BodyText"/>
      </w:pPr>
      <m:oMathPara>
        <m:oMathParaPr>
          <m:jc m:val="center"/>
        </m:oMathParaPr>
        <m:oMath>
          <m:sSub>
            <m:e>
              <m:r>
                <m:rPr>
                  <m:sty m:val="p"/>
                </m:rPr>
                <m:t>ℓ</m:t>
              </m:r>
            </m:e>
            <m:sub>
              <m:r>
                <m:t>f</m:t>
              </m:r>
              <m:r>
                <m:rPr>
                  <m:sty m:val="p"/>
                </m:rPr>
                <m:t>,</m:t>
              </m:r>
              <m:r>
                <m:t>t</m:t>
              </m:r>
            </m:sub>
          </m:sSub>
          <m:r>
            <m:rPr>
              <m:sty m:val="p"/>
            </m:rPr>
            <m:t>=</m:t>
          </m:r>
          <m:f>
            <m:fPr>
              <m:type m:val="bar"/>
            </m:fPr>
            <m:num>
              <m:sSub>
                <m:e>
                  <m:r>
                    <m:t>D</m:t>
                  </m:r>
                </m:e>
                <m:sub>
                  <m:r>
                    <m:t>f</m:t>
                  </m:r>
                  <m:r>
                    <m:rPr>
                      <m:sty m:val="p"/>
                    </m:rPr>
                    <m:t>,</m:t>
                  </m:r>
                  <m:r>
                    <m:t>t</m:t>
                  </m:r>
                </m:sub>
              </m:sSub>
              <m:r>
                <m:rPr>
                  <m:sty m:val="p"/>
                </m:rPr>
                <m:t>+</m:t>
              </m:r>
              <m:sSub>
                <m:e>
                  <m:r>
                    <m:t>Δ</m:t>
                  </m:r>
                </m:e>
                <m:sub>
                  <m:r>
                    <m:t>f</m:t>
                  </m:r>
                  <m:r>
                    <m:rPr>
                      <m:sty m:val="p"/>
                    </m:rPr>
                    <m:t>,</m:t>
                  </m:r>
                  <m:r>
                    <m:t>t</m:t>
                  </m:r>
                </m:sub>
              </m:sSub>
            </m:num>
            <m:den>
              <m:sSub>
                <m:e>
                  <m:r>
                    <m:t>M</m:t>
                  </m:r>
                </m:e>
                <m:sub>
                  <m:r>
                    <m:t>f</m:t>
                  </m:r>
                  <m:r>
                    <m:rPr>
                      <m:sty m:val="p"/>
                    </m:rPr>
                    <m:t>,</m:t>
                  </m:r>
                  <m:r>
                    <m:t>t</m:t>
                  </m:r>
                </m:sub>
              </m:sSub>
              <m:r>
                <m:rPr>
                  <m:sty m:val="p"/>
                </m:rPr>
                <m:t>+</m:t>
              </m:r>
              <m:sSub>
                <m:e>
                  <m:r>
                    <m:t>Δ</m:t>
                  </m:r>
                </m:e>
                <m:sub>
                  <m:r>
                    <m:t>f</m:t>
                  </m:r>
                  <m:r>
                    <m:rPr>
                      <m:sty m:val="p"/>
                    </m:rPr>
                    <m:t>,</m:t>
                  </m:r>
                  <m:r>
                    <m:t>t</m:t>
                  </m:r>
                </m:sub>
              </m:sSub>
              <m:r>
                <m:rPr>
                  <m:sty m:val="p"/>
                </m:rPr>
                <m:t>+</m:t>
              </m:r>
              <m:sSub>
                <m:e>
                  <m:r>
                    <m:t>p</m:t>
                  </m:r>
                </m:e>
                <m:sub>
                  <m:r>
                    <m:t>f</m:t>
                  </m:r>
                  <m:r>
                    <m:rPr>
                      <m:sty m:val="p"/>
                    </m:rPr>
                    <m:t>,</m:t>
                  </m:r>
                  <m:r>
                    <m:t>t</m:t>
                  </m:r>
                </m:sub>
              </m:sSub>
              <m:sSub>
                <m:e>
                  <m:r>
                    <m:t>I</m:t>
                  </m:r>
                </m:e>
                <m:sub>
                  <m:r>
                    <m:t>f</m:t>
                  </m:r>
                  <m:r>
                    <m:rPr>
                      <m:sty m:val="p"/>
                    </m:rPr>
                    <m:t>,</m:t>
                  </m:r>
                  <m:r>
                    <m:t>t</m:t>
                  </m:r>
                </m:sub>
              </m:sSub>
            </m:den>
          </m:f>
          <m:r>
            <m:rPr>
              <m:sty m:val="p"/>
            </m:rPr>
            <m:t>,</m:t>
          </m:r>
          <m:r>
            <m:t>  </m:t>
          </m:r>
          <m:sSub>
            <m:e>
              <m:r>
                <m:t>r</m:t>
              </m:r>
            </m:e>
            <m:sub>
              <m:r>
                <m:t>f</m:t>
              </m:r>
              <m:r>
                <m:rPr>
                  <m:sty m:val="p"/>
                </m:rPr>
                <m:t>,</m:t>
              </m:r>
              <m:r>
                <m:t>t</m:t>
              </m:r>
            </m:sub>
          </m:sSub>
          <m:r>
            <m:rPr>
              <m:sty m:val="p"/>
            </m:rPr>
            <m:t>=</m:t>
          </m:r>
          <m:sSub>
            <m:e>
              <m:r>
                <m:t>r</m:t>
              </m:r>
            </m:e>
            <m:sub>
              <m:r>
                <m:t>0</m:t>
              </m:r>
            </m:sub>
          </m:sSub>
          <m:r>
            <m:rPr>
              <m:sty m:val="p"/>
            </m:rPr>
            <m:t>+</m:t>
          </m:r>
          <m:sSub>
            <m:e>
              <m:r>
                <m:t>ρ</m:t>
              </m:r>
            </m:e>
            <m:sub>
              <m:r>
                <m:t>r</m:t>
              </m:r>
            </m:sub>
          </m:sSub>
          <m:r>
            <m:t> </m:t>
          </m:r>
          <m:sSub>
            <m:e>
              <m:r>
                <m:rPr>
                  <m:sty m:val="p"/>
                </m:rPr>
                <m:t>ℓ</m:t>
              </m:r>
            </m:e>
            <m:sub>
              <m:r>
                <m:t>f</m:t>
              </m:r>
              <m:r>
                <m:rPr>
                  <m:sty m:val="p"/>
                </m:rPr>
                <m:t>,</m:t>
              </m:r>
              <m:r>
                <m:t>t</m:t>
              </m:r>
            </m:sub>
          </m:sSub>
          <m:r>
            <m:t> </m:t>
          </m:r>
          <m:d>
            <m:dPr>
              <m:begChr m:val="("/>
              <m:endChr m:val=")"/>
              <m:sepChr m:val=""/>
              <m:grow/>
            </m:dPr>
            <m:e>
              <m:r>
                <m:t>2</m:t>
              </m:r>
              <m:r>
                <m:rPr>
                  <m:sty m:val="p"/>
                </m:rPr>
                <m:t>−</m:t>
              </m:r>
              <m:r>
                <m:t>ϕ</m:t>
              </m:r>
            </m:e>
          </m:d>
          <m:r>
            <m:rPr>
              <m:sty m:val="p"/>
            </m:rPr>
            <m:t>,</m:t>
          </m:r>
          <m:r>
            <m:t>  </m:t>
          </m:r>
          <m:r>
            <m:t>  </m:t>
          </m:r>
          <m:d>
            <m:dPr>
              <m:begChr m:val="("/>
              <m:endChr m:val=")"/>
              <m:sepChr m:val=""/>
              <m:grow/>
            </m:dPr>
            <m:e>
              <m:r>
                <m:t>13</m:t>
              </m:r>
            </m:e>
          </m:d>
        </m:oMath>
      </m:oMathPara>
    </w:p>
    <w:p>
      <w:pPr>
        <w:pStyle w:val="FirstParagraph"/>
      </w:pPr>
      <w:r>
        <w:t xml:space="preserve">mit Grundzins</w:t>
      </w:r>
      <w:r>
        <w:t xml:space="preserve"> </w:t>
      </w:r>
      <m:oMath>
        <m:sSub>
          <m:e>
            <m:r>
              <m:t>r</m:t>
            </m:r>
          </m:e>
          <m:sub>
            <m:r>
              <m:t>0</m:t>
            </m:r>
          </m:sub>
        </m:sSub>
        <m:r>
          <m:rPr>
            <m:sty m:val="p"/>
          </m:rPr>
          <m:t>=</m:t>
        </m:r>
        <m:r>
          <m:rPr>
            <m:nor/>
            <m:sty m:val="p"/>
          </m:rPr>
          <m:t>0,004</m:t>
        </m:r>
      </m:oMath>
      <w:r>
        <w:t xml:space="preserve"> </w:t>
      </w:r>
      <w:r>
        <w:t xml:space="preserve">(≈ 5 % p. a.) und Risikoaufschlag</w:t>
      </w:r>
      <w:r>
        <w:t xml:space="preserve"> </w:t>
      </w:r>
      <m:oMath>
        <m:sSub>
          <m:e>
            <m:r>
              <m:t>ρ</m:t>
            </m:r>
          </m:e>
          <m:sub>
            <m:r>
              <m:t>r</m:t>
            </m:r>
          </m:sub>
        </m:sSub>
        <m:r>
          <m:rPr>
            <m:sty m:val="p"/>
          </m:rPr>
          <m:t>=</m:t>
        </m:r>
        <m:r>
          <m:rPr>
            <m:nor/>
            <m:sty m:val="p"/>
          </m:rPr>
          <m:t>0,01</m:t>
        </m:r>
      </m:oMath>
      <w:r>
        <w:t xml:space="preserve">. Der Kredit wird gewährt, wenn gleichzeitig gilt:</w:t>
      </w:r>
    </w:p>
    <w:p>
      <w:pPr>
        <w:pStyle w:val="BodyText"/>
      </w:pPr>
      <m:oMathPara>
        <m:oMathParaPr>
          <m:jc m:val="center"/>
        </m:oMathParaPr>
        <m:oMath>
          <m:sSub>
            <m:e>
              <m:r>
                <m:rPr>
                  <m:sty m:val="p"/>
                </m:rPr>
                <m:t>ℓ</m:t>
              </m:r>
            </m:e>
            <m:sub>
              <m:r>
                <m:t>f</m:t>
              </m:r>
              <m:r>
                <m:rPr>
                  <m:sty m:val="p"/>
                </m:rPr>
                <m:t>,</m:t>
              </m:r>
              <m:r>
                <m:t>t</m:t>
              </m:r>
            </m:sub>
          </m:sSub>
          <m:r>
            <m:rPr>
              <m:sty m:val="p"/>
            </m:rPr>
            <m:t>≤</m:t>
          </m:r>
          <m:acc>
            <m:accPr>
              <m:chr m:val="‾"/>
            </m:accPr>
            <m:e>
              <m:r>
                <m:rPr>
                  <m:sty m:val="p"/>
                </m:rPr>
                <m:t>ℓ</m:t>
              </m:r>
            </m:e>
          </m:acc>
          <m:r>
            <m:rPr>
              <m:sty m:val="p"/>
            </m:rPr>
            <m:t>,</m:t>
          </m:r>
          <m:r>
            <m:t>  </m:t>
          </m:r>
          <m:sSub>
            <m:e>
              <m:r>
                <m:t>r</m:t>
              </m:r>
            </m:e>
            <m:sub>
              <m:r>
                <m:t>f</m:t>
              </m:r>
              <m:r>
                <m:rPr>
                  <m:sty m:val="p"/>
                </m:rPr>
                <m:t>,</m:t>
              </m:r>
              <m:r>
                <m:t>t</m:t>
              </m:r>
            </m:sub>
          </m:sSub>
          <m:r>
            <m:rPr>
              <m:sty m:val="p"/>
            </m:rPr>
            <m:t>≤</m:t>
          </m:r>
          <m:acc>
            <m:accPr>
              <m:chr m:val="‾"/>
            </m:accPr>
            <m:e>
              <m:r>
                <m:t>r</m:t>
              </m:r>
            </m:e>
          </m:acc>
          <m:r>
            <m:rPr>
              <m:sty m:val="p"/>
            </m:rPr>
            <m:t>,</m:t>
          </m:r>
          <m:r>
            <m:t>  </m:t>
          </m:r>
          <m:sSub>
            <m:e>
              <m:r>
                <m:t>L</m:t>
              </m:r>
            </m:e>
            <m:sub>
              <m:r>
                <m:t>t</m:t>
              </m:r>
            </m:sub>
          </m:sSub>
          <m:r>
            <m:rPr>
              <m:sty m:val="p"/>
            </m:rPr>
            <m:t>+</m:t>
          </m:r>
          <m:sSub>
            <m:e>
              <m:r>
                <m:t>Δ</m:t>
              </m:r>
            </m:e>
            <m:sub>
              <m:r>
                <m:t>f</m:t>
              </m:r>
              <m:r>
                <m:rPr>
                  <m:sty m:val="p"/>
                </m:rPr>
                <m:t>,</m:t>
              </m:r>
              <m:r>
                <m:t>t</m:t>
              </m:r>
            </m:sub>
          </m:sSub>
          <m:r>
            <m:rPr>
              <m:sty m:val="p"/>
            </m:rPr>
            <m:t>≤</m:t>
          </m:r>
          <m:f>
            <m:fPr>
              <m:type m:val="bar"/>
            </m:fPr>
            <m:num>
              <m:sSub>
                <m:e>
                  <m:r>
                    <m:t>E</m:t>
                  </m:r>
                </m:e>
                <m:sub>
                  <m:r>
                    <m:t>t</m:t>
                  </m:r>
                </m:sub>
              </m:sSub>
            </m:num>
            <m:den>
              <m:r>
                <m:t>k</m:t>
              </m:r>
            </m:den>
          </m:f>
          <m:r>
            <m:rPr>
              <m:sty m:val="p"/>
            </m:rPr>
            <m:t>,</m:t>
          </m:r>
          <m:r>
            <m:t>  </m:t>
          </m:r>
          <m:sSub>
            <m:e>
              <m:r>
                <m:t>D</m:t>
              </m:r>
            </m:e>
            <m:sub>
              <m:r>
                <m:t>f</m:t>
              </m:r>
              <m:r>
                <m:rPr>
                  <m:sty m:val="p"/>
                </m:rPr>
                <m:t>,</m:t>
              </m:r>
              <m:r>
                <m:t>t</m:t>
              </m:r>
            </m:sub>
          </m:sSub>
          <m:r>
            <m:rPr>
              <m:sty m:val="p"/>
            </m:rPr>
            <m:t>+</m:t>
          </m:r>
          <m:sSub>
            <m:e>
              <m:r>
                <m:t>Δ</m:t>
              </m:r>
            </m:e>
            <m:sub>
              <m:r>
                <m:t>f</m:t>
              </m:r>
              <m:r>
                <m:rPr>
                  <m:sty m:val="p"/>
                </m:rPr>
                <m:t>,</m:t>
              </m:r>
              <m:r>
                <m:t>t</m:t>
              </m:r>
            </m:sub>
          </m:sSub>
          <m:r>
            <m:rPr>
              <m:sty m:val="p"/>
            </m:rPr>
            <m:t>≤</m:t>
          </m:r>
          <m:r>
            <m:t>γ</m:t>
          </m:r>
          <m:r>
            <m:t> </m:t>
          </m:r>
          <m:sSub>
            <m:e>
              <m:r>
                <m:t>E</m:t>
              </m:r>
            </m:e>
            <m:sub>
              <m:r>
                <m:t>t</m:t>
              </m:r>
            </m:sub>
          </m:sSub>
          <m:r>
            <m:rPr>
              <m:sty m:val="p"/>
            </m:rPr>
            <m:t>,</m:t>
          </m:r>
          <m:r>
            <m:t>  </m:t>
          </m:r>
          <m:r>
            <m:t>  </m:t>
          </m:r>
          <m:d>
            <m:dPr>
              <m:begChr m:val="("/>
              <m:endChr m:val=")"/>
              <m:sepChr m:val=""/>
              <m:grow/>
            </m:dPr>
            <m:e>
              <m:r>
                <m:t>14</m:t>
              </m:r>
            </m:e>
          </m:d>
        </m:oMath>
      </m:oMathPara>
    </w:p>
    <w:p>
      <w:pPr>
        <w:pStyle w:val="FirstParagraph"/>
      </w:pPr>
      <w:r>
        <w:t xml:space="preserve">mit maximalem Verschuldungsgrad</w:t>
      </w:r>
      <w:r>
        <w:t xml:space="preserve"> </w:t>
      </w:r>
      <m:oMath>
        <m:acc>
          <m:accPr>
            <m:chr m:val="‾"/>
          </m:accPr>
          <m:e>
            <m:r>
              <m:rPr>
                <m:sty m:val="p"/>
              </m:rPr>
              <m:t>ℓ</m:t>
            </m:r>
          </m:e>
        </m:acc>
        <m:r>
          <m:rPr>
            <m:sty m:val="p"/>
          </m:rPr>
          <m:t>=</m:t>
        </m:r>
        <m:r>
          <m:rPr>
            <m:nor/>
            <m:sty m:val="p"/>
          </m:rPr>
          <m:t>0,7</m:t>
        </m:r>
      </m:oMath>
      <w:r>
        <w:t xml:space="preserve">, Zinsobergrenze</w:t>
      </w:r>
      <w:r>
        <w:t xml:space="preserve"> </w:t>
      </w:r>
      <m:oMath>
        <m:acc>
          <m:accPr>
            <m:chr m:val="‾"/>
          </m:accPr>
          <m:e>
            <m:r>
              <m:t>r</m:t>
            </m:r>
          </m:e>
        </m:acc>
      </m:oMath>
      <w:r>
        <w:t xml:space="preserve"> </w:t>
      </w:r>
      <w:r>
        <w:t xml:space="preserve">(nur C:</w:t>
      </w:r>
      <w:r>
        <w:t xml:space="preserve"> </w:t>
      </w:r>
      <m:oMath>
        <m:acc>
          <m:accPr>
            <m:chr m:val="‾"/>
          </m:accPr>
          <m:e>
            <m:r>
              <m:t>r</m:t>
            </m:r>
          </m:e>
        </m:acc>
        <m:r>
          <m:rPr>
            <m:sty m:val="p"/>
          </m:rPr>
          <m:t>=</m:t>
        </m:r>
        <m:r>
          <m:rPr>
            <m:nor/>
            <m:sty m:val="p"/>
          </m:rPr>
          <m:t>0,006</m:t>
        </m:r>
      </m:oMath>
      <w:r>
        <w:t xml:space="preserve">), Eigenkapitalanforderung</w:t>
      </w:r>
      <w:r>
        <w:t xml:space="preserve"> </w:t>
      </w:r>
      <m:oMath>
        <m:r>
          <m:t>k</m:t>
        </m:r>
      </m:oMath>
      <w:r>
        <w:t xml:space="preserve"> </w:t>
      </w:r>
      <w:r>
        <w:t xml:space="preserve">(A:</w:t>
      </w:r>
      <w:r>
        <w:t xml:space="preserve"> </w:t>
      </w:r>
      <m:oMath>
        <m:r>
          <m:rPr>
            <m:nor/>
            <m:sty m:val="p"/>
          </m:rPr>
          <m:t>0,02</m:t>
        </m:r>
      </m:oMath>
      <w:r>
        <w:t xml:space="preserve">, B/C:</w:t>
      </w:r>
      <w:r>
        <w:t xml:space="preserve"> </w:t>
      </w:r>
      <m:oMath>
        <m:r>
          <m:rPr>
            <m:nor/>
            <m:sty m:val="p"/>
          </m:rPr>
          <m:t>0,08</m:t>
        </m:r>
      </m:oMath>
      <w:r>
        <w:t xml:space="preserve">) und Großkreditgrenze</w:t>
      </w:r>
      <w:r>
        <w:t xml:space="preserve"> </w:t>
      </w:r>
      <m:oMath>
        <m:r>
          <m:t>γ</m:t>
        </m:r>
      </m:oMath>
      <w:r>
        <w:t xml:space="preserve"> </w:t>
      </w:r>
      <w:r>
        <w:t xml:space="preserve">(nur B/C:</w:t>
      </w:r>
      <w:r>
        <w:t xml:space="preserve"> </w:t>
      </w:r>
      <m:oMath>
        <m:r>
          <m:t>γ</m:t>
        </m:r>
        <m:r>
          <m:rPr>
            <m:sty m:val="p"/>
          </m:rPr>
          <m:t>=</m:t>
        </m:r>
        <m:r>
          <m:rPr>
            <m:nor/>
            <m:sty m:val="p"/>
          </m:rPr>
          <m:t>0,25</m:t>
        </m:r>
      </m:oMath>
      <w:r>
        <w:t xml:space="preserve">). Reicht die Kapazität nur teilweise, wird ein Teilbetrag gewährt.</w:t>
      </w:r>
    </w:p>
    <w:p>
      <w:pPr>
        <w:pStyle w:val="BodyText"/>
      </w:pPr>
      <w:r>
        <w:rPr>
          <w:bCs/>
          <w:b/>
        </w:rPr>
        <w:t xml:space="preserve">Schuldendienst.</w:t>
      </w:r>
      <w:r>
        <w:t xml:space="preserve"> </w:t>
      </w:r>
      <w:r>
        <w:t xml:space="preserve">Kredite werden über</w:t>
      </w:r>
      <w:r>
        <w:t xml:space="preserve"> </w:t>
      </w:r>
      <m:oMath>
        <m:r>
          <m:rPr>
            <m:sty m:val="p"/>
            <m:scr m:val="script"/>
          </m:rPr>
          <m:t>T</m:t>
        </m:r>
        <m:r>
          <m:rPr>
            <m:sty m:val="p"/>
          </m:rPr>
          <m:t>=</m:t>
        </m:r>
        <m:r>
          <m:t>24</m:t>
        </m:r>
      </m:oMath>
      <w:r>
        <w:t xml:space="preserve"> </w:t>
      </w:r>
      <w:r>
        <w:t xml:space="preserve">Perioden getilgt. Fällig sind</w:t>
      </w:r>
    </w:p>
    <w:p>
      <w:pPr>
        <w:pStyle w:val="BodyText"/>
      </w:pPr>
      <m:oMathPara>
        <m:oMathParaPr>
          <m:jc m:val="center"/>
        </m:oMathParaPr>
        <m:oMath>
          <m:sSub>
            <m:e>
              <m:r>
                <m:t>Z</m:t>
              </m:r>
            </m:e>
            <m:sub>
              <m:r>
                <m:t>f</m:t>
              </m:r>
              <m:r>
                <m:rPr>
                  <m:sty m:val="p"/>
                </m:rPr>
                <m:t>,</m:t>
              </m:r>
              <m:r>
                <m:t>t</m:t>
              </m:r>
            </m:sub>
          </m:sSub>
          <m:r>
            <m:rPr>
              <m:sty m:val="p"/>
            </m:rPr>
            <m:t>+</m:t>
          </m:r>
          <m:sSub>
            <m:e>
              <m:r>
                <m:t>Q</m:t>
              </m:r>
            </m:e>
            <m:sub>
              <m:r>
                <m:t>f</m:t>
              </m:r>
              <m:r>
                <m:rPr>
                  <m:sty m:val="p"/>
                </m:rPr>
                <m:t>,</m:t>
              </m:r>
              <m:r>
                <m:t>t</m:t>
              </m:r>
            </m:sub>
          </m:sSub>
          <m:r>
            <m:rPr>
              <m:sty m:val="p"/>
            </m:rPr>
            <m:t>=</m:t>
          </m:r>
          <m:sSub>
            <m:e>
              <m:r>
                <m:t>r</m:t>
              </m:r>
            </m:e>
            <m:sub>
              <m:r>
                <m:t>f</m:t>
              </m:r>
              <m:r>
                <m:rPr>
                  <m:sty m:val="p"/>
                </m:rPr>
                <m:t>,</m:t>
              </m:r>
              <m:r>
                <m:t>t</m:t>
              </m:r>
            </m:sub>
          </m:sSub>
          <m:sSub>
            <m:e>
              <m:r>
                <m:t>D</m:t>
              </m:r>
            </m:e>
            <m:sub>
              <m:r>
                <m:t>f</m:t>
              </m:r>
              <m:r>
                <m:rPr>
                  <m:sty m:val="p"/>
                </m:rPr>
                <m:t>,</m:t>
              </m:r>
              <m:r>
                <m:t>t</m:t>
              </m:r>
            </m:sub>
          </m:sSub>
          <m:r>
            <m:rPr>
              <m:sty m:val="p"/>
            </m:rPr>
            <m:t>+</m:t>
          </m:r>
          <m:f>
            <m:fPr>
              <m:type m:val="bar"/>
            </m:fPr>
            <m:num>
              <m:sSub>
                <m:e>
                  <m:r>
                    <m:t>D</m:t>
                  </m:r>
                </m:e>
                <m:sub>
                  <m:r>
                    <m:t>f</m:t>
                  </m:r>
                  <m:r>
                    <m:rPr>
                      <m:sty m:val="p"/>
                    </m:rPr>
                    <m:t>,</m:t>
                  </m:r>
                  <m:r>
                    <m:t>t</m:t>
                  </m:r>
                </m:sub>
              </m:sSub>
            </m:num>
            <m:den>
              <m:r>
                <m:rPr>
                  <m:sty m:val="p"/>
                  <m:scr m:val="script"/>
                </m:rPr>
                <m:t>T</m:t>
              </m:r>
            </m:den>
          </m:f>
          <m:r>
            <m:rPr>
              <m:sty m:val="p"/>
            </m:rPr>
            <m:t>,</m:t>
          </m:r>
          <m:r>
            <m:t>  </m:t>
          </m:r>
          <m:r>
            <m:t>  </m:t>
          </m:r>
          <m:d>
            <m:dPr>
              <m:begChr m:val="("/>
              <m:endChr m:val=")"/>
              <m:sepChr m:val=""/>
              <m:grow/>
            </m:dPr>
            <m:e>
              <m:r>
                <m:t>15</m:t>
              </m:r>
            </m:e>
          </m:d>
        </m:oMath>
      </m:oMathPara>
    </w:p>
    <w:p>
      <w:pPr>
        <w:pStyle w:val="FirstParagraph"/>
      </w:pPr>
      <w:r>
        <w:t xml:space="preserve">mit Zins</w:t>
      </w:r>
      <w:r>
        <w:t xml:space="preserve"> </w:t>
      </w:r>
      <m:oMath>
        <m:sSub>
          <m:e>
            <m:r>
              <m:t>Z</m:t>
            </m:r>
          </m:e>
          <m:sub>
            <m:r>
              <m:t>f</m:t>
            </m:r>
            <m:r>
              <m:rPr>
                <m:sty m:val="p"/>
              </m:rPr>
              <m:t>,</m:t>
            </m:r>
            <m:r>
              <m:t>t</m:t>
            </m:r>
          </m:sub>
        </m:sSub>
      </m:oMath>
      <w:r>
        <w:t xml:space="preserve"> </w:t>
      </w:r>
      <w:r>
        <w:t xml:space="preserve">und Tilgung</w:t>
      </w:r>
      <w:r>
        <w:t xml:space="preserve"> </w:t>
      </w:r>
      <m:oMath>
        <m:sSub>
          <m:e>
            <m:r>
              <m:t>Q</m:t>
            </m:r>
          </m:e>
          <m:sub>
            <m:r>
              <m:t>f</m:t>
            </m:r>
            <m:r>
              <m:rPr>
                <m:sty m:val="p"/>
              </m:rPr>
              <m:t>,</m:t>
            </m:r>
            <m:r>
              <m:t>t</m:t>
            </m:r>
          </m:sub>
        </m:sSub>
      </m:oMath>
      <w:r>
        <w:t xml:space="preserve">.</w:t>
      </w:r>
    </w:p>
    <w:p>
      <w:pPr>
        <w:pStyle w:val="BodyText"/>
      </w:pPr>
      <w:r>
        <w:t xml:space="preserve">Bei Insolvenz verwertet die Bank den Anteil</w:t>
      </w:r>
      <w:r>
        <w:t xml:space="preserve"> </w:t>
      </w:r>
      <m:oMath>
        <m:r>
          <m:t>ϕ</m:t>
        </m:r>
      </m:oMath>
      <w:r>
        <w:t xml:space="preserve"> </w:t>
      </w:r>
      <w:r>
        <w:t xml:space="preserve">der Kasse; der Rest der Forderung wird abgeschrieben (</w:t>
      </w:r>
      <m:oMath>
        <m:sSub>
          <m:e>
            <m:r>
              <m:t>Ω</m:t>
            </m:r>
          </m:e>
          <m:sub>
            <m:r>
              <m:t>t</m:t>
            </m:r>
          </m:sub>
        </m:sSub>
      </m:oMath>
      <w:r>
        <w:t xml:space="preserve">).</w:t>
      </w:r>
    </w:p>
    <w:p>
      <w:pPr>
        <w:pStyle w:val="BodyText"/>
      </w:pPr>
      <w:r>
        <w:rPr>
          <w:bCs/>
          <w:b/>
        </w:rPr>
        <w:t xml:space="preserve">Geldschöpfung und Bilanzidentität.</w:t>
      </w:r>
      <w:r>
        <w:t xml:space="preserve"> </w:t>
      </w:r>
      <w:r>
        <w:t xml:space="preserve">Kredite schaffen Buchgeld, Tilgungen vernichten es. Bezeichnet</w:t>
      </w:r>
      <w:r>
        <w:t xml:space="preserve"> </w:t>
      </w:r>
      <m:oMath>
        <m:sSub>
          <m:e>
            <m:r>
              <m:t>M</m:t>
            </m:r>
          </m:e>
          <m:sub>
            <m:r>
              <m:t>t</m:t>
            </m:r>
          </m:sub>
        </m:sSub>
        <m:r>
          <m:rPr>
            <m:sty m:val="p"/>
          </m:rPr>
          <m:t>=</m:t>
        </m:r>
        <m:nary>
          <m:naryPr>
            <m:chr m:val="∑"/>
            <m:limLoc m:val="undOvr"/>
            <m:subHide m:val="off"/>
            <m:supHide m:val="on"/>
          </m:naryPr>
          <m:sub>
            <m:r>
              <m:t>h</m:t>
            </m:r>
          </m:sub>
          <m:sup>
            <m:r>
              <m:t>​</m:t>
            </m:r>
          </m:sup>
          <m:e>
            <m:sSub>
              <m:e>
                <m:r>
                  <m:t>M</m:t>
                </m:r>
              </m:e>
              <m:sub>
                <m:r>
                  <m:t>h</m:t>
                </m:r>
                <m:r>
                  <m:rPr>
                    <m:sty m:val="p"/>
                  </m:rPr>
                  <m:t>,</m:t>
                </m:r>
                <m:r>
                  <m:t>t</m:t>
                </m:r>
              </m:sub>
            </m:sSub>
          </m:e>
        </m:nary>
        <m:r>
          <m:rPr>
            <m:sty m:val="p"/>
          </m:rPr>
          <m:t>+</m:t>
        </m:r>
        <m:nary>
          <m:naryPr>
            <m:chr m:val="∑"/>
            <m:limLoc m:val="undOvr"/>
            <m:subHide m:val="off"/>
            <m:supHide m:val="on"/>
          </m:naryPr>
          <m:sub>
            <m:r>
              <m:t>f</m:t>
            </m:r>
          </m:sub>
          <m:sup>
            <m:r>
              <m:t>​</m:t>
            </m:r>
          </m:sup>
          <m:e>
            <m:sSub>
              <m:e>
                <m:r>
                  <m:t>M</m:t>
                </m:r>
              </m:e>
              <m:sub>
                <m:r>
                  <m:t>f</m:t>
                </m:r>
                <m:r>
                  <m:rPr>
                    <m:sty m:val="p"/>
                  </m:rPr>
                  <m:t>,</m:t>
                </m:r>
                <m:r>
                  <m:t>t</m:t>
                </m:r>
              </m:sub>
            </m:sSub>
          </m:e>
        </m:nary>
        <m:r>
          <m:rPr>
            <m:sty m:val="p"/>
          </m:rPr>
          <m:t>+</m:t>
        </m:r>
        <m:sSub>
          <m:e>
            <m:r>
              <m:t>G</m:t>
            </m:r>
          </m:e>
          <m:sub>
            <m:r>
              <m:t>t</m:t>
            </m:r>
          </m:sub>
        </m:sSub>
      </m:oMath>
      <w:r>
        <w:t xml:space="preserve"> </w:t>
      </w:r>
      <w:r>
        <w:t xml:space="preserve">die gesamte Geldmenge (Einlagen) und</w:t>
      </w:r>
      <w:r>
        <w:t xml:space="preserve"> </w:t>
      </w:r>
      <m:oMath>
        <m:r>
          <m:t>R</m:t>
        </m:r>
      </m:oMath>
      <w:r>
        <w:t xml:space="preserve"> </w:t>
      </w:r>
      <w:r>
        <w:t xml:space="preserve">die konstanten Reserven der Bank, gilt in jeder Periode</w:t>
      </w:r>
    </w:p>
    <w:p>
      <w:pPr>
        <w:pStyle w:val="BodyText"/>
      </w:pPr>
      <m:oMathPara>
        <m:oMathParaPr>
          <m:jc m:val="center"/>
        </m:oMathParaPr>
        <m:oMath>
          <m:sSub>
            <m:e>
              <m:r>
                <m:t>E</m:t>
              </m:r>
            </m:e>
            <m:sub>
              <m:r>
                <m:t>t</m:t>
              </m:r>
            </m:sub>
          </m:sSub>
          <m:r>
            <m:rPr>
              <m:sty m:val="p"/>
            </m:rPr>
            <m:t>=</m:t>
          </m:r>
          <m:r>
            <m:t>R</m:t>
          </m:r>
          <m:r>
            <m:rPr>
              <m:sty m:val="p"/>
            </m:rPr>
            <m:t>+</m:t>
          </m:r>
          <m:sSub>
            <m:e>
              <m:r>
                <m:t>L</m:t>
              </m:r>
            </m:e>
            <m:sub>
              <m:r>
                <m:t>t</m:t>
              </m:r>
            </m:sub>
          </m:sSub>
          <m:r>
            <m:rPr>
              <m:sty m:val="p"/>
            </m:rPr>
            <m:t>−</m:t>
          </m:r>
          <m:sSub>
            <m:e>
              <m:r>
                <m:t>M</m:t>
              </m:r>
            </m:e>
            <m:sub>
              <m:r>
                <m:t>t</m:t>
              </m:r>
            </m:sub>
          </m:sSub>
          <m:r>
            <m:rPr>
              <m:sty m:val="p"/>
            </m:rPr>
            <m:t>,</m:t>
          </m:r>
          <m:r>
            <m:t>  </m:t>
          </m:r>
          <m:r>
            <m:t>  </m:t>
          </m:r>
          <m:d>
            <m:dPr>
              <m:begChr m:val="("/>
              <m:endChr m:val=")"/>
              <m:sepChr m:val=""/>
              <m:grow/>
            </m:dPr>
            <m:e>
              <m:r>
                <m:t>16</m:t>
              </m:r>
            </m:e>
          </m:d>
        </m:oMath>
      </m:oMathPara>
    </w:p>
    <w:p>
      <w:pPr>
        <w:pStyle w:val="FirstParagraph"/>
      </w:pPr>
      <w:r>
        <w:t xml:space="preserve">und das Eigenkapital entwickelt sich gemäß</w:t>
      </w:r>
    </w:p>
    <w:p>
      <w:pPr>
        <w:pStyle w:val="BodyText"/>
      </w:pPr>
      <m:oMathPara>
        <m:oMathParaPr>
          <m:jc m:val="center"/>
        </m:oMathParaPr>
        <m:oMath>
          <m:sSub>
            <m:e>
              <m:r>
                <m:t>E</m:t>
              </m:r>
            </m:e>
            <m:sub>
              <m:r>
                <m:t>t</m:t>
              </m:r>
            </m:sub>
          </m:sSub>
          <m:r>
            <m:rPr>
              <m:sty m:val="p"/>
            </m:rPr>
            <m:t>=</m:t>
          </m:r>
          <m:sSub>
            <m:e>
              <m:r>
                <m:t>E</m:t>
              </m:r>
            </m:e>
            <m:sub>
              <m:r>
                <m:t>t</m:t>
              </m:r>
              <m:r>
                <m:rPr>
                  <m:sty m:val="p"/>
                </m:rPr>
                <m:t>−</m:t>
              </m:r>
              <m:r>
                <m:t>1</m:t>
              </m:r>
            </m:sub>
          </m:sSub>
          <m:r>
            <m:rPr>
              <m:sty m:val="p"/>
            </m:rPr>
            <m:t>+</m:t>
          </m:r>
          <m:nary>
            <m:naryPr>
              <m:chr m:val="∑"/>
              <m:limLoc m:val="undOvr"/>
              <m:subHide m:val="off"/>
              <m:supHide m:val="on"/>
            </m:naryPr>
            <m:sub>
              <m:r>
                <m:t>f</m:t>
              </m:r>
            </m:sub>
            <m:sup>
              <m:r>
                <m:t>​</m:t>
              </m:r>
            </m:sup>
            <m:e>
              <m:sSub>
                <m:e>
                  <m:r>
                    <m:t>Z</m:t>
                  </m:r>
                </m:e>
                <m:sub>
                  <m:r>
                    <m:t>f</m:t>
                  </m:r>
                  <m:r>
                    <m:rPr>
                      <m:sty m:val="p"/>
                    </m:rPr>
                    <m:t>,</m:t>
                  </m:r>
                  <m:r>
                    <m:t>t</m:t>
                  </m:r>
                </m:sub>
              </m:sSub>
            </m:e>
          </m:nary>
          <m:r>
            <m:rPr>
              <m:sty m:val="p"/>
            </m:rPr>
            <m:t>−</m:t>
          </m:r>
          <m:sSub>
            <m:e>
              <m:r>
                <m:t>Ω</m:t>
              </m:r>
            </m:e>
            <m:sub>
              <m:r>
                <m:t>t</m:t>
              </m:r>
            </m:sub>
          </m:sSub>
          <m:r>
            <m:rPr>
              <m:sty m:val="p"/>
            </m:rPr>
            <m:t>−</m:t>
          </m:r>
          <m:sSubSup>
            <m:e>
              <m:r>
                <m:rPr>
                  <m:nor/>
                  <m:sty m:val="p"/>
                </m:rPr>
                <m:t>Div</m:t>
              </m:r>
            </m:e>
            <m:sub>
              <m:r>
                <m:t>t</m:t>
              </m:r>
            </m:sub>
            <m:sup>
              <m:r>
                <m:t>B</m:t>
              </m:r>
            </m:sup>
          </m:sSubSup>
          <m:r>
            <m:rPr>
              <m:sty m:val="p"/>
            </m:rPr>
            <m:t>+</m:t>
          </m:r>
          <m:sSub>
            <m:e>
              <m:r>
                <m:t>K</m:t>
              </m:r>
            </m:e>
            <m:sub>
              <m:r>
                <m:t>t</m:t>
              </m:r>
            </m:sub>
          </m:sSub>
          <m:r>
            <m:rPr>
              <m:sty m:val="p"/>
            </m:rPr>
            <m:t>,</m:t>
          </m:r>
          <m:r>
            <m:t>  </m:t>
          </m:r>
          <m:r>
            <m:t>  </m:t>
          </m:r>
          <m:d>
            <m:dPr>
              <m:begChr m:val="("/>
              <m:endChr m:val=")"/>
              <m:sepChr m:val=""/>
              <m:grow/>
            </m:dPr>
            <m:e>
              <m:r>
                <m:t>17</m:t>
              </m:r>
            </m:e>
          </m:d>
        </m:oMath>
      </m:oMathPara>
    </w:p>
    <w:p>
      <w:pPr>
        <w:pStyle w:val="FirstParagraph"/>
      </w:pPr>
      <w:r>
        <w:t xml:space="preserve">mit Bankdividenden</w:t>
      </w:r>
      <w:r>
        <w:t xml:space="preserve"> </w:t>
      </w:r>
      <m:oMath>
        <m:sSubSup>
          <m:e>
            <m:r>
              <m:rPr>
                <m:nor/>
                <m:sty m:val="p"/>
              </m:rPr>
              <m:t>Div</m:t>
            </m:r>
          </m:e>
          <m:sub>
            <m:r>
              <m:t>t</m:t>
            </m:r>
          </m:sub>
          <m:sup>
            <m:r>
              <m:t>B</m:t>
            </m:r>
          </m:sup>
        </m:sSubSup>
      </m:oMath>
      <w:r>
        <w:t xml:space="preserve"> </w:t>
      </w:r>
      <w:r>
        <w:t xml:space="preserve">und Kapitalzuführungen</w:t>
      </w:r>
      <w:r>
        <w:t xml:space="preserve"> </w:t>
      </w:r>
      <m:oMath>
        <m:sSub>
          <m:e>
            <m:r>
              <m:t>K</m:t>
            </m:r>
          </m:e>
          <m:sub>
            <m:r>
              <m:t>t</m:t>
            </m:r>
          </m:sub>
        </m:sSub>
      </m:oMath>
      <w:r>
        <w:t xml:space="preserve">. Die Simulation prüft (16) in jeder Periode numerisch; die Abweichung ist in allen Läufen exakt null. Sinkt das Eigenkapital unter das Doppelte der Anforderung, schießen die Eigentümer (10 % der Haushalte) bis zu 10 % ihres Geldes je Periode nach. Wird es negativ, rekapitalisiert in B und C der Staat die Bank (Einlagensicherung); reicht das nicht oder fehlt die Einlagensicherung (A), tragen die Einleger den Verlust durch eine anteilige Kürzung ihrer Guthaben (Bail-in).</w:t>
      </w:r>
    </w:p>
    <w:bookmarkEnd w:id="27"/>
    <w:bookmarkStart w:id="28" w:name="institutionelle-regime"/>
    <w:p>
      <w:pPr>
        <w:pStyle w:val="Heading2"/>
      </w:pPr>
      <w:r>
        <w:rPr>
          <w:rStyle w:val="SectionNumber"/>
        </w:rPr>
        <w:t xml:space="preserve">3.7</w:t>
      </w:r>
      <w:r>
        <w:tab/>
      </w:r>
      <w:r>
        <w:t xml:space="preserve">Institutionelle Regime</w:t>
      </w:r>
    </w:p>
    <w:p>
      <w:pPr>
        <w:pStyle w:val="FirstParagraph"/>
      </w:pPr>
      <w:r>
        <w:t xml:space="preserve">Tabelle 2 zeigt, worin sich die Regime unterscheiden. Alle übrigen Parameter, die Startpopulation und der externe Schock sind identisch.</w:t>
      </w:r>
    </w:p>
    <w:p>
      <w:pPr>
        <w:pStyle w:val="TableCaption"/>
      </w:pPr>
      <w:r>
        <w:t xml:space="preserve">Tabelle 2: Institutionelle Parameter der Regime</w:t>
      </w:r>
    </w:p>
    <w:tbl>
      <w:tblPr>
        <w:tblStyle w:val="Table"/>
        <w:tblW w:type="pct" w:w="5000"/>
        <w:jc w:val="center"/>
        <w:tblLook w:firstRow="1" w:lastRow="0" w:firstColumn="0" w:lastColumn="0" w:noHBand="0" w:noVBand="0" w:val="0020"/>
        <w:tblCaption w:val="Tabelle 2: Institutionelle Parameter der Regime"/>
      </w:tblPr>
      <w:tblGrid>
        <w:gridCol w:w="3240"/>
        <w:gridCol w:w="1170"/>
        <w:gridCol w:w="1170"/>
        <w:gridCol w:w="1170"/>
        <w:gridCol w:w="1170"/>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Institution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(ohne Recht)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 Regelrahmen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w:t>
            </w:r>
          </w:p>
        </w:tc>
      </w:tr>
      <w:tr>
        <w:tc>
          <w:tcPr/>
          <w:p>
            <w:pPr>
              <w:pStyle w:val="Compact"/>
              <w:spacing w:after="20" w:before="20"/>
              <w:jc w:val="left"/>
            </w:pPr>
            <w:r>
              <w:rPr>
                <w:sz w:val="18"/>
              </w:rPr>
              <w:t xml:space="preserve">Vertragsdurchsetzung (</w:t>
            </w:r>
            <m:oMath>
              <m:r>
                <m:t>e</m:t>
              </m:r>
            </m:oMath>
            <w:r>
              <w:rPr>
                <w:sz w:val="18"/>
              </w:rPr>
              <w:t xml:space="preserve">,</w:t>
            </w:r>
            <w:r>
              <w:rPr>
                <w:sz w:val="18"/>
              </w:rPr>
              <w:t xml:space="preserve"> </w:t>
            </w:r>
            <m:oMath>
              <m:r>
                <m:t>ϕ</m:t>
              </m:r>
            </m:oMath>
            <w:r>
              <w:rPr>
                <w:sz w:val="18"/>
              </w:rPr>
              <w:t xml:space="preserve">)</w:t>
            </w:r>
          </w:p>
        </w:tc>
        <w:tc>
          <w:tcPr/>
          <w:p>
            <w:pPr>
              <w:pStyle w:val="Compact"/>
              <w:spacing w:after="20" w:before="20"/>
              <w:jc w:val="center"/>
            </w:pPr>
            <w:r>
              <w:rPr>
                <w:sz w:val="18"/>
              </w:rPr>
              <w:t xml:space="preserve">nein</w:t>
            </w:r>
          </w:p>
        </w:tc>
        <w:tc>
          <w:tcPr/>
          <w:p>
            <w:pPr>
              <w:pStyle w:val="Compact"/>
              <w:spacing w:after="20" w:before="20"/>
              <w:jc w:val="center"/>
            </w:pPr>
            <w:r>
              <w:rPr>
                <w:sz w:val="18"/>
              </w:rPr>
              <w:t xml:space="preserve">ja</w:t>
            </w:r>
          </w:p>
        </w:tc>
        <w:tc>
          <w:tcPr/>
          <w:p>
            <w:pPr>
              <w:pStyle w:val="Compact"/>
              <w:spacing w:after="20" w:before="20"/>
              <w:jc w:val="center"/>
            </w:pPr>
            <w:r>
              <w:rPr>
                <w:sz w:val="18"/>
              </w:rPr>
              <w:t xml:space="preserve">ja</w:t>
            </w:r>
          </w:p>
        </w:tc>
        <w:tc>
          <w:tcPr/>
          <w:p>
            <w:pPr>
              <w:pStyle w:val="Compact"/>
              <w:spacing w:after="20" w:before="20"/>
              <w:jc w:val="center"/>
            </w:pPr>
            <w:r>
              <w:rPr>
                <w:sz w:val="18"/>
              </w:rPr>
              <w:t xml:space="preserve">ja</w:t>
            </w:r>
          </w:p>
        </w:tc>
      </w:tr>
      <w:tr>
        <w:tc>
          <w:tcPr>
            <w:shd w:val="clear" w:color="auto" w:fill="F7F8FA"/>
          </w:tcPr>
          <w:p>
            <w:pPr>
              <w:pStyle w:val="Compact"/>
              <w:spacing w:after="20" w:before="20"/>
              <w:jc w:val="left"/>
            </w:pPr>
            <w:r>
              <w:rPr>
                <w:sz w:val="18"/>
              </w:rPr>
              <w:t xml:space="preserve">Wettbewerbsaufsicht (</w:t>
            </w:r>
            <m:oMath>
              <m:r>
                <m:t>κ</m:t>
              </m:r>
              <m:r>
                <m:rPr>
                  <m:sty m:val="p"/>
                </m:rPr>
                <m:t>=</m:t>
              </m:r>
              <m:r>
                <m:t>0</m:t>
              </m:r>
            </m:oMath>
            <w:r>
              <w:rPr>
                <w:sz w:val="18"/>
              </w:rPr>
              <w:t xml:space="preserve">,</w:t>
            </w:r>
            <w:r>
              <w:rPr>
                <w:sz w:val="18"/>
              </w:rPr>
              <w:t xml:space="preserve"> </w:t>
            </w:r>
            <m:oMath>
              <m:r>
                <m:t>q</m:t>
              </m:r>
              <m:r>
                <m:rPr>
                  <m:sty m:val="p"/>
                </m:rPr>
                <m:t>=</m:t>
              </m:r>
              <m:r>
                <m:t>1</m:t>
              </m:r>
            </m:oMath>
            <w:r>
              <w:rPr>
                <w:sz w:val="18"/>
              </w:rPr>
              <w:t xml:space="preserve">)</w:t>
            </w:r>
          </w:p>
        </w:tc>
        <w:tc>
          <w:tcPr>
            <w:shd w:val="clear" w:color="auto" w:fill="F7F8FA"/>
          </w:tcPr>
          <w:p>
            <w:pPr>
              <w:pStyle w:val="Compact"/>
              <w:spacing w:after="20" w:before="20"/>
              <w:jc w:val="center"/>
            </w:pPr>
            <w:r>
              <w:rPr>
                <w:sz w:val="18"/>
              </w:rPr>
              <w:t xml:space="preserve">nein</w:t>
            </w:r>
          </w:p>
        </w:tc>
        <w:tc>
          <w:tcPr>
            <w:shd w:val="clear" w:color="auto" w:fill="F7F8FA"/>
          </w:tcPr>
          <w:p>
            <w:pPr>
              <w:pStyle w:val="Compact"/>
              <w:spacing w:after="20" w:before="20"/>
              <w:jc w:val="center"/>
            </w:pPr>
            <w:r>
              <w:rPr>
                <w:sz w:val="18"/>
              </w:rPr>
              <w:t xml:space="preserve">nein</w:t>
            </w:r>
          </w:p>
        </w:tc>
        <w:tc>
          <w:tcPr>
            <w:shd w:val="clear" w:color="auto" w:fill="F7F8FA"/>
          </w:tcPr>
          <w:p>
            <w:pPr>
              <w:pStyle w:val="Compact"/>
              <w:spacing w:after="20" w:before="20"/>
              <w:jc w:val="center"/>
            </w:pPr>
            <w:r>
              <w:rPr>
                <w:sz w:val="18"/>
              </w:rPr>
              <w:t xml:space="preserve">ja</w:t>
            </w:r>
          </w:p>
        </w:tc>
        <w:tc>
          <w:tcPr>
            <w:shd w:val="clear" w:color="auto" w:fill="F7F8FA"/>
          </w:tcPr>
          <w:p>
            <w:pPr>
              <w:pStyle w:val="Compact"/>
              <w:spacing w:after="20" w:before="20"/>
              <w:jc w:val="center"/>
            </w:pPr>
            <w:r>
              <w:rPr>
                <w:sz w:val="18"/>
              </w:rPr>
              <w:t xml:space="preserve">ja</w:t>
            </w:r>
          </w:p>
        </w:tc>
      </w:tr>
      <w:tr>
        <w:tc>
          <w:tcPr/>
          <w:p>
            <w:pPr>
              <w:pStyle w:val="Compact"/>
              <w:spacing w:after="20" w:before="20"/>
              <w:jc w:val="left"/>
            </w:pPr>
            <w:r>
              <w:rPr>
                <w:sz w:val="18"/>
              </w:rPr>
              <w:t xml:space="preserve">Steuersatz</w:t>
            </w:r>
            <w:r>
              <w:rPr>
                <w:sz w:val="18"/>
              </w:rPr>
              <w:t xml:space="preserve"> </w:t>
            </w:r>
            <m:oMath>
              <m:r>
                <m:t>τ</m:t>
              </m:r>
            </m:oMath>
          </w:p>
        </w:tc>
        <w:tc>
          <w:tcPr/>
          <w:p>
            <w:pPr>
              <w:pStyle w:val="Compact"/>
              <w:spacing w:after="20" w:before="20"/>
              <w:jc w:val="center"/>
            </w:pPr>
            <w:r>
              <w:rPr>
                <w:sz w:val="18"/>
              </w:rPr>
              <w:t xml:space="preserve">0</w:t>
            </w:r>
          </w:p>
        </w:tc>
        <w:tc>
          <w:tcPr/>
          <w:p>
            <w:pPr>
              <w:pStyle w:val="Compact"/>
              <w:spacing w:after="20" w:before="20"/>
              <w:jc w:val="center"/>
            </w:pPr>
            <w:r>
              <w:rPr>
                <w:sz w:val="18"/>
              </w:rPr>
              <w:t xml:space="preserve">0</w:t>
            </w:r>
          </w:p>
        </w:tc>
        <w:tc>
          <w:tcPr/>
          <w:p>
            <w:pPr>
              <w:pStyle w:val="Compact"/>
              <w:spacing w:after="20" w:before="20"/>
              <w:jc w:val="center"/>
            </w:pPr>
            <w:r>
              <w:rPr>
                <w:sz w:val="18"/>
              </w:rPr>
              <w:t xml:space="preserve">0,2</w:t>
            </w:r>
          </w:p>
        </w:tc>
        <w:tc>
          <w:tcPr/>
          <w:p>
            <w:pPr>
              <w:pStyle w:val="Compact"/>
              <w:spacing w:after="20" w:before="20"/>
              <w:jc w:val="center"/>
            </w:pPr>
            <w:r>
              <w:rPr>
                <w:sz w:val="18"/>
              </w:rPr>
              <w:t xml:space="preserve">0,2</w:t>
            </w:r>
          </w:p>
        </w:tc>
      </w:tr>
      <w:tr>
        <w:tc>
          <w:tcPr>
            <w:shd w:val="clear" w:color="auto" w:fill="F7F8FA"/>
          </w:tcPr>
          <w:p>
            <w:pPr>
              <w:pStyle w:val="Compact"/>
              <w:spacing w:after="20" w:before="20"/>
              <w:jc w:val="left"/>
            </w:pPr>
            <w:r>
              <w:rPr>
                <w:sz w:val="18"/>
              </w:rPr>
              <w:t xml:space="preserve">Arbeitslosengeld</w:t>
            </w:r>
            <w:r>
              <w:rPr>
                <w:sz w:val="18"/>
              </w:rPr>
              <w:t xml:space="preserve"> </w:t>
            </w:r>
            <m:oMath>
              <m:r>
                <m:t>ρ</m:t>
              </m:r>
            </m:oMath>
          </w:p>
        </w:tc>
        <w:tc>
          <w:tcPr>
            <w:shd w:val="clear" w:color="auto" w:fill="F7F8FA"/>
          </w:tcPr>
          <w:p>
            <w:pPr>
              <w:pStyle w:val="Compact"/>
              <w:spacing w:after="20" w:before="20"/>
              <w:jc w:val="center"/>
            </w:pPr>
            <w:r>
              <w:rPr>
                <w:sz w:val="18"/>
              </w:rPr>
              <w:t xml:space="preserve">0</w:t>
            </w:r>
          </w:p>
        </w:tc>
        <w:tc>
          <w:tcPr>
            <w:shd w:val="clear" w:color="auto" w:fill="F7F8FA"/>
          </w:tcPr>
          <w:p>
            <w:pPr>
              <w:pStyle w:val="Compact"/>
              <w:spacing w:after="20" w:before="20"/>
              <w:jc w:val="center"/>
            </w:pPr>
            <w:r>
              <w:rPr>
                <w:sz w:val="18"/>
              </w:rPr>
              <w:t xml:space="preserve">0</w:t>
            </w:r>
          </w:p>
        </w:tc>
        <w:tc>
          <w:tcPr>
            <w:shd w:val="clear" w:color="auto" w:fill="F7F8FA"/>
          </w:tcPr>
          <w:p>
            <w:pPr>
              <w:pStyle w:val="Compact"/>
              <w:spacing w:after="20" w:before="20"/>
              <w:jc w:val="center"/>
            </w:pPr>
            <w:r>
              <w:rPr>
                <w:sz w:val="18"/>
              </w:rPr>
              <w:t xml:space="preserve">0,5</w:t>
            </w:r>
          </w:p>
        </w:tc>
        <w:tc>
          <w:tcPr>
            <w:shd w:val="clear" w:color="auto" w:fill="F7F8FA"/>
          </w:tcPr>
          <w:p>
            <w:pPr>
              <w:pStyle w:val="Compact"/>
              <w:spacing w:after="20" w:before="20"/>
              <w:jc w:val="center"/>
            </w:pPr>
            <w:r>
              <w:rPr>
                <w:sz w:val="18"/>
              </w:rPr>
              <w:t xml:space="preserve">0,5</w:t>
            </w:r>
          </w:p>
        </w:tc>
      </w:tr>
      <w:tr>
        <w:tc>
          <w:tcPr/>
          <w:p>
            <w:pPr>
              <w:pStyle w:val="Compact"/>
              <w:spacing w:after="20" w:before="20"/>
              <w:jc w:val="left"/>
            </w:pPr>
            <w:r>
              <w:rPr>
                <w:sz w:val="18"/>
              </w:rPr>
              <w:t xml:space="preserve">Staatsbeschäftigte</w:t>
            </w:r>
            <w:r>
              <w:rPr>
                <w:sz w:val="18"/>
              </w:rPr>
              <w:t xml:space="preserve"> </w:t>
            </w:r>
            <m:oMath>
              <m:r>
                <m:t>g</m:t>
              </m:r>
            </m:oMath>
          </w:p>
        </w:tc>
        <w:tc>
          <w:tcPr/>
          <w:p>
            <w:pPr>
              <w:pStyle w:val="Compact"/>
              <w:spacing w:after="20" w:before="20"/>
              <w:jc w:val="center"/>
            </w:pPr>
            <w:r>
              <w:rPr>
                <w:sz w:val="18"/>
              </w:rPr>
              <w:t xml:space="preserve">0</w:t>
            </w:r>
          </w:p>
        </w:tc>
        <w:tc>
          <w:tcPr/>
          <w:p>
            <w:pPr>
              <w:pStyle w:val="Compact"/>
              <w:spacing w:after="20" w:before="20"/>
              <w:jc w:val="center"/>
            </w:pPr>
            <w:r>
              <w:rPr>
                <w:sz w:val="18"/>
              </w:rPr>
              <w:t xml:space="preserve">0</w:t>
            </w:r>
          </w:p>
        </w:tc>
        <w:tc>
          <w:tcPr/>
          <w:p>
            <w:pPr>
              <w:pStyle w:val="Compact"/>
              <w:spacing w:after="20" w:before="20"/>
              <w:jc w:val="center"/>
            </w:pPr>
            <w:r>
              <w:rPr>
                <w:sz w:val="18"/>
              </w:rPr>
              <w:t xml:space="preserve">5 %</w:t>
            </w:r>
          </w:p>
        </w:tc>
        <w:tc>
          <w:tcPr/>
          <w:p>
            <w:pPr>
              <w:pStyle w:val="Compact"/>
              <w:spacing w:after="20" w:before="20"/>
              <w:jc w:val="center"/>
            </w:pPr>
            <w:r>
              <w:rPr>
                <w:sz w:val="18"/>
              </w:rPr>
              <w:t xml:space="preserve">7 %</w:t>
            </w:r>
          </w:p>
        </w:tc>
      </w:tr>
      <w:tr>
        <w:tc>
          <w:tcPr>
            <w:shd w:val="clear" w:color="auto" w:fill="F7F8FA"/>
          </w:tcPr>
          <w:p>
            <w:pPr>
              <w:pStyle w:val="Compact"/>
              <w:spacing w:after="20" w:before="20"/>
              <w:jc w:val="left"/>
            </w:pPr>
            <w:r>
              <w:rPr>
                <w:sz w:val="18"/>
              </w:rPr>
              <w:t xml:space="preserve">Eigenkapitalanforderung</w:t>
            </w:r>
            <w:r>
              <w:rPr>
                <w:sz w:val="18"/>
              </w:rPr>
              <w:t xml:space="preserve"> </w:t>
            </w:r>
            <m:oMath>
              <m:r>
                <m:t>k</m:t>
              </m:r>
            </m:oMath>
          </w:p>
        </w:tc>
        <w:tc>
          <w:tcPr>
            <w:shd w:val="clear" w:color="auto" w:fill="F7F8FA"/>
          </w:tcPr>
          <w:p>
            <w:pPr>
              <w:pStyle w:val="Compact"/>
              <w:spacing w:after="20" w:before="20"/>
              <w:jc w:val="center"/>
            </w:pPr>
            <w:r>
              <w:rPr>
                <w:sz w:val="18"/>
              </w:rPr>
              <w:t xml:space="preserve">2 %</w:t>
            </w:r>
          </w:p>
        </w:tc>
        <w:tc>
          <w:tcPr>
            <w:shd w:val="clear" w:color="auto" w:fill="F7F8FA"/>
          </w:tcPr>
          <w:p>
            <w:pPr>
              <w:pStyle w:val="Compact"/>
              <w:spacing w:after="20" w:before="20"/>
              <w:jc w:val="center"/>
            </w:pPr>
            <w:r>
              <w:rPr>
                <w:sz w:val="18"/>
              </w:rPr>
              <w:t xml:space="preserve">2 %</w:t>
            </w:r>
          </w:p>
        </w:tc>
        <w:tc>
          <w:tcPr>
            <w:shd w:val="clear" w:color="auto" w:fill="F7F8FA"/>
          </w:tcPr>
          <w:p>
            <w:pPr>
              <w:pStyle w:val="Compact"/>
              <w:spacing w:after="20" w:before="20"/>
              <w:jc w:val="center"/>
            </w:pPr>
            <w:r>
              <w:rPr>
                <w:sz w:val="18"/>
              </w:rPr>
              <w:t xml:space="preserve">8 %</w:t>
            </w:r>
          </w:p>
        </w:tc>
        <w:tc>
          <w:tcPr>
            <w:shd w:val="clear" w:color="auto" w:fill="F7F8FA"/>
          </w:tcPr>
          <w:p>
            <w:pPr>
              <w:pStyle w:val="Compact"/>
              <w:spacing w:after="20" w:before="20"/>
              <w:jc w:val="center"/>
            </w:pPr>
            <w:r>
              <w:rPr>
                <w:sz w:val="18"/>
              </w:rPr>
              <w:t xml:space="preserve">8 %</w:t>
            </w:r>
          </w:p>
        </w:tc>
      </w:tr>
      <w:tr>
        <w:tc>
          <w:tcPr/>
          <w:p>
            <w:pPr>
              <w:pStyle w:val="Compact"/>
              <w:spacing w:after="20" w:before="20"/>
              <w:jc w:val="left"/>
            </w:pPr>
            <w:r>
              <w:rPr>
                <w:sz w:val="18"/>
              </w:rPr>
              <w:t xml:space="preserve">Großkreditgrenze</w:t>
            </w:r>
            <w:r>
              <w:rPr>
                <w:sz w:val="18"/>
              </w:rPr>
              <w:t xml:space="preserve"> </w:t>
            </w:r>
            <m:oMath>
              <m:r>
                <m:t>γ</m:t>
              </m:r>
            </m:oMath>
          </w:p>
        </w:tc>
        <w:tc>
          <w:tcPr/>
          <w:p>
            <w:pPr>
              <w:pStyle w:val="Compact"/>
              <w:spacing w:after="20" w:before="20"/>
              <w:jc w:val="center"/>
            </w:pPr>
            <w:r>
              <w:rPr>
                <w:sz w:val="18"/>
              </w:rPr>
              <w:t xml:space="preserve">–</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25 %</w:t>
            </w:r>
          </w:p>
        </w:tc>
        <w:tc>
          <w:tcPr/>
          <w:p>
            <w:pPr>
              <w:pStyle w:val="Compact"/>
              <w:spacing w:after="20" w:before="20"/>
              <w:jc w:val="center"/>
            </w:pPr>
            <w:r>
              <w:rPr>
                <w:sz w:val="18"/>
              </w:rPr>
              <w:t xml:space="preserve">25 %</w:t>
            </w:r>
          </w:p>
        </w:tc>
      </w:tr>
      <w:tr>
        <w:tc>
          <w:tcPr>
            <w:shd w:val="clear" w:color="auto" w:fill="F7F8FA"/>
          </w:tcPr>
          <w:p>
            <w:pPr>
              <w:pStyle w:val="Compact"/>
              <w:spacing w:after="20" w:before="20"/>
              <w:jc w:val="left"/>
            </w:pPr>
            <w:r>
              <w:rPr>
                <w:sz w:val="18"/>
              </w:rPr>
              <w:t xml:space="preserve">Einlagensicherung</w:t>
            </w:r>
          </w:p>
        </w:tc>
        <w:tc>
          <w:tcPr>
            <w:shd w:val="clear" w:color="auto" w:fill="F7F8FA"/>
          </w:tcPr>
          <w:p>
            <w:pPr>
              <w:pStyle w:val="Compact"/>
              <w:spacing w:after="20" w:before="20"/>
              <w:jc w:val="center"/>
            </w:pPr>
            <w:r>
              <w:rPr>
                <w:sz w:val="18"/>
              </w:rPr>
              <w:t xml:space="preserve">nein</w:t>
            </w:r>
          </w:p>
        </w:tc>
        <w:tc>
          <w:tcPr>
            <w:shd w:val="clear" w:color="auto" w:fill="F7F8FA"/>
          </w:tcPr>
          <w:p>
            <w:pPr>
              <w:pStyle w:val="Compact"/>
              <w:spacing w:after="20" w:before="20"/>
              <w:jc w:val="center"/>
            </w:pPr>
            <w:r>
              <w:rPr>
                <w:sz w:val="18"/>
              </w:rPr>
              <w:t xml:space="preserve">nein</w:t>
            </w:r>
          </w:p>
        </w:tc>
        <w:tc>
          <w:tcPr>
            <w:shd w:val="clear" w:color="auto" w:fill="F7F8FA"/>
          </w:tcPr>
          <w:p>
            <w:pPr>
              <w:pStyle w:val="Compact"/>
              <w:spacing w:after="20" w:before="20"/>
              <w:jc w:val="center"/>
            </w:pPr>
            <w:r>
              <w:rPr>
                <w:sz w:val="18"/>
              </w:rPr>
              <w:t xml:space="preserve">ja</w:t>
            </w:r>
          </w:p>
        </w:tc>
        <w:tc>
          <w:tcPr>
            <w:shd w:val="clear" w:color="auto" w:fill="F7F8FA"/>
          </w:tcPr>
          <w:p>
            <w:pPr>
              <w:pStyle w:val="Compact"/>
              <w:spacing w:after="20" w:before="20"/>
              <w:jc w:val="center"/>
            </w:pPr>
            <w:r>
              <w:rPr>
                <w:sz w:val="18"/>
              </w:rPr>
              <w:t xml:space="preserve">ja</w:t>
            </w:r>
          </w:p>
        </w:tc>
      </w:tr>
      <w:tr>
        <w:tc>
          <w:tcPr/>
          <w:p>
            <w:pPr>
              <w:pStyle w:val="Compact"/>
              <w:spacing w:after="20" w:before="20"/>
              <w:jc w:val="left"/>
            </w:pPr>
            <w:r>
              <w:rPr>
                <w:sz w:val="18"/>
              </w:rPr>
              <w:t xml:space="preserve">Preisdeckel</w:t>
            </w:r>
            <w:r>
              <w:rPr>
                <w:sz w:val="18"/>
              </w:rPr>
              <w:t xml:space="preserve"> </w:t>
            </w:r>
            <m:oMath>
              <m:acc>
                <m:accPr>
                  <m:chr m:val="‾"/>
                </m:accPr>
                <m:e>
                  <m:r>
                    <m:t>μ</m:t>
                  </m:r>
                </m:e>
              </m:acc>
            </m:oMath>
          </w:p>
        </w:tc>
        <w:tc>
          <w:tcPr/>
          <w:p>
            <w:pPr>
              <w:pStyle w:val="Compact"/>
              <w:spacing w:after="20" w:before="20"/>
              <w:jc w:val="center"/>
            </w:pPr>
            <w:r>
              <w:rPr>
                <w:sz w:val="18"/>
              </w:rPr>
              <w:t xml:space="preserve">–</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5 %</w:t>
            </w:r>
          </w:p>
        </w:tc>
      </w:tr>
      <w:tr>
        <w:tc>
          <w:tcPr>
            <w:shd w:val="clear" w:color="auto" w:fill="F7F8FA"/>
          </w:tcPr>
          <w:p>
            <w:pPr>
              <w:pStyle w:val="Compact"/>
              <w:spacing w:after="20" w:before="20"/>
              <w:jc w:val="left"/>
            </w:pPr>
            <w:r>
              <w:rPr>
                <w:sz w:val="18"/>
              </w:rPr>
              <w:t xml:space="preserve">Mindestlohn</w:t>
            </w:r>
            <w:r>
              <w:rPr>
                <w:sz w:val="18"/>
              </w:rPr>
              <w:t xml:space="preserve"> </w:t>
            </w:r>
            <m:oMath>
              <m:r>
                <m:t>ω</m:t>
              </m:r>
            </m:oMath>
          </w:p>
        </w:tc>
        <w:tc>
          <w:tcPr>
            <w:shd w:val="clear" w:color="auto" w:fill="F7F8FA"/>
          </w:tcPr>
          <w:p>
            <w:pPr>
              <w:pStyle w:val="Compact"/>
              <w:spacing w:after="20" w:before="20"/>
              <w:jc w:val="center"/>
            </w:pPr>
            <w:r>
              <w:rPr>
                <w:sz w:val="18"/>
              </w:rPr>
              <w:t xml:space="preserve">–</w:t>
            </w:r>
          </w:p>
        </w:tc>
        <w:tc>
          <w:tcPr>
            <w:shd w:val="clear" w:color="auto" w:fill="F7F8FA"/>
          </w:tcPr>
          <w:p>
            <w:pPr>
              <w:pStyle w:val="Compact"/>
              <w:spacing w:after="20" w:before="20"/>
              <w:jc w:val="center"/>
            </w:pPr>
            <w:r>
              <w:rPr>
                <w:sz w:val="18"/>
              </w:rPr>
              <w:t xml:space="preserve">–</w:t>
            </w:r>
          </w:p>
        </w:tc>
        <w:tc>
          <w:tcPr>
            <w:shd w:val="clear" w:color="auto" w:fill="F7F8FA"/>
          </w:tcPr>
          <w:p>
            <w:pPr>
              <w:pStyle w:val="Compact"/>
              <w:spacing w:after="20" w:before="20"/>
              <w:jc w:val="center"/>
            </w:pPr>
            <w:r>
              <w:rPr>
                <w:sz w:val="18"/>
              </w:rPr>
              <w:t xml:space="preserve">–</w:t>
            </w:r>
          </w:p>
        </w:tc>
        <w:tc>
          <w:tcPr>
            <w:shd w:val="clear" w:color="auto" w:fill="F7F8FA"/>
          </w:tcPr>
          <w:p>
            <w:pPr>
              <w:pStyle w:val="Compact"/>
              <w:spacing w:after="20" w:before="20"/>
              <w:jc w:val="center"/>
            </w:pPr>
            <w:r>
              <w:rPr>
                <w:sz w:val="18"/>
              </w:rPr>
              <w:t xml:space="preserve">0,8</w:t>
            </w:r>
          </w:p>
        </w:tc>
      </w:tr>
      <w:tr>
        <w:tc>
          <w:tcPr>
            <w:tcBorders>
              <w:bottom w:val="single" w:sz="12" w:color="1F3864"/>
            </w:tcBorders>
          </w:tcPr>
          <w:p>
            <w:pPr>
              <w:pStyle w:val="Compact"/>
              <w:spacing w:after="20" w:before="20"/>
              <w:jc w:val="left"/>
            </w:pPr>
            <w:r>
              <w:rPr>
                <w:sz w:val="18"/>
              </w:rPr>
              <w:t xml:space="preserve">Zinsobergrenze</w:t>
            </w:r>
            <w:r>
              <w:rPr>
                <w:sz w:val="18"/>
              </w:rPr>
              <w:t xml:space="preserve"> </w:t>
            </w:r>
            <m:oMath>
              <m:acc>
                <m:accPr>
                  <m:chr m:val="‾"/>
                </m:accPr>
                <m:e>
                  <m:r>
                    <m:t>r</m:t>
                  </m:r>
                </m:e>
              </m:acc>
            </m:oMath>
          </w:p>
        </w:tc>
        <w:tc>
          <w:tcPr>
            <w:tcBorders>
              <w:bottom w:val="single" w:sz="12" w:color="1F3864"/>
            </w:tcBorders>
          </w:tcPr>
          <w:p>
            <w:pPr>
              <w:pStyle w:val="Compact"/>
              <w:spacing w:after="20" w:before="20"/>
              <w:jc w:val="center"/>
            </w:pPr>
            <w:r>
              <w:rPr>
                <w:sz w:val="18"/>
              </w:rPr>
              <w:t xml:space="preserve">–</w:t>
            </w:r>
          </w:p>
        </w:tc>
        <w:tc>
          <w:tcPr>
            <w:tcBorders>
              <w:bottom w:val="single" w:sz="12" w:color="1F3864"/>
            </w:tcBorders>
          </w:tcPr>
          <w:p>
            <w:pPr>
              <w:pStyle w:val="Compact"/>
              <w:spacing w:after="20" w:before="20"/>
              <w:jc w:val="center"/>
            </w:pPr>
            <w:r>
              <w:rPr>
                <w:sz w:val="18"/>
              </w:rPr>
              <w:t xml:space="preserve">–</w:t>
            </w:r>
          </w:p>
        </w:tc>
        <w:tc>
          <w:tcPr>
            <w:tcBorders>
              <w:bottom w:val="single" w:sz="12" w:color="1F3864"/>
            </w:tcBorders>
          </w:tcPr>
          <w:p>
            <w:pPr>
              <w:pStyle w:val="Compact"/>
              <w:spacing w:after="20" w:before="20"/>
              <w:jc w:val="center"/>
            </w:pPr>
            <w:r>
              <w:rPr>
                <w:sz w:val="18"/>
              </w:rPr>
              <w:t xml:space="preserve">–</w:t>
            </w:r>
          </w:p>
        </w:tc>
        <w:tc>
          <w:tcPr>
            <w:tcBorders>
              <w:bottom w:val="single" w:sz="12" w:color="1F3864"/>
            </w:tcBorders>
          </w:tcPr>
          <w:p>
            <w:pPr>
              <w:pStyle w:val="Compact"/>
              <w:spacing w:after="20" w:before="20"/>
              <w:jc w:val="center"/>
            </w:pPr>
            <w:r>
              <w:rPr>
                <w:sz w:val="18"/>
              </w:rPr>
              <w:t xml:space="preserve">0,6 %</w:t>
            </w:r>
          </w:p>
        </w:tc>
      </w:tr>
    </w:tbl>
    <w:p>
      <w:pPr>
        <w:pStyle w:val="BodyText"/>
      </w:pPr>
      <w:r>
        <w:t xml:space="preserve">Regime A wird bewusst in zwei Varianten gerechnet. „Vollkommen frei“ kann bedeuten, dass es keinerlei Durchsetzung von Verträgen gibt (dann schützt nur Reputation), oder dass Eigentum und Verträge – etwa durch private Schiedsgerichte – kostenlos gesichert sind. Die erste Variante ist eine Untergrenze, die zweite eine Obergrenze für die Leistungsfähigkeit eines staatsfreien Systems.</w:t>
      </w:r>
    </w:p>
    <w:bookmarkEnd w:id="28"/>
    <w:bookmarkStart w:id="29" w:name="externer-schock"/>
    <w:p>
      <w:pPr>
        <w:pStyle w:val="Heading2"/>
      </w:pPr>
      <w:r>
        <w:rPr>
          <w:rStyle w:val="SectionNumber"/>
        </w:rPr>
        <w:t xml:space="preserve">3.8</w:t>
      </w:r>
      <w:r>
        <w:tab/>
      </w:r>
      <w:r>
        <w:t xml:space="preserve">Externer Schock</w:t>
      </w:r>
    </w:p>
    <w:p>
      <w:pPr>
        <w:pStyle w:val="FirstParagraph"/>
      </w:pPr>
      <w:r>
        <w:t xml:space="preserve">In den Perioden 400 bis 429 sinkt die Arbeitsproduktivität in allen Regimen um</w:t>
      </w:r>
      <w:r>
        <w:t xml:space="preserve"> </w:t>
      </w:r>
      <m:oMath>
        <m:r>
          <m:t>σ</m:t>
        </m:r>
        <m:r>
          <m:rPr>
            <m:sty m:val="p"/>
          </m:rPr>
          <m:t>=</m:t>
        </m:r>
        <m:r>
          <m:t>25</m:t>
        </m:r>
        <m:r>
          <m:t> </m:t>
        </m:r>
        <m:r>
          <m:rPr>
            <m:sty m:val="p"/>
          </m:rPr>
          <m:t>%</m:t>
        </m:r>
      </m:oMath>
      <w:r>
        <w:t xml:space="preserve">:</w:t>
      </w:r>
    </w:p>
    <w:p>
      <w:pPr>
        <w:pStyle w:val="BodyText"/>
      </w:pPr>
      <m:oMathPara>
        <m:oMathParaPr>
          <m:jc m:val="center"/>
        </m:oMathParaPr>
        <m:oMath>
          <m:sSub>
            <m:e>
              <m:r>
                <m:t>A</m:t>
              </m:r>
            </m:e>
            <m:sub>
              <m:r>
                <m:t>t</m:t>
              </m:r>
            </m:sub>
          </m:sSub>
          <m:r>
            <m:rPr>
              <m:sty m:val="p"/>
            </m:rPr>
            <m:t>=</m:t>
          </m:r>
          <m:acc>
            <m:accPr>
              <m:chr m:val="‾"/>
            </m:accPr>
            <m:e>
              <m:r>
                <m:t>A</m:t>
              </m:r>
            </m:e>
          </m:acc>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r>
                      <m:t>σ</m:t>
                    </m:r>
                  </m:e>
                  <m:e>
                    <m:r>
                      <m:t>400</m:t>
                    </m:r>
                    <m:r>
                      <m:rPr>
                        <m:sty m:val="p"/>
                      </m:rPr>
                      <m:t>≤</m:t>
                    </m:r>
                    <m:r>
                      <m:t>t</m:t>
                    </m:r>
                    <m:r>
                      <m:rPr>
                        <m:sty m:val="p"/>
                      </m:rPr>
                      <m:t>&lt;</m:t>
                    </m:r>
                    <m:r>
                      <m:t>430</m:t>
                    </m:r>
                    <m:r>
                      <m:rPr>
                        <m:sty m:val="p"/>
                      </m:rPr>
                      <m:t>,</m:t>
                    </m:r>
                  </m:e>
                </m:mr>
                <m:mr>
                  <m:e>
                    <m:r>
                      <m:t>1</m:t>
                    </m:r>
                  </m:e>
                  <m:e>
                    <m:r>
                      <m:rPr>
                        <m:nor/>
                        <m:sty m:val="p"/>
                      </m:rPr>
                      <m:t>sonst.</m:t>
                    </m:r>
                  </m:e>
                </m:mr>
              </m:m>
            </m:e>
          </m:d>
          <m:r>
            <m:t>  </m:t>
          </m:r>
          <m:r>
            <m:t>  </m:t>
          </m:r>
          <m:d>
            <m:dPr>
              <m:begChr m:val="("/>
              <m:endChr m:val=")"/>
              <m:sepChr m:val=""/>
              <m:grow/>
            </m:dPr>
            <m:e>
              <m:r>
                <m:t>18</m:t>
              </m:r>
            </m:e>
          </m:d>
        </m:oMath>
      </m:oMathPara>
    </w:p>
    <w:p>
      <w:pPr>
        <w:pStyle w:val="FirstParagraph"/>
      </w:pPr>
      <w:r>
        <w:t xml:space="preserve">Dieser angebotsseitige Kostenschock ist für die spätere Diskussion bedeutsam, weil die „Antifaschistische Wirtschaftspolitik“ gerade auf solche Schocks zielt.</w:t>
      </w:r>
    </w:p>
    <w:bookmarkEnd w:id="29"/>
    <w:bookmarkStart w:id="30" w:name="kennzahlen"/>
    <w:p>
      <w:pPr>
        <w:pStyle w:val="Heading2"/>
      </w:pPr>
      <w:r>
        <w:rPr>
          <w:rStyle w:val="SectionNumber"/>
        </w:rPr>
        <w:t xml:space="preserve">3.9</w:t>
      </w:r>
      <w:r>
        <w:tab/>
      </w:r>
      <w:r>
        <w:t xml:space="preserve">Kennzahlen</w:t>
      </w:r>
    </w:p>
    <w:p>
      <w:pPr>
        <w:pStyle w:val="FirstParagraph"/>
      </w:pPr>
      <w:r>
        <w:t xml:space="preserve">Effizienz wird über den Konsum pro Kopf</w:t>
      </w:r>
      <w:r>
        <w:t xml:space="preserve"> </w:t>
      </w:r>
      <m:oMath>
        <m:sSub>
          <m:e>
            <m:acc>
              <m:accPr>
                <m:chr m:val="‾"/>
              </m:accPr>
              <m:e>
                <m:r>
                  <m:t>c</m:t>
                </m:r>
              </m:e>
            </m:acc>
          </m:e>
          <m:sub>
            <m:r>
              <m:t>t</m:t>
            </m:r>
          </m:sub>
        </m:sSub>
        <m:r>
          <m:rPr>
            <m:sty m:val="p"/>
          </m:rPr>
          <m:t>=</m:t>
        </m:r>
        <m:sSup>
          <m:e>
            <m:r>
              <m:t>H</m:t>
            </m:r>
          </m:e>
          <m:sup>
            <m:r>
              <m:rPr>
                <m:sty m:val="p"/>
              </m:rPr>
              <m:t>−</m:t>
            </m:r>
            <m:r>
              <m:t>1</m:t>
            </m:r>
          </m:sup>
        </m:sSup>
        <m:nary>
          <m:naryPr>
            <m:chr m:val="∑"/>
            <m:limLoc m:val="undOvr"/>
            <m:subHide m:val="off"/>
            <m:supHide m:val="on"/>
          </m:naryPr>
          <m:sub>
            <m:r>
              <m:t>h</m:t>
            </m:r>
          </m:sub>
          <m:sup>
            <m:r>
              <m:t>​</m:t>
            </m:r>
          </m:sup>
          <m:e>
            <m:sSub>
              <m:e>
                <m:r>
                  <m:t>c</m:t>
                </m:r>
              </m:e>
              <m:sub>
                <m:r>
                  <m:t>h</m:t>
                </m:r>
                <m:r>
                  <m:rPr>
                    <m:sty m:val="p"/>
                  </m:rPr>
                  <m:t>,</m:t>
                </m:r>
                <m:r>
                  <m:t>t</m:t>
                </m:r>
              </m:sub>
            </m:sSub>
          </m:e>
        </m:nary>
      </m:oMath>
      <w:r>
        <w:t xml:space="preserve"> </w:t>
      </w:r>
      <w:r>
        <w:t xml:space="preserve">und die Wohlfahrt</w:t>
      </w:r>
      <w:r>
        <w:t xml:space="preserve"> </w:t>
      </w:r>
      <m:oMath>
        <m:sSub>
          <m:e>
            <m:r>
              <m:rPr>
                <m:sty m:val="p"/>
                <m:scr m:val="script"/>
              </m:rPr>
              <m:t>W</m:t>
            </m:r>
          </m:e>
          <m:sub>
            <m:r>
              <m:t>t</m:t>
            </m:r>
          </m:sub>
        </m:sSub>
        <m:r>
          <m:rPr>
            <m:sty m:val="p"/>
          </m:rPr>
          <m:t>=</m:t>
        </m:r>
        <m:sSup>
          <m:e>
            <m:r>
              <m:t>H</m:t>
            </m:r>
          </m:e>
          <m:sup>
            <m:r>
              <m:rPr>
                <m:sty m:val="p"/>
              </m:rPr>
              <m:t>−</m:t>
            </m:r>
            <m:r>
              <m:t>1</m:t>
            </m:r>
          </m:sup>
        </m:sSup>
        <m:nary>
          <m:naryPr>
            <m:chr m:val="∑"/>
            <m:limLoc m:val="undOvr"/>
            <m:subHide m:val="off"/>
            <m:supHide m:val="on"/>
          </m:naryPr>
          <m:sub>
            <m:r>
              <m:t>h</m:t>
            </m:r>
          </m:sub>
          <m:sup>
            <m:r>
              <m:t>​</m:t>
            </m:r>
          </m:sup>
          <m:e>
            <m:r>
              <m:rPr>
                <m:sty m:val="p"/>
              </m:rPr>
              <m:t>ln</m:t>
            </m:r>
          </m:e>
        </m:nary>
        <m:d>
          <m:dPr>
            <m:begChr m:val="("/>
            <m:endChr m:val=")"/>
            <m:sepChr m:val=""/>
            <m:grow/>
          </m:dPr>
          <m:e>
            <m:r>
              <m:t>1</m:t>
            </m:r>
            <m:r>
              <m:rPr>
                <m:sty m:val="p"/>
              </m:rPr>
              <m:t>+</m:t>
            </m:r>
            <m:sSub>
              <m:e>
                <m:r>
                  <m:t>c</m:t>
                </m:r>
              </m:e>
              <m:sub>
                <m:r>
                  <m:t>h</m:t>
                </m:r>
                <m:r>
                  <m:rPr>
                    <m:sty m:val="p"/>
                  </m:rPr>
                  <m:t>,</m:t>
                </m:r>
                <m:r>
                  <m:t>t</m:t>
                </m:r>
              </m:sub>
            </m:sSub>
          </m:e>
        </m:d>
      </m:oMath>
      <w:r>
        <w:t xml:space="preserve"> </w:t>
      </w:r>
      <w:r>
        <w:t xml:space="preserve">gemessen; letztere bewertet wegen der Konkavität eine gleichmäßigere Verteilung höher. Ungleichheit misst der Gini-Koeffizient des Vermögens (Geld, Nettokasse eigener Firmen, Anteil am Bankkapital) bzw. des Einkommens; für sortierte Werte</w:t>
      </w:r>
      <w:r>
        <w:t xml:space="preserve"> </w:t>
      </w:r>
      <m:oMath>
        <m:sSub>
          <m:e>
            <m:r>
              <m:t>x</m:t>
            </m:r>
          </m:e>
          <m:sub>
            <m:d>
              <m:dPr>
                <m:begChr m:val="("/>
                <m:endChr m:val=")"/>
                <m:sepChr m:val=""/>
                <m:grow/>
              </m:dPr>
              <m:e>
                <m:r>
                  <m:t>1</m:t>
                </m:r>
              </m:e>
            </m:d>
          </m:sub>
        </m:sSub>
        <m:r>
          <m:rPr>
            <m:sty m:val="p"/>
          </m:rPr>
          <m:t>≤</m:t>
        </m:r>
        <m:r>
          <m:rPr>
            <m:sty m:val="p"/>
          </m:rPr>
          <m:t>…</m:t>
        </m:r>
        <m:r>
          <m:rPr>
            <m:sty m:val="p"/>
          </m:rPr>
          <m:t>≤</m:t>
        </m:r>
        <m:sSub>
          <m:e>
            <m:r>
              <m:t>x</m:t>
            </m:r>
          </m:e>
          <m:sub>
            <m:d>
              <m:dPr>
                <m:begChr m:val="("/>
                <m:endChr m:val=")"/>
                <m:sepChr m:val=""/>
                <m:grow/>
              </m:dPr>
              <m:e>
                <m:r>
                  <m:t>n</m:t>
                </m:r>
              </m:e>
            </m:d>
          </m:sub>
        </m:sSub>
      </m:oMath>
      <w:r>
        <w:t xml:space="preserve"> </w:t>
      </w:r>
      <w:r>
        <w:t xml:space="preserve">gilt</w:t>
      </w:r>
    </w:p>
    <w:p>
      <w:pPr>
        <w:pStyle w:val="BodyText"/>
      </w:pPr>
      <m:oMathPara>
        <m:oMathParaPr>
          <m:jc m:val="center"/>
        </m:oMathParaPr>
        <m:oMath>
          <m:r>
            <m:rPr>
              <m:sty m:val="p"/>
            </m:rPr>
            <m:t>G</m:t>
          </m:r>
          <m:r>
            <m:rPr>
              <m:sty m:val="p"/>
            </m:rPr>
            <m:t>i</m:t>
          </m:r>
          <m:r>
            <m:rPr>
              <m:sty m:val="p"/>
            </m:rPr>
            <m:t>n</m:t>
          </m:r>
          <m:r>
            <m:rPr>
              <m:sty m:val="p"/>
            </m:rPr>
            <m:t>i</m:t>
          </m:r>
          <m:r>
            <m:rPr>
              <m:sty m:val="p"/>
            </m:rPr>
            <m:t>=</m:t>
          </m:r>
          <m:f>
            <m:fPr>
              <m:type m:val="bar"/>
            </m:fPr>
            <m:num>
              <m:r>
                <m:t>n</m:t>
              </m:r>
              <m:r>
                <m:rPr>
                  <m:sty m:val="p"/>
                </m:rPr>
                <m:t>+</m:t>
              </m:r>
              <m:r>
                <m:t>1</m:t>
              </m:r>
              <m:r>
                <m:rPr>
                  <m:sty m:val="p"/>
                </m:rPr>
                <m:t>−</m:t>
              </m:r>
              <m:r>
                <m:t>2</m:t>
              </m:r>
              <m:nary>
                <m:naryPr>
                  <m:chr m:val="∑"/>
                  <m:limLoc m:val="undOvr"/>
                  <m:subHide m:val="off"/>
                  <m:supHide m:val="off"/>
                </m:naryPr>
                <m:sub>
                  <m:r>
                    <m:t>i</m:t>
                  </m:r>
                  <m:r>
                    <m:rPr>
                      <m:sty m:val="p"/>
                    </m:rPr>
                    <m:t>=</m:t>
                  </m:r>
                  <m:r>
                    <m:t>1</m:t>
                  </m:r>
                </m:sub>
                <m:sup>
                  <m:r>
                    <m:t>n</m:t>
                  </m:r>
                </m:sup>
                <m:e>
                  <m:f>
                    <m:fPr>
                      <m:type m:val="bar"/>
                    </m:fPr>
                    <m:num>
                      <m:nary>
                        <m:naryPr>
                          <m:chr m:val="∑"/>
                          <m:limLoc m:val="undOvr"/>
                          <m:subHide m:val="off"/>
                          <m:supHide m:val="on"/>
                        </m:naryPr>
                        <m:sub>
                          <m:r>
                            <m:t>j</m:t>
                          </m:r>
                          <m:r>
                            <m:rPr>
                              <m:sty m:val="p"/>
                            </m:rPr>
                            <m:t>≤</m:t>
                          </m:r>
                          <m:r>
                            <m:t>i</m:t>
                          </m:r>
                        </m:sub>
                        <m:sup>
                          <m:r>
                            <m:t>​</m:t>
                          </m:r>
                        </m:sup>
                        <m:e>
                          <m:sSub>
                            <m:e>
                              <m:r>
                                <m:t>x</m:t>
                              </m:r>
                            </m:e>
                            <m:sub>
                              <m:d>
                                <m:dPr>
                                  <m:begChr m:val="("/>
                                  <m:endChr m:val=")"/>
                                  <m:sepChr m:val=""/>
                                  <m:grow/>
                                </m:dPr>
                                <m:e>
                                  <m:r>
                                    <m:t>j</m:t>
                                  </m:r>
                                </m:e>
                              </m:d>
                            </m:sub>
                          </m:sSub>
                        </m:e>
                      </m:nary>
                    </m:num>
                    <m:den>
                      <m:nary>
                        <m:naryPr>
                          <m:chr m:val="∑"/>
                          <m:limLoc m:val="undOvr"/>
                          <m:subHide m:val="off"/>
                          <m:supHide m:val="on"/>
                        </m:naryPr>
                        <m:sub>
                          <m:r>
                            <m:t>j</m:t>
                          </m:r>
                        </m:sub>
                        <m:sup>
                          <m:r>
                            <m:t>​</m:t>
                          </m:r>
                        </m:sup>
                        <m:e>
                          <m:sSub>
                            <m:e>
                              <m:r>
                                <m:t>x</m:t>
                              </m:r>
                            </m:e>
                            <m:sub>
                              <m:d>
                                <m:dPr>
                                  <m:begChr m:val="("/>
                                  <m:endChr m:val=")"/>
                                  <m:sepChr m:val=""/>
                                  <m:grow/>
                                </m:dPr>
                                <m:e>
                                  <m:r>
                                    <m:t>j</m:t>
                                  </m:r>
                                </m:e>
                              </m:d>
                            </m:sub>
                          </m:sSub>
                        </m:e>
                      </m:nary>
                    </m:den>
                  </m:f>
                </m:e>
              </m:nary>
            </m:num>
            <m:den>
              <m:r>
                <m:t>n</m:t>
              </m:r>
            </m:den>
          </m:f>
          <m:r>
            <m:rPr>
              <m:sty m:val="p"/>
            </m:rPr>
            <m:t>.</m:t>
          </m:r>
          <m:r>
            <m:t>  </m:t>
          </m:r>
          <m:r>
            <m:t>  </m:t>
          </m:r>
          <m:d>
            <m:dPr>
              <m:begChr m:val="("/>
              <m:endChr m:val=")"/>
              <m:sepChr m:val=""/>
              <m:grow/>
            </m:dPr>
            <m:e>
              <m:r>
                <m:t>19</m:t>
              </m:r>
            </m:e>
          </m:d>
        </m:oMath>
      </m:oMathPara>
    </w:p>
    <w:p>
      <w:pPr>
        <w:pStyle w:val="FirstParagraph"/>
      </w:pPr>
      <w:r>
        <w:t xml:space="preserve">Marktkonzentration wird mit dem Herfindahl-Hirschman-Index der Absatzanteile gemessen,</w:t>
      </w:r>
      <w:r>
        <w:t xml:space="preserve"> </w:t>
      </w:r>
      <m:oMath>
        <m:sSub>
          <m:e>
            <m:r>
              <m:rPr>
                <m:sty m:val="p"/>
              </m:rPr>
              <m:t>H</m:t>
            </m:r>
            <m:r>
              <m:rPr>
                <m:sty m:val="p"/>
              </m:rPr>
              <m:t>H</m:t>
            </m:r>
            <m:r>
              <m:rPr>
                <m:sty m:val="p"/>
              </m:rPr>
              <m:t>I</m:t>
            </m:r>
          </m:e>
          <m:sub>
            <m:r>
              <m:t>t</m:t>
            </m:r>
          </m:sub>
        </m:sSub>
        <m:r>
          <m:rPr>
            <m:sty m:val="p"/>
          </m:rPr>
          <m:t>=</m:t>
        </m:r>
        <m:nary>
          <m:naryPr>
            <m:chr m:val="∑"/>
            <m:limLoc m:val="undOvr"/>
            <m:subHide m:val="off"/>
            <m:supHide m:val="on"/>
          </m:naryPr>
          <m:sub>
            <m:r>
              <m:t>f</m:t>
            </m:r>
          </m:sub>
          <m:sup>
            <m:r>
              <m:t>​</m:t>
            </m:r>
          </m:sup>
          <m:e>
            <m:sSubSup>
              <m:e>
                <m:r>
                  <m:t>s</m:t>
                </m:r>
              </m:e>
              <m:sub>
                <m:r>
                  <m:t>f</m:t>
                </m:r>
                <m:r>
                  <m:rPr>
                    <m:sty m:val="p"/>
                  </m:rPr>
                  <m:t>,</m:t>
                </m:r>
                <m:r>
                  <m:t>t</m:t>
                </m:r>
              </m:sub>
              <m:sup>
                <m:r>
                  <m:t>2</m:t>
                </m:r>
              </m:sup>
            </m:sSubSup>
          </m:e>
        </m:nary>
      </m:oMath>
      <w:r>
        <w:t xml:space="preserve">. Für den Schock werden der kumulierte relative Konsumverlust über 100 Perioden ab Schockbeginn,</w:t>
      </w:r>
    </w:p>
    <w:p>
      <w:pPr>
        <w:pStyle w:val="BodyText"/>
      </w:pPr>
      <m:oMathPara>
        <m:oMathParaPr>
          <m:jc m:val="center"/>
        </m:oMathParaPr>
        <m:oMath>
          <m:r>
            <m:rPr>
              <m:sty m:val="p"/>
              <m:scr m:val="script"/>
            </m:rPr>
            <m:t>L</m:t>
          </m:r>
          <m:r>
            <m:rPr>
              <m:sty m:val="p"/>
            </m:rPr>
            <m:t>=</m:t>
          </m:r>
          <m:nary>
            <m:naryPr>
              <m:chr m:val="∑"/>
              <m:limLoc m:val="undOvr"/>
              <m:subHide m:val="off"/>
              <m:supHide m:val="off"/>
            </m:naryPr>
            <m:sub>
              <m:r>
                <m:t>t</m:t>
              </m:r>
              <m:r>
                <m:rPr>
                  <m:sty m:val="p"/>
                </m:rPr>
                <m:t>=</m:t>
              </m:r>
              <m:r>
                <m:t>400</m:t>
              </m:r>
            </m:sub>
            <m:sup>
              <m:r>
                <m:t>499</m:t>
              </m:r>
            </m:sup>
            <m:e>
              <m:f>
                <m:fPr>
                  <m:type m:val="bar"/>
                </m:fPr>
                <m:num>
                  <m:r>
                    <m:rPr>
                      <m:sty m:val="p"/>
                    </m:rPr>
                    <m:t>max</m:t>
                  </m:r>
                  <m:r>
                    <m:rPr>
                      <m:sty m:val="p"/>
                    </m:rPr>
                    <m:t>{</m:t>
                  </m:r>
                  <m:sSup>
                    <m:e>
                      <m:acc>
                        <m:accPr>
                          <m:chr m:val="‾"/>
                        </m:accPr>
                        <m:e>
                          <m:r>
                            <m:t>c</m:t>
                          </m:r>
                        </m:e>
                      </m:acc>
                    </m:e>
                    <m:sup>
                      <m:r>
                        <m:rPr>
                          <m:nor/>
                          <m:sty m:val="p"/>
                        </m:rPr>
                        <m:t>ref</m:t>
                      </m:r>
                    </m:sup>
                  </m:sSup>
                  <m:r>
                    <m:rPr>
                      <m:sty m:val="p"/>
                    </m:rPr>
                    <m:t>−</m:t>
                  </m:r>
                  <m:sSub>
                    <m:e>
                      <m:acc>
                        <m:accPr>
                          <m:chr m:val="‾"/>
                        </m:accPr>
                        <m:e>
                          <m:r>
                            <m:t>c</m:t>
                          </m:r>
                        </m:e>
                      </m:acc>
                    </m:e>
                    <m:sub>
                      <m:r>
                        <m:t>t</m:t>
                      </m:r>
                    </m:sub>
                  </m:sSub>
                  <m:r>
                    <m:rPr>
                      <m:sty m:val="p"/>
                    </m:rPr>
                    <m:t>,</m:t>
                  </m:r>
                  <m:r>
                    <m:t> </m:t>
                  </m:r>
                  <m:r>
                    <m:t>0</m:t>
                  </m:r>
                  <m:r>
                    <m:rPr>
                      <m:sty m:val="p"/>
                    </m:rPr>
                    <m:t>}</m:t>
                  </m:r>
                </m:num>
                <m:den>
                  <m:sSup>
                    <m:e>
                      <m:acc>
                        <m:accPr>
                          <m:chr m:val="‾"/>
                        </m:accPr>
                        <m:e>
                          <m:r>
                            <m:t>c</m:t>
                          </m:r>
                        </m:e>
                      </m:acc>
                    </m:e>
                    <m:sup>
                      <m:r>
                        <m:rPr>
                          <m:nor/>
                          <m:sty m:val="p"/>
                        </m:rPr>
                        <m:t>ref</m:t>
                      </m:r>
                    </m:sup>
                  </m:sSup>
                </m:den>
              </m:f>
            </m:e>
          </m:nary>
          <m:r>
            <m:rPr>
              <m:sty m:val="p"/>
            </m:rPr>
            <m:t>,</m:t>
          </m:r>
          <m:r>
            <m:t>  </m:t>
          </m:r>
          <m:r>
            <m:t>  </m:t>
          </m:r>
          <m:d>
            <m:dPr>
              <m:begChr m:val="("/>
              <m:endChr m:val=")"/>
              <m:sepChr m:val=""/>
              <m:grow/>
            </m:dPr>
            <m:e>
              <m:r>
                <m:t>20</m:t>
              </m:r>
            </m:e>
          </m:d>
        </m:oMath>
      </m:oMathPara>
    </w:p>
    <w:p>
      <w:pPr>
        <w:pStyle w:val="FirstParagraph"/>
      </w:pPr>
      <w:r>
        <w:t xml:space="preserve">mit</w:t>
      </w:r>
      <w:r>
        <w:t xml:space="preserve"> </w:t>
      </w:r>
      <m:oMath>
        <m:sSup>
          <m:e>
            <m:acc>
              <m:accPr>
                <m:chr m:val="‾"/>
              </m:accPr>
              <m:e>
                <m:r>
                  <m:t>c</m:t>
                </m:r>
              </m:e>
            </m:acc>
          </m:e>
          <m:sup>
            <m:r>
              <m:rPr>
                <m:nor/>
                <m:sty m:val="p"/>
              </m:rPr>
              <m:t>ref</m:t>
            </m:r>
          </m:sup>
        </m:sSup>
      </m:oMath>
      <w:r>
        <w:t xml:space="preserve"> </w:t>
      </w:r>
      <w:r>
        <w:t xml:space="preserve">dem mittleren Konsum der Perioden 200–399, und die Erholungszeit (Perioden nach Schockende, bis der gleitende Zehn-Perioden-Durchschnitt wieder 98 % von</w:t>
      </w:r>
      <w:r>
        <w:t xml:space="preserve"> </w:t>
      </w:r>
      <m:oMath>
        <m:sSup>
          <m:e>
            <m:acc>
              <m:accPr>
                <m:chr m:val="‾"/>
              </m:accPr>
              <m:e>
                <m:r>
                  <m:t>c</m:t>
                </m:r>
              </m:e>
            </m:acc>
          </m:e>
          <m:sup>
            <m:r>
              <m:rPr>
                <m:nor/>
                <m:sty m:val="p"/>
              </m:rPr>
              <m:t>ref</m:t>
            </m:r>
          </m:sup>
        </m:sSup>
      </m:oMath>
      <w:r>
        <w:t xml:space="preserve"> </w:t>
      </w:r>
      <w:r>
        <w:t xml:space="preserve">erreicht) berechnet. Hinzu kommen Arbeitslosenquote, unbefriedigte Nachfrage (Anteil nicht ausgegebener Budgets), Betrugsverluste, Volatilitäten sowie die Kreditkennzahlen.</w:t>
      </w:r>
    </w:p>
    <w:bookmarkEnd w:id="30"/>
    <w:bookmarkEnd w:id="31"/>
    <w:bookmarkStart w:id="32" w:name="versuchsplan"/>
    <w:p>
      <w:pPr>
        <w:pStyle w:val="Heading1"/>
      </w:pPr>
      <w:r>
        <w:rPr>
          <w:rStyle w:val="SectionNumber"/>
        </w:rPr>
        <w:t xml:space="preserve">4</w:t>
      </w:r>
      <w:r>
        <w:tab/>
      </w:r>
      <w:r>
        <w:t xml:space="preserve">Versuchsplan</w:t>
      </w:r>
    </w:p>
    <w:p>
      <w:pPr>
        <w:pStyle w:val="FirstParagraph"/>
      </w:pPr>
      <w:r>
        <w:rPr>
          <w:bCs/>
          <w:b/>
        </w:rPr>
        <w:t xml:space="preserve">Gemeinsamer Kern.</w:t>
      </w:r>
      <w:r>
        <w:t xml:space="preserve"> </w:t>
      </w:r>
      <w:r>
        <w:t xml:space="preserve">Alle Regime nutzen denselben Programmcode und denselben Parametersatz; ein Regime überschreibt ausschließlich die institutionellen Parameter aus Tabelle 2. Unterschiede in den Ergebnissen lassen sich damit eindeutig den Institutionen zuordnen.</w:t>
      </w:r>
    </w:p>
    <w:p>
      <w:pPr>
        <w:pStyle w:val="BodyText"/>
      </w:pPr>
      <w:r>
        <w:rPr>
          <w:bCs/>
          <w:b/>
        </w:rPr>
        <w:t xml:space="preserve">Gemeinsame Zufallszahlen.</w:t>
      </w:r>
      <w:r>
        <w:t xml:space="preserve"> </w:t>
      </w:r>
      <w:r>
        <w:t xml:space="preserve">Jeder Lauf</w:t>
      </w:r>
      <w:r>
        <w:t xml:space="preserve"> </w:t>
      </w:r>
      <m:oMath>
        <m:r>
          <m:t>s</m:t>
        </m:r>
      </m:oMath>
      <w:r>
        <w:t xml:space="preserve"> </w:t>
      </w:r>
      <w:r>
        <w:t xml:space="preserve">verwendet zwei getrennte Zufallsströme. Der erste erzeugt die Startbedingungen – Vermögensverteilung, Firmeneigentum, ehrliche und unehrliche Firmen, Startbeschäftigung, Bankeigentümer – und ist bei gleichem</w:t>
      </w:r>
      <w:r>
        <w:t xml:space="preserve"> </w:t>
      </w:r>
      <m:oMath>
        <m:r>
          <m:t>s</m:t>
        </m:r>
      </m:oMath>
      <w:r>
        <w:t xml:space="preserve"> </w:t>
      </w:r>
      <w:r>
        <w:t xml:space="preserve">in allen Regimen identisch. Der zweite steuert die laufende Dynamik. Dadurch erlebt Lauf</w:t>
      </w:r>
      <w:r>
        <w:t xml:space="preserve"> </w:t>
      </w:r>
      <m:oMath>
        <m:r>
          <m:t>s</m:t>
        </m:r>
      </m:oMath>
      <w:r>
        <w:t xml:space="preserve"> </w:t>
      </w:r>
      <w:r>
        <w:t xml:space="preserve">in jedem Regime dieselbe Ausgangslage, und Unterschiede können als</w:t>
      </w:r>
      <w:r>
        <w:t xml:space="preserve"> </w:t>
      </w:r>
      <w:r>
        <w:rPr>
          <w:iCs/>
          <w:i/>
        </w:rPr>
        <w:t xml:space="preserve">gepaarte Differenzen</w:t>
      </w:r>
      <w:r>
        <w:t xml:space="preserve"> </w:t>
      </w:r>
      <w:r>
        <w:t xml:space="preserve">ausgewertet werden:</w:t>
      </w:r>
    </w:p>
    <w:p>
      <w:pPr>
        <w:pStyle w:val="BodyText"/>
      </w:pPr>
      <m:oMathPara>
        <m:oMathParaPr>
          <m:jc m:val="center"/>
        </m:oMathParaPr>
        <m:oMath>
          <m:sSubSup>
            <m:e>
              <m:r>
                <m:t>Δ</m:t>
              </m:r>
            </m:e>
            <m:sub>
              <m:r>
                <m:t>s</m:t>
              </m:r>
            </m:sub>
            <m:sup>
              <m:r>
                <m:t>X</m:t>
              </m:r>
            </m:sup>
          </m:sSubSup>
          <m:r>
            <m:rPr>
              <m:sty m:val="p"/>
            </m:rPr>
            <m:t>=</m:t>
          </m:r>
          <m:sSubSup>
            <m:e>
              <m:r>
                <m:t>K</m:t>
              </m:r>
            </m:e>
            <m:sub>
              <m:r>
                <m:t>s</m:t>
              </m:r>
            </m:sub>
            <m:sup>
              <m:r>
                <m:t>X</m:t>
              </m:r>
            </m:sup>
          </m:sSubSup>
          <m:r>
            <m:rPr>
              <m:sty m:val="p"/>
            </m:rPr>
            <m:t>−</m:t>
          </m:r>
          <m:sSubSup>
            <m:e>
              <m:r>
                <m:t>K</m:t>
              </m:r>
            </m:e>
            <m:sub>
              <m:r>
                <m:t>s</m:t>
              </m:r>
            </m:sub>
            <m:sup>
              <m:r>
                <m:t>B</m:t>
              </m:r>
            </m:sup>
          </m:sSubSup>
          <m:r>
            <m:rPr>
              <m:sty m:val="p"/>
            </m:rPr>
            <m:t>,</m:t>
          </m:r>
          <m:r>
            <m:t>  </m:t>
          </m:r>
          <m:sSup>
            <m:e>
              <m:acc>
                <m:accPr>
                  <m:chr m:val="‾"/>
                </m:accPr>
                <m:e>
                  <m:r>
                    <m:t>Δ</m:t>
                  </m:r>
                </m:e>
              </m:acc>
            </m:e>
            <m:sup>
              <m:r>
                <m:t>X</m:t>
              </m:r>
            </m:sup>
          </m:sSup>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sSubSup>
                <m:e>
                  <m:r>
                    <m:t>Δ</m:t>
                  </m:r>
                </m:e>
                <m:sub>
                  <m:r>
                    <m:t>s</m:t>
                  </m:r>
                </m:sub>
                <m:sup>
                  <m:r>
                    <m:t>X</m:t>
                  </m:r>
                </m:sup>
              </m:sSubSup>
            </m:e>
          </m:nary>
          <m:r>
            <m:rPr>
              <m:sty m:val="p"/>
            </m:rPr>
            <m:t>,</m:t>
          </m:r>
          <m:r>
            <m:t>  </m:t>
          </m:r>
          <m:sSub>
            <m:e>
              <m:r>
                <m:rPr>
                  <m:sty m:val="p"/>
                </m:rPr>
                <m:t>K</m:t>
              </m:r>
              <m:r>
                <m:rPr>
                  <m:sty m:val="p"/>
                </m:rPr>
                <m:t>I</m:t>
              </m:r>
            </m:e>
            <m:sub>
              <m:r>
                <m:t>95</m:t>
              </m:r>
            </m:sub>
          </m:sSub>
          <m:r>
            <m:rPr>
              <m:sty m:val="p"/>
            </m:rPr>
            <m:t>=</m:t>
          </m:r>
          <m:sSup>
            <m:e>
              <m:acc>
                <m:accPr>
                  <m:chr m:val="‾"/>
                </m:accPr>
                <m:e>
                  <m:r>
                    <m:t>Δ</m:t>
                  </m:r>
                </m:e>
              </m:acc>
            </m:e>
            <m:sup>
              <m:r>
                <m:t>X</m:t>
              </m:r>
            </m:sup>
          </m:sSup>
          <m:r>
            <m:rPr>
              <m:sty m:val="p"/>
            </m:rPr>
            <m:t>±</m:t>
          </m:r>
          <m:r>
            <m:rPr>
              <m:nor/>
              <m:sty m:val="p"/>
            </m:rPr>
            <m:t>1,96</m:t>
          </m:r>
          <m:r>
            <m:t> </m:t>
          </m:r>
          <m:f>
            <m:fPr>
              <m:type m:val="bar"/>
            </m:fPr>
            <m:num>
              <m:sSub>
                <m:e>
                  <m:acc>
                    <m:accPr>
                      <m:chr m:val="̂"/>
                    </m:accPr>
                    <m:e>
                      <m:r>
                        <m:t>σ</m:t>
                      </m:r>
                    </m:e>
                  </m:acc>
                </m:e>
                <m:sub>
                  <m:r>
                    <m:t>Δ</m:t>
                  </m:r>
                </m:sub>
              </m:sSub>
            </m:num>
            <m:den>
              <m:rad>
                <m:radPr>
                  <m:degHide m:val="on"/>
                </m:radPr>
                <m:deg/>
                <m:e>
                  <m:r>
                    <m:t>S</m:t>
                  </m:r>
                </m:e>
              </m:rad>
            </m:den>
          </m:f>
          <m:r>
            <m:rPr>
              <m:sty m:val="p"/>
            </m:rPr>
            <m:t>,</m:t>
          </m:r>
          <m:r>
            <m:t>  </m:t>
          </m:r>
          <m:r>
            <m:t>  </m:t>
          </m:r>
          <m:d>
            <m:dPr>
              <m:begChr m:val="("/>
              <m:endChr m:val=")"/>
              <m:sepChr m:val=""/>
              <m:grow/>
            </m:dPr>
            <m:e>
              <m:r>
                <m:t>21</m:t>
              </m:r>
            </m:e>
          </m:d>
        </m:oMath>
      </m:oMathPara>
    </w:p>
    <w:p>
      <w:pPr>
        <w:pStyle w:val="FirstParagraph"/>
      </w:pPr>
      <w:r>
        <w:t xml:space="preserve">für eine Kennzahl</w:t>
      </w:r>
      <w:r>
        <w:t xml:space="preserve"> </w:t>
      </w:r>
      <m:oMath>
        <m:r>
          <m:t>K</m:t>
        </m:r>
      </m:oMath>
      <w:r>
        <w:t xml:space="preserve"> </w:t>
      </w:r>
      <w:r>
        <w:t xml:space="preserve">und ein Regime</w:t>
      </w:r>
      <w:r>
        <w:t xml:space="preserve"> </w:t>
      </w:r>
      <m:oMath>
        <m:r>
          <m:t>X</m:t>
        </m:r>
      </m:oMath>
      <w:r>
        <w:t xml:space="preserve"> </w:t>
      </w:r>
      <w:r>
        <w:t xml:space="preserve">relativ zur Referenz B. Da die Laufvarianz zum großen Teil auf die Startbedingungen zurückgeht, sind gepaarte Konfidenzintervalle deutlich enger als ein Vergleich unabhängiger Mittelwerte.</w:t>
      </w:r>
    </w:p>
    <w:p>
      <w:pPr>
        <w:pStyle w:val="BodyText"/>
      </w:pPr>
      <w:r>
        <w:rPr>
          <w:bCs/>
          <w:b/>
        </w:rPr>
        <w:t xml:space="preserve">Phasen.</w:t>
      </w:r>
      <w:r>
        <w:t xml:space="preserve"> </w:t>
      </w:r>
      <w:r>
        <w:t xml:space="preserve">Die ersten 200 Perioden dienen dem Einschwingen und werden verworfen. Niveaukennzahlen werden über die ruhige Phase</w:t>
      </w:r>
      <w:r>
        <w:t xml:space="preserve"> </w:t>
      </w:r>
      <m:oMath>
        <m:r>
          <m:t>t</m:t>
        </m:r>
        <m:r>
          <m:rPr>
            <m:sty m:val="p"/>
          </m:rPr>
          <m:t>=</m:t>
        </m:r>
        <m:r>
          <m:t>200</m:t>
        </m:r>
        <m:r>
          <m:rPr>
            <m:sty m:val="p"/>
          </m:rPr>
          <m:t>,</m:t>
        </m:r>
        <m:r>
          <m:rPr>
            <m:sty m:val="p"/>
          </m:rPr>
          <m:t>…</m:t>
        </m:r>
        <m:r>
          <m:rPr>
            <m:sty m:val="p"/>
          </m:rPr>
          <m:t>,</m:t>
        </m:r>
        <m:r>
          <m:t>399</m:t>
        </m:r>
      </m:oMath>
      <w:r>
        <w:t xml:space="preserve"> </w:t>
      </w:r>
      <w:r>
        <w:t xml:space="preserve">gemittelt, Schockkennzahlen ab</w:t>
      </w:r>
      <w:r>
        <w:t xml:space="preserve"> </w:t>
      </w:r>
      <m:oMath>
        <m:r>
          <m:t>t</m:t>
        </m:r>
        <m:r>
          <m:rPr>
            <m:sty m:val="p"/>
          </m:rPr>
          <m:t>=</m:t>
        </m:r>
        <m:r>
          <m:t>400</m:t>
        </m:r>
      </m:oMath>
      <w:r>
        <w:t xml:space="preserve"> </w:t>
      </w:r>
      <w:r>
        <w:t xml:space="preserve">berechnet, Krisenhäufigkeiten über</w:t>
      </w:r>
      <w:r>
        <w:t xml:space="preserve"> </w:t>
      </w:r>
      <m:oMath>
        <m:r>
          <m:t>t</m:t>
        </m:r>
        <m:r>
          <m:rPr>
            <m:sty m:val="p"/>
          </m:rPr>
          <m:t>≥</m:t>
        </m:r>
        <m:r>
          <m:t>200</m:t>
        </m:r>
      </m:oMath>
      <w:r>
        <w:t xml:space="preserve">.</w:t>
      </w:r>
    </w:p>
    <w:p>
      <w:pPr>
        <w:pStyle w:val="BodyText"/>
      </w:pPr>
      <w:r>
        <w:rPr>
          <w:bCs/>
          <w:b/>
        </w:rPr>
        <w:t xml:space="preserve">Umfang.</w:t>
      </w:r>
      <w:r>
        <w:t xml:space="preserve"> </w:t>
      </w:r>
      <w:r>
        <w:t xml:space="preserve">Das Hauptexperiment umfasst</w:t>
      </w:r>
      <w:r>
        <w:t xml:space="preserve"> </w:t>
      </w:r>
      <m:oMath>
        <m:r>
          <m:t>S</m:t>
        </m:r>
        <m:r>
          <m:rPr>
            <m:sty m:val="p"/>
          </m:rPr>
          <m:t>=</m:t>
        </m:r>
        <m:r>
          <m:t>30</m:t>
        </m:r>
      </m:oMath>
      <w:r>
        <w:t xml:space="preserve"> </w:t>
      </w:r>
      <w:r>
        <w:t xml:space="preserve">Läufe je Regime, also 120 Läufe. Berichtet werden Mittelwerte mit 95-%-Konfidenzintervallen.</w:t>
      </w:r>
    </w:p>
    <w:p>
      <w:pPr>
        <w:pStyle w:val="BodyText"/>
      </w:pPr>
      <w:r>
        <w:rPr>
          <w:bCs/>
          <w:b/>
        </w:rPr>
        <w:t xml:space="preserve">Sensitivitätsanalysen.</w:t>
      </w:r>
      <w:r>
        <w:t xml:space="preserve"> </w:t>
      </w:r>
      <w:r>
        <w:t xml:space="preserve">Mit je acht Läufen pro Gitterpunkt werden (i) die Eingriffsstärke – Preisdeckel, Mindestlohn, Steuersatz, Zinsobergrenze, Eigenkapitalanforderung – und (ii) Verhaltensannahmen – Marktmacht, Betrugsneigung, Konsum aus Vermögen, Tempo der Preisanpassung – variiert. Zusätzlich wird jedes Regime mit und ohne Kreditmarkt gerechnet. Eine Aussage gilt als robust, wenn die Rangfolge der Regime über den gesamten untersuchten Bereich erhalten bleibt.</w:t>
      </w:r>
    </w:p>
    <w:p>
      <w:pPr>
        <w:pStyle w:val="BodyText"/>
      </w:pPr>
      <w:r>
        <w:rPr>
          <w:bCs/>
          <w:b/>
        </w:rPr>
        <w:t xml:space="preserve">Keine Gesamtwertung.</w:t>
      </w:r>
      <w:r>
        <w:t xml:space="preserve"> </w:t>
      </w:r>
      <w:r>
        <w:t xml:space="preserve">Die Kennzahlen decken unterschiedliche Ziele ab – Effizienz, Verteilung, Stabilität, Versorgung, Krisenfestigkeit. Ihre Gewichtung ist eine normative Entscheidung und kein Modellergebnis; die Arbeit bildet daher bewusst keinen Gesamtindex.</w:t>
      </w:r>
    </w:p>
    <w:bookmarkEnd w:id="32"/>
    <w:bookmarkStart w:id="64" w:name="ergebnisse"/>
    <w:p>
      <w:pPr>
        <w:pStyle w:val="Heading1"/>
      </w:pPr>
      <w:r>
        <w:rPr>
          <w:rStyle w:val="SectionNumber"/>
        </w:rPr>
        <w:t xml:space="preserve">5</w:t>
      </w:r>
      <w:r>
        <w:tab/>
      </w:r>
      <w:r>
        <w:t xml:space="preserve">Ergebnisse</w:t>
      </w:r>
    </w:p>
    <w:bookmarkStart w:id="39" w:name="gesamtbild-in-der-ruhigen-phase"/>
    <w:p>
      <w:pPr>
        <w:pStyle w:val="Heading2"/>
      </w:pPr>
      <w:r>
        <w:rPr>
          <w:rStyle w:val="SectionNumber"/>
        </w:rPr>
        <w:t xml:space="preserve">5.1</w:t>
      </w:r>
      <w:r>
        <w:tab/>
      </w:r>
      <w:r>
        <w:t xml:space="preserve">Gesamtbild in der ruhigen Phase</w:t>
      </w:r>
    </w:p>
    <w:p>
      <w:pPr>
        <w:pStyle w:val="FirstParagraph"/>
      </w:pPr>
      <w:r>
        <w:t xml:space="preserve">Tabelle 3 fasst die Kennzahlen der ruhigen Phase (Perioden 200–399) und der Schockphase zusammen, Tabelle 4 die gepaarten Differenzen zu Regime B. Abbildung 1 zeigt die Verläufe der wichtigsten Größen.</w:t>
      </w:r>
    </w:p>
    <w:p>
      <w:pPr>
        <w:pStyle w:val="TableCaption"/>
      </w:pPr>
      <w:r>
        <w:t xml:space="preserve">Tabelle 3: Kennzahlen der Regime (Mittelwert, in Klammern halbe Breite des 95-%-Konfidenzintervalls; 30 Läufe je Regime). Spalte „Ziel“: ob ein hoher oder niedriger Wert konventionell als günstig gilt.</w:t>
      </w:r>
    </w:p>
    <w:tbl>
      <w:tblPr>
        <w:tblStyle w:val="Table"/>
        <w:tblW w:type="pct" w:w="5000"/>
        <w:jc w:val="center"/>
        <w:tblLook w:firstRow="1" w:lastRow="0" w:firstColumn="0" w:lastColumn="0" w:noHBand="0" w:noVBand="0" w:val="0020"/>
        <w:tblCaption w:val="Tabelle 3: Kennzahlen der Regime (Mittelwert, in Klammern halbe Breite des 95-%-Konfidenzintervalls; 30 Läufe je Regime). Spalte „Ziel“: ob ein hoher oder niedriger Wert konventionell als günstig gilt."/>
      </w:tblPr>
      <w:tblGrid>
        <w:gridCol w:w="2747"/>
        <w:gridCol w:w="646"/>
        <w:gridCol w:w="1131"/>
        <w:gridCol w:w="1131"/>
        <w:gridCol w:w="1131"/>
        <w:gridCol w:w="1131"/>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Kennzahl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Ziel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(ohne Recht)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 Regelrahmen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w:t>
            </w:r>
          </w:p>
        </w:tc>
      </w:tr>
      <w:tr>
        <w:tc>
          <w:tcPr/>
          <w:p>
            <w:pPr>
              <w:pStyle w:val="Compact"/>
              <w:spacing w:after="20" w:before="20"/>
              <w:jc w:val="left"/>
            </w:pPr>
            <w:r>
              <w:rPr>
                <w:sz w:val="18"/>
              </w:rPr>
              <w:t xml:space="preserve">Konsum pro Kopf</w:t>
            </w:r>
          </w:p>
        </w:tc>
        <w:tc>
          <w:tcPr/>
          <w:p>
            <w:pPr>
              <w:pStyle w:val="Compact"/>
              <w:spacing w:after="20" w:before="20"/>
              <w:jc w:val="center"/>
            </w:pPr>
            <w:r>
              <w:rPr>
                <w:sz w:val="18"/>
              </w:rPr>
              <w:t xml:space="preserve">hoch</w:t>
            </w:r>
          </w:p>
        </w:tc>
        <w:tc>
          <w:tcPr/>
          <w:p>
            <w:pPr>
              <w:pStyle w:val="Compact"/>
              <w:spacing w:after="20" w:before="20"/>
              <w:jc w:val="center"/>
            </w:pPr>
            <w:r>
              <w:rPr>
                <w:sz w:val="18"/>
              </w:rPr>
              <w:t xml:space="preserve">0,881 (±0,015)</w:t>
            </w:r>
          </w:p>
        </w:tc>
        <w:tc>
          <w:tcPr/>
          <w:p>
            <w:pPr>
              <w:pStyle w:val="Compact"/>
              <w:spacing w:after="20" w:before="20"/>
              <w:jc w:val="center"/>
            </w:pPr>
            <w:r>
              <w:rPr>
                <w:sz w:val="18"/>
              </w:rPr>
              <w:t xml:space="preserve">0,906 (±0,001)</w:t>
            </w:r>
          </w:p>
        </w:tc>
        <w:tc>
          <w:tcPr/>
          <w:p>
            <w:pPr>
              <w:pStyle w:val="Compact"/>
              <w:spacing w:after="20" w:before="20"/>
              <w:jc w:val="center"/>
            </w:pPr>
            <w:r>
              <w:rPr>
                <w:sz w:val="18"/>
              </w:rPr>
              <w:t xml:space="preserve">0,862 (±0,001)</w:t>
            </w:r>
          </w:p>
        </w:tc>
        <w:tc>
          <w:tcPr/>
          <w:p>
            <w:pPr>
              <w:pStyle w:val="Compact"/>
              <w:spacing w:after="20" w:before="20"/>
              <w:jc w:val="center"/>
            </w:pPr>
            <w:r>
              <w:rPr>
                <w:sz w:val="18"/>
              </w:rPr>
              <w:t xml:space="preserve">0,893 (±0,001)</w:t>
            </w:r>
          </w:p>
        </w:tc>
      </w:tr>
      <w:tr>
        <w:tc>
          <w:tcPr>
            <w:shd w:val="clear" w:color="auto" w:fill="F7F8FA"/>
          </w:tcPr>
          <w:p>
            <w:pPr>
              <w:pStyle w:val="Compact"/>
              <w:spacing w:after="20" w:before="20"/>
              <w:jc w:val="left"/>
            </w:pPr>
            <w:r>
              <w:rPr>
                <w:sz w:val="18"/>
              </w:rPr>
              <w:t xml:space="preserve">Wohlfahrt (Ø log-Nutzen)</w:t>
            </w:r>
          </w:p>
        </w:tc>
        <w:tc>
          <w:tcPr>
            <w:shd w:val="clear" w:color="auto" w:fill="F7F8FA"/>
          </w:tcPr>
          <w:p>
            <w:pPr>
              <w:pStyle w:val="Compact"/>
              <w:spacing w:after="20" w:before="20"/>
              <w:jc w:val="center"/>
            </w:pPr>
            <w:r>
              <w:rPr>
                <w:sz w:val="18"/>
              </w:rPr>
              <w:t xml:space="preserve">hoch</w:t>
            </w:r>
          </w:p>
        </w:tc>
        <w:tc>
          <w:tcPr>
            <w:shd w:val="clear" w:color="auto" w:fill="F7F8FA"/>
          </w:tcPr>
          <w:p>
            <w:pPr>
              <w:pStyle w:val="Compact"/>
              <w:spacing w:after="20" w:before="20"/>
              <w:jc w:val="center"/>
            </w:pPr>
            <w:r>
              <w:rPr>
                <w:sz w:val="18"/>
              </w:rPr>
              <w:t xml:space="preserve">0,575 (±0,011)</w:t>
            </w:r>
          </w:p>
        </w:tc>
        <w:tc>
          <w:tcPr>
            <w:shd w:val="clear" w:color="auto" w:fill="F7F8FA"/>
          </w:tcPr>
          <w:p>
            <w:pPr>
              <w:pStyle w:val="Compact"/>
              <w:spacing w:after="20" w:before="20"/>
              <w:jc w:val="center"/>
            </w:pPr>
            <w:r>
              <w:rPr>
                <w:sz w:val="18"/>
              </w:rPr>
              <w:t xml:space="preserve">0,624 (±0,001)</w:t>
            </w:r>
          </w:p>
        </w:tc>
        <w:tc>
          <w:tcPr>
            <w:shd w:val="clear" w:color="auto" w:fill="F7F8FA"/>
          </w:tcPr>
          <w:p>
            <w:pPr>
              <w:pStyle w:val="Compact"/>
              <w:spacing w:after="20" w:before="20"/>
              <w:jc w:val="center"/>
            </w:pPr>
            <w:r>
              <w:rPr>
                <w:sz w:val="18"/>
              </w:rPr>
              <w:t xml:space="preserve">0,608 (±0,000)</w:t>
            </w:r>
          </w:p>
        </w:tc>
        <w:tc>
          <w:tcPr>
            <w:shd w:val="clear" w:color="auto" w:fill="F7F8FA"/>
          </w:tcPr>
          <w:p>
            <w:pPr>
              <w:pStyle w:val="Compact"/>
              <w:spacing w:after="20" w:before="20"/>
              <w:jc w:val="center"/>
            </w:pPr>
            <w:r>
              <w:rPr>
                <w:sz w:val="18"/>
              </w:rPr>
              <w:t xml:space="preserve">0,615 (±0,001)</w:t>
            </w:r>
          </w:p>
        </w:tc>
      </w:tr>
      <w:tr>
        <w:tc>
          <w:tcPr/>
          <w:p>
            <w:pPr>
              <w:pStyle w:val="Compact"/>
              <w:spacing w:after="20" w:before="20"/>
              <w:jc w:val="left"/>
            </w:pPr>
            <w:r>
              <w:rPr>
                <w:sz w:val="18"/>
              </w:rPr>
              <w:t xml:space="preserve">Arbeitslosenquote</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13,8 % (±1,9 %)</w:t>
            </w:r>
          </w:p>
        </w:tc>
        <w:tc>
          <w:tcPr/>
          <w:p>
            <w:pPr>
              <w:pStyle w:val="Compact"/>
              <w:spacing w:after="20" w:before="20"/>
              <w:jc w:val="center"/>
            </w:pPr>
            <w:r>
              <w:rPr>
                <w:sz w:val="18"/>
              </w:rPr>
              <w:t xml:space="preserve">4,0 % (±0,2 %)</w:t>
            </w:r>
          </w:p>
        </w:tc>
        <w:tc>
          <w:tcPr/>
          <w:p>
            <w:pPr>
              <w:pStyle w:val="Compact"/>
              <w:spacing w:after="20" w:before="20"/>
              <w:jc w:val="center"/>
            </w:pPr>
            <w:r>
              <w:rPr>
                <w:sz w:val="18"/>
              </w:rPr>
              <w:t xml:space="preserve">3,8 % (±0,1 %)</w:t>
            </w:r>
          </w:p>
        </w:tc>
        <w:tc>
          <w:tcPr/>
          <w:p>
            <w:pPr>
              <w:pStyle w:val="Compact"/>
              <w:spacing w:after="20" w:before="20"/>
              <w:jc w:val="center"/>
            </w:pPr>
            <w:r>
              <w:rPr>
                <w:sz w:val="18"/>
              </w:rPr>
              <w:t xml:space="preserve">2,4 % (±0,1 %)</w:t>
            </w:r>
          </w:p>
        </w:tc>
      </w:tr>
      <w:tr>
        <w:tc>
          <w:tcPr>
            <w:shd w:val="clear" w:color="auto" w:fill="F7F8FA"/>
          </w:tcPr>
          <w:p>
            <w:pPr>
              <w:pStyle w:val="Compact"/>
              <w:spacing w:after="20" w:before="20"/>
              <w:jc w:val="left"/>
            </w:pPr>
            <w:r>
              <w:rPr>
                <w:sz w:val="18"/>
              </w:rPr>
              <w:t xml:space="preserve">Unbefriedigte Nachfrage</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6,3 % (±0,7 %)</w:t>
            </w:r>
          </w:p>
        </w:tc>
        <w:tc>
          <w:tcPr>
            <w:shd w:val="clear" w:color="auto" w:fill="F7F8FA"/>
          </w:tcPr>
          <w:p>
            <w:pPr>
              <w:pStyle w:val="Compact"/>
              <w:spacing w:after="20" w:before="20"/>
              <w:jc w:val="center"/>
            </w:pPr>
            <w:r>
              <w:rPr>
                <w:sz w:val="18"/>
              </w:rPr>
              <w:t xml:space="preserve">3,2 % (±0,1 %)</w:t>
            </w:r>
          </w:p>
        </w:tc>
        <w:tc>
          <w:tcPr>
            <w:shd w:val="clear" w:color="auto" w:fill="F7F8FA"/>
          </w:tcPr>
          <w:p>
            <w:pPr>
              <w:pStyle w:val="Compact"/>
              <w:spacing w:after="20" w:before="20"/>
              <w:jc w:val="center"/>
            </w:pPr>
            <w:r>
              <w:rPr>
                <w:sz w:val="18"/>
              </w:rPr>
              <w:t xml:space="preserve">3,3 % (±0,1 %)</w:t>
            </w:r>
          </w:p>
        </w:tc>
        <w:tc>
          <w:tcPr>
            <w:shd w:val="clear" w:color="auto" w:fill="F7F8FA"/>
          </w:tcPr>
          <w:p>
            <w:pPr>
              <w:pStyle w:val="Compact"/>
              <w:spacing w:after="20" w:before="20"/>
              <w:jc w:val="center"/>
            </w:pPr>
            <w:r>
              <w:rPr>
                <w:sz w:val="18"/>
              </w:rPr>
              <w:t xml:space="preserve">12,3 % (±0,2 %)</w:t>
            </w:r>
          </w:p>
        </w:tc>
      </w:tr>
      <w:tr>
        <w:tc>
          <w:tcPr/>
          <w:p>
            <w:pPr>
              <w:pStyle w:val="Compact"/>
              <w:spacing w:after="20" w:before="20"/>
              <w:jc w:val="left"/>
            </w:pPr>
            <w:r>
              <w:rPr>
                <w:sz w:val="18"/>
              </w:rPr>
              <w:t xml:space="preserve">Gini Vermögen</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0,416 (±0,015)</w:t>
            </w:r>
          </w:p>
        </w:tc>
        <w:tc>
          <w:tcPr/>
          <w:p>
            <w:pPr>
              <w:pStyle w:val="Compact"/>
              <w:spacing w:after="20" w:before="20"/>
              <w:jc w:val="center"/>
            </w:pPr>
            <w:r>
              <w:rPr>
                <w:sz w:val="18"/>
              </w:rPr>
              <w:t xml:space="preserve">0,281 (±0,007)</w:t>
            </w:r>
          </w:p>
        </w:tc>
        <w:tc>
          <w:tcPr/>
          <w:p>
            <w:pPr>
              <w:pStyle w:val="Compact"/>
              <w:spacing w:after="20" w:before="20"/>
              <w:jc w:val="center"/>
            </w:pPr>
            <w:r>
              <w:rPr>
                <w:sz w:val="18"/>
              </w:rPr>
              <w:t xml:space="preserve">0,247 (±0,006)</w:t>
            </w:r>
          </w:p>
        </w:tc>
        <w:tc>
          <w:tcPr/>
          <w:p>
            <w:pPr>
              <w:pStyle w:val="Compact"/>
              <w:spacing w:after="20" w:before="20"/>
              <w:jc w:val="center"/>
            </w:pPr>
            <w:r>
              <w:rPr>
                <w:sz w:val="18"/>
              </w:rPr>
              <w:t xml:space="preserve">0,280 (±0,001)</w:t>
            </w:r>
          </w:p>
        </w:tc>
      </w:tr>
      <w:tr>
        <w:tc>
          <w:tcPr>
            <w:shd w:val="clear" w:color="auto" w:fill="F7F8FA"/>
          </w:tcPr>
          <w:p>
            <w:pPr>
              <w:pStyle w:val="Compact"/>
              <w:spacing w:after="20" w:before="20"/>
              <w:jc w:val="left"/>
            </w:pPr>
            <w:r>
              <w:rPr>
                <w:sz w:val="18"/>
              </w:rPr>
              <w:t xml:space="preserve">Gini Einkommen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0,218 (±0,018)</w:t>
            </w:r>
          </w:p>
        </w:tc>
        <w:tc>
          <w:tcPr>
            <w:shd w:val="clear" w:color="auto" w:fill="F7F8FA"/>
          </w:tcPr>
          <w:p>
            <w:pPr>
              <w:pStyle w:val="Compact"/>
              <w:spacing w:after="20" w:before="20"/>
              <w:jc w:val="center"/>
            </w:pPr>
            <w:r>
              <w:rPr>
                <w:sz w:val="18"/>
              </w:rPr>
              <w:t xml:space="preserve">0,099 (±0,002)</w:t>
            </w:r>
          </w:p>
        </w:tc>
        <w:tc>
          <w:tcPr>
            <w:shd w:val="clear" w:color="auto" w:fill="F7F8FA"/>
          </w:tcPr>
          <w:p>
            <w:pPr>
              <w:pStyle w:val="Compact"/>
              <w:spacing w:after="20" w:before="20"/>
              <w:jc w:val="center"/>
            </w:pPr>
            <w:r>
              <w:rPr>
                <w:sz w:val="18"/>
              </w:rPr>
              <w:t xml:space="preserve">0,069 (±0,001)</w:t>
            </w:r>
          </w:p>
        </w:tc>
        <w:tc>
          <w:tcPr>
            <w:shd w:val="clear" w:color="auto" w:fill="F7F8FA"/>
          </w:tcPr>
          <w:p>
            <w:pPr>
              <w:pStyle w:val="Compact"/>
              <w:spacing w:after="20" w:before="20"/>
              <w:jc w:val="center"/>
            </w:pPr>
            <w:r>
              <w:rPr>
                <w:sz w:val="18"/>
              </w:rPr>
              <w:t xml:space="preserve">0,036 (±0,001)</w:t>
            </w:r>
          </w:p>
        </w:tc>
      </w:tr>
      <w:tr>
        <w:tc>
          <w:tcPr/>
          <w:p>
            <w:pPr>
              <w:pStyle w:val="Compact"/>
              <w:spacing w:after="20" w:before="20"/>
              <w:jc w:val="left"/>
            </w:pPr>
            <w:r>
              <w:rPr>
                <w:sz w:val="18"/>
              </w:rPr>
              <w:t xml:space="preserve">Marktkonzentration (HHI)</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0,075 (±0,001)</w:t>
            </w:r>
          </w:p>
        </w:tc>
        <w:tc>
          <w:tcPr/>
          <w:p>
            <w:pPr>
              <w:pStyle w:val="Compact"/>
              <w:spacing w:after="20" w:before="20"/>
              <w:jc w:val="center"/>
            </w:pPr>
            <w:r>
              <w:rPr>
                <w:sz w:val="18"/>
              </w:rPr>
              <w:t xml:space="preserve">0,068 (±0,001)</w:t>
            </w:r>
          </w:p>
        </w:tc>
        <w:tc>
          <w:tcPr/>
          <w:p>
            <w:pPr>
              <w:pStyle w:val="Compact"/>
              <w:spacing w:after="20" w:before="20"/>
              <w:jc w:val="center"/>
            </w:pPr>
            <w:r>
              <w:rPr>
                <w:sz w:val="18"/>
              </w:rPr>
              <w:t xml:space="preserve">0,065 (±0,002)</w:t>
            </w:r>
          </w:p>
        </w:tc>
        <w:tc>
          <w:tcPr/>
          <w:p>
            <w:pPr>
              <w:pStyle w:val="Compact"/>
              <w:spacing w:after="20" w:before="20"/>
              <w:jc w:val="center"/>
            </w:pPr>
            <w:r>
              <w:rPr>
                <w:sz w:val="18"/>
              </w:rPr>
              <w:t xml:space="preserve">0,043 (±0,000)</w:t>
            </w:r>
          </w:p>
        </w:tc>
      </w:tr>
      <w:tr>
        <w:tc>
          <w:tcPr>
            <w:shd w:val="clear" w:color="auto" w:fill="F7F8FA"/>
          </w:tcPr>
          <w:p>
            <w:pPr>
              <w:pStyle w:val="Compact"/>
              <w:spacing w:after="20" w:before="20"/>
              <w:jc w:val="left"/>
            </w:pPr>
            <w:r>
              <w:rPr>
                <w:sz w:val="18"/>
              </w:rPr>
              <w:t xml:space="preserve">Betrugsverluste (Anteil)</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5,1 % (±0,5 %)</w:t>
            </w:r>
          </w:p>
        </w:tc>
        <w:tc>
          <w:tcPr>
            <w:shd w:val="clear" w:color="auto" w:fill="F7F8FA"/>
          </w:tcPr>
          <w:p>
            <w:pPr>
              <w:pStyle w:val="Compact"/>
              <w:spacing w:after="20" w:before="20"/>
              <w:jc w:val="center"/>
            </w:pPr>
            <w:r>
              <w:rPr>
                <w:sz w:val="18"/>
              </w:rPr>
              <w:t xml:space="preserve">0,6 % (±0,0 %)</w:t>
            </w:r>
          </w:p>
        </w:tc>
        <w:tc>
          <w:tcPr>
            <w:shd w:val="clear" w:color="auto" w:fill="F7F8FA"/>
          </w:tcPr>
          <w:p>
            <w:pPr>
              <w:pStyle w:val="Compact"/>
              <w:spacing w:after="20" w:before="20"/>
              <w:jc w:val="center"/>
            </w:pPr>
            <w:r>
              <w:rPr>
                <w:sz w:val="18"/>
              </w:rPr>
              <w:t xml:space="preserve">0,6 % (±0,0 %)</w:t>
            </w:r>
          </w:p>
        </w:tc>
        <w:tc>
          <w:tcPr>
            <w:shd w:val="clear" w:color="auto" w:fill="F7F8FA"/>
          </w:tcPr>
          <w:p>
            <w:pPr>
              <w:pStyle w:val="Compact"/>
              <w:spacing w:after="20" w:before="20"/>
              <w:jc w:val="center"/>
            </w:pPr>
            <w:r>
              <w:rPr>
                <w:sz w:val="18"/>
              </w:rPr>
              <w:t xml:space="preserve">0,4 % (±0,1 %)</w:t>
            </w:r>
          </w:p>
        </w:tc>
      </w:tr>
      <w:tr>
        <w:tc>
          <w:tcPr/>
          <w:p>
            <w:pPr>
              <w:pStyle w:val="Compact"/>
              <w:spacing w:after="20" w:before="20"/>
              <w:jc w:val="left"/>
            </w:pPr>
            <w:r>
              <w:rPr>
                <w:sz w:val="18"/>
              </w:rPr>
              <w:t xml:space="preserve">Volatilität Konsum (VK)</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0,070 (±0,013)</w:t>
            </w:r>
          </w:p>
        </w:tc>
        <w:tc>
          <w:tcPr/>
          <w:p>
            <w:pPr>
              <w:pStyle w:val="Compact"/>
              <w:spacing w:after="20" w:before="20"/>
              <w:jc w:val="center"/>
            </w:pPr>
            <w:r>
              <w:rPr>
                <w:sz w:val="18"/>
              </w:rPr>
              <w:t xml:space="preserve">0,032 (±0,002)</w:t>
            </w:r>
          </w:p>
        </w:tc>
        <w:tc>
          <w:tcPr/>
          <w:p>
            <w:pPr>
              <w:pStyle w:val="Compact"/>
              <w:spacing w:after="20" w:before="20"/>
              <w:jc w:val="center"/>
            </w:pPr>
            <w:r>
              <w:rPr>
                <w:sz w:val="18"/>
              </w:rPr>
              <w:t xml:space="preserve">0,027 (±0,001)</w:t>
            </w:r>
          </w:p>
        </w:tc>
        <w:tc>
          <w:tcPr/>
          <w:p>
            <w:pPr>
              <w:pStyle w:val="Compact"/>
              <w:spacing w:after="20" w:before="20"/>
              <w:jc w:val="center"/>
            </w:pPr>
            <w:r>
              <w:rPr>
                <w:sz w:val="18"/>
              </w:rPr>
              <w:t xml:space="preserve">0,025 (±0,001)</w:t>
            </w:r>
          </w:p>
        </w:tc>
      </w:tr>
      <w:tr>
        <w:tc>
          <w:tcPr>
            <w:shd w:val="clear" w:color="auto" w:fill="F7F8FA"/>
          </w:tcPr>
          <w:p>
            <w:pPr>
              <w:pStyle w:val="Compact"/>
              <w:spacing w:after="20" w:before="20"/>
              <w:jc w:val="left"/>
            </w:pPr>
            <w:r>
              <w:rPr>
                <w:sz w:val="18"/>
              </w:rPr>
              <w:t xml:space="preserve">Volatilität Inflation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0,0043 (±0,0001)</w:t>
            </w:r>
          </w:p>
        </w:tc>
        <w:tc>
          <w:tcPr>
            <w:shd w:val="clear" w:color="auto" w:fill="F7F8FA"/>
          </w:tcPr>
          <w:p>
            <w:pPr>
              <w:pStyle w:val="Compact"/>
              <w:spacing w:after="20" w:before="20"/>
              <w:jc w:val="center"/>
            </w:pPr>
            <w:r>
              <w:rPr>
                <w:sz w:val="18"/>
              </w:rPr>
              <w:t xml:space="preserve">0,0037 (±0,0001)</w:t>
            </w:r>
          </w:p>
        </w:tc>
        <w:tc>
          <w:tcPr>
            <w:shd w:val="clear" w:color="auto" w:fill="F7F8FA"/>
          </w:tcPr>
          <w:p>
            <w:pPr>
              <w:pStyle w:val="Compact"/>
              <w:spacing w:after="20" w:before="20"/>
              <w:jc w:val="center"/>
            </w:pPr>
            <w:r>
              <w:rPr>
                <w:sz w:val="18"/>
              </w:rPr>
              <w:t xml:space="preserve">0,0032 (±0,0001)</w:t>
            </w:r>
          </w:p>
        </w:tc>
        <w:tc>
          <w:tcPr>
            <w:shd w:val="clear" w:color="auto" w:fill="F7F8FA"/>
          </w:tcPr>
          <w:p>
            <w:pPr>
              <w:pStyle w:val="Compact"/>
              <w:spacing w:after="20" w:before="20"/>
              <w:jc w:val="center"/>
            </w:pPr>
            <w:r>
              <w:rPr>
                <w:sz w:val="18"/>
              </w:rPr>
              <w:t xml:space="preserve">0,0022 (±0,0001)</w:t>
            </w:r>
          </w:p>
        </w:tc>
      </w:tr>
      <w:tr>
        <w:tc>
          <w:tcPr/>
          <w:p>
            <w:pPr>
              <w:pStyle w:val="Compact"/>
              <w:spacing w:after="20" w:before="20"/>
              <w:jc w:val="left"/>
            </w:pPr>
            <w:r>
              <w:rPr>
                <w:sz w:val="18"/>
              </w:rPr>
              <w:t xml:space="preserve">Kumul. Konsumverlust nach Schock</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8,8 (±1,3)</w:t>
            </w:r>
          </w:p>
        </w:tc>
        <w:tc>
          <w:tcPr/>
          <w:p>
            <w:pPr>
              <w:pStyle w:val="Compact"/>
              <w:spacing w:after="20" w:before="20"/>
              <w:jc w:val="center"/>
            </w:pPr>
            <w:r>
              <w:rPr>
                <w:sz w:val="18"/>
              </w:rPr>
              <w:t xml:space="preserve">9,2 (±0,2)</w:t>
            </w:r>
          </w:p>
        </w:tc>
        <w:tc>
          <w:tcPr/>
          <w:p>
            <w:pPr>
              <w:pStyle w:val="Compact"/>
              <w:spacing w:after="20" w:before="20"/>
              <w:jc w:val="center"/>
            </w:pPr>
            <w:r>
              <w:rPr>
                <w:sz w:val="18"/>
              </w:rPr>
              <w:t xml:space="preserve">8,5 (±0,1)</w:t>
            </w:r>
          </w:p>
        </w:tc>
        <w:tc>
          <w:tcPr/>
          <w:p>
            <w:pPr>
              <w:pStyle w:val="Compact"/>
              <w:spacing w:after="20" w:before="20"/>
              <w:jc w:val="center"/>
            </w:pPr>
            <w:r>
              <w:rPr>
                <w:sz w:val="18"/>
              </w:rPr>
              <w:t xml:space="preserve">13,0 (±0,5)</w:t>
            </w:r>
          </w:p>
        </w:tc>
      </w:tr>
      <w:tr>
        <w:tc>
          <w:tcPr>
            <w:shd w:val="clear" w:color="auto" w:fill="F7F8FA"/>
          </w:tcPr>
          <w:p>
            <w:pPr>
              <w:pStyle w:val="Compact"/>
              <w:spacing w:after="20" w:before="20"/>
              <w:jc w:val="left"/>
            </w:pPr>
            <w:r>
              <w:rPr>
                <w:sz w:val="18"/>
              </w:rPr>
              <w:t xml:space="preserve">Erholungszeit (Perioden)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11,6 (±3,6)</w:t>
            </w:r>
          </w:p>
        </w:tc>
        <w:tc>
          <w:tcPr>
            <w:shd w:val="clear" w:color="auto" w:fill="F7F8FA"/>
          </w:tcPr>
          <w:p>
            <w:pPr>
              <w:pStyle w:val="Compact"/>
              <w:spacing w:after="20" w:before="20"/>
              <w:jc w:val="center"/>
            </w:pPr>
            <w:r>
              <w:rPr>
                <w:sz w:val="18"/>
              </w:rPr>
              <w:t xml:space="preserve">13,7 (±1,9)</w:t>
            </w:r>
          </w:p>
        </w:tc>
        <w:tc>
          <w:tcPr>
            <w:shd w:val="clear" w:color="auto" w:fill="F7F8FA"/>
          </w:tcPr>
          <w:p>
            <w:pPr>
              <w:pStyle w:val="Compact"/>
              <w:spacing w:after="20" w:before="20"/>
              <w:jc w:val="center"/>
            </w:pPr>
            <w:r>
              <w:rPr>
                <w:sz w:val="18"/>
              </w:rPr>
              <w:t xml:space="preserve">10,6 (±0,6)</w:t>
            </w:r>
          </w:p>
        </w:tc>
        <w:tc>
          <w:tcPr>
            <w:shd w:val="clear" w:color="auto" w:fill="F7F8FA"/>
          </w:tcPr>
          <w:p>
            <w:pPr>
              <w:pStyle w:val="Compact"/>
              <w:spacing w:after="20" w:before="20"/>
              <w:jc w:val="center"/>
            </w:pPr>
            <w:r>
              <w:rPr>
                <w:sz w:val="18"/>
              </w:rPr>
              <w:t xml:space="preserve">28,4 (±1,9)</w:t>
            </w:r>
          </w:p>
        </w:tc>
      </w:tr>
      <w:tr>
        <w:tc>
          <w:tcPr>
            <w:tcBorders>
              <w:bottom w:val="single" w:sz="12" w:color="1F3864"/>
            </w:tcBorders>
          </w:tcPr>
          <w:p>
            <w:pPr>
              <w:pStyle w:val="Compact"/>
              <w:spacing w:after="20" w:before="20"/>
              <w:jc w:val="left"/>
            </w:pPr>
            <w:r>
              <w:rPr>
                <w:sz w:val="18"/>
              </w:rPr>
              <w:t xml:space="preserve">Insolvenzen je 100 Perioden</w:t>
            </w:r>
          </w:p>
        </w:tc>
        <w:tc>
          <w:tcPr>
            <w:tcBorders>
              <w:bottom w:val="single" w:sz="12" w:color="1F3864"/>
            </w:tcBorders>
          </w:tcPr>
          <w:p>
            <w:pPr>
              <w:pStyle w:val="Compact"/>
              <w:spacing w:after="20" w:before="20"/>
              <w:jc w:val="center"/>
            </w:pPr>
            <w:r>
              <w:rPr>
                <w:sz w:val="18"/>
              </w:rPr>
              <w:t xml:space="preserve">niedrig</w:t>
            </w:r>
          </w:p>
        </w:tc>
        <w:tc>
          <w:tcPr>
            <w:tcBorders>
              <w:bottom w:val="single" w:sz="12" w:color="1F3864"/>
            </w:tcBorders>
          </w:tcPr>
          <w:p>
            <w:pPr>
              <w:pStyle w:val="Compact"/>
              <w:spacing w:after="20" w:before="20"/>
              <w:jc w:val="center"/>
            </w:pPr>
            <w:r>
              <w:rPr>
                <w:sz w:val="18"/>
              </w:rPr>
              <w:t xml:space="preserve">37,7 (±2,9)</w:t>
            </w:r>
          </w:p>
        </w:tc>
        <w:tc>
          <w:tcPr>
            <w:tcBorders>
              <w:bottom w:val="single" w:sz="12" w:color="1F3864"/>
            </w:tcBorders>
          </w:tcPr>
          <w:p>
            <w:pPr>
              <w:pStyle w:val="Compact"/>
              <w:spacing w:after="20" w:before="20"/>
              <w:jc w:val="center"/>
            </w:pPr>
            <w:r>
              <w:rPr>
                <w:sz w:val="18"/>
              </w:rPr>
              <w:t xml:space="preserve">54,2 (±2,2)</w:t>
            </w:r>
          </w:p>
        </w:tc>
        <w:tc>
          <w:tcPr>
            <w:tcBorders>
              <w:bottom w:val="single" w:sz="12" w:color="1F3864"/>
            </w:tcBorders>
          </w:tcPr>
          <w:p>
            <w:pPr>
              <w:pStyle w:val="Compact"/>
              <w:spacing w:after="20" w:before="20"/>
              <w:jc w:val="center"/>
            </w:pPr>
            <w:r>
              <w:rPr>
                <w:sz w:val="18"/>
              </w:rPr>
              <w:t xml:space="preserve">72,4 (±3,9)</w:t>
            </w:r>
          </w:p>
        </w:tc>
        <w:tc>
          <w:tcPr>
            <w:tcBorders>
              <w:bottom w:val="single" w:sz="12" w:color="1F3864"/>
            </w:tcBorders>
          </w:tcPr>
          <w:p>
            <w:pPr>
              <w:pStyle w:val="Compact"/>
              <w:spacing w:after="20" w:before="20"/>
              <w:jc w:val="center"/>
            </w:pPr>
            <w:r>
              <w:rPr>
                <w:sz w:val="18"/>
              </w:rPr>
              <w:t xml:space="preserve">0,2 (±0,1)</w:t>
            </w:r>
          </w:p>
        </w:tc>
      </w:tr>
    </w:tbl>
    <w:p/>
    <w:p>
      <w:pPr>
        <w:pStyle w:val="TableCaption"/>
      </w:pPr>
      <w:r>
        <w:t xml:space="preserve">Tabelle 4: Gepaarte Differenzen zu Regime B (gleicher Seed, 30 Paare); * = 95-%-Konfidenzintervall schließt null aus.</w:t>
      </w:r>
    </w:p>
    <w:tbl>
      <w:tblPr>
        <w:tblStyle w:val="Table"/>
        <w:tblW w:type="pct" w:w="5000"/>
        <w:jc w:val="center"/>
        <w:tblLook w:firstRow="1" w:lastRow="0" w:firstColumn="0" w:lastColumn="0" w:noHBand="0" w:noVBand="0" w:val="0020"/>
        <w:tblCaption w:val="Tabelle 4: Gepaarte Differenzen zu Regime B (gleicher Seed, 30 Paare); * = 95-%-Konfidenzintervall schließt null aus."/>
      </w:tblPr>
      <w:tblGrid>
        <w:gridCol w:w="3060"/>
        <w:gridCol w:w="1620"/>
        <w:gridCol w:w="1620"/>
        <w:gridCol w:w="1620"/>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Kennzahl</w:t>
            </w:r>
          </w:p>
        </w:tc>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A frei (ohne Recht) − B</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 − B</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 − B</w:t>
            </w:r>
          </w:p>
        </w:tc>
      </w:tr>
      <w:tr>
        <w:tc>
          <w:tcPr/>
          <w:p>
            <w:pPr>
              <w:pStyle w:val="Compact"/>
              <w:spacing w:after="20" w:before="20"/>
              <w:jc w:val="left"/>
            </w:pPr>
            <w:r>
              <w:rPr>
                <w:sz w:val="18"/>
              </w:rPr>
              <w:t xml:space="preserve">Konsum pro Kopf</w:t>
            </w:r>
          </w:p>
        </w:tc>
        <w:tc>
          <w:tcPr/>
          <w:p>
            <w:pPr>
              <w:pStyle w:val="Compact"/>
              <w:spacing w:after="20" w:before="20"/>
              <w:jc w:val="center"/>
            </w:pPr>
            <w:r>
              <w:rPr>
                <w:sz w:val="18"/>
              </w:rPr>
              <w:t xml:space="preserve">+0,019*</w:t>
            </w:r>
          </w:p>
        </w:tc>
        <w:tc>
          <w:tcPr/>
          <w:p>
            <w:pPr>
              <w:pStyle w:val="Compact"/>
              <w:spacing w:after="20" w:before="20"/>
              <w:jc w:val="center"/>
            </w:pPr>
            <w:r>
              <w:rPr>
                <w:sz w:val="18"/>
              </w:rPr>
              <w:t xml:space="preserve">+0,044*</w:t>
            </w:r>
          </w:p>
        </w:tc>
        <w:tc>
          <w:tcPr/>
          <w:p>
            <w:pPr>
              <w:pStyle w:val="Compact"/>
              <w:spacing w:after="20" w:before="20"/>
              <w:jc w:val="center"/>
            </w:pPr>
            <w:r>
              <w:rPr>
                <w:sz w:val="18"/>
              </w:rPr>
              <w:t xml:space="preserve">+0,032*</w:t>
            </w:r>
          </w:p>
        </w:tc>
      </w:tr>
      <w:tr>
        <w:tc>
          <w:tcPr>
            <w:shd w:val="clear" w:color="auto" w:fill="F7F8FA"/>
          </w:tcPr>
          <w:p>
            <w:pPr>
              <w:pStyle w:val="Compact"/>
              <w:spacing w:after="20" w:before="20"/>
              <w:jc w:val="left"/>
            </w:pPr>
            <w:r>
              <w:rPr>
                <w:sz w:val="18"/>
              </w:rPr>
              <w:t xml:space="preserve">Wohlfahrt (Ø log-Nutzen)</w:t>
            </w:r>
          </w:p>
        </w:tc>
        <w:tc>
          <w:tcPr>
            <w:shd w:val="clear" w:color="auto" w:fill="F7F8FA"/>
          </w:tcPr>
          <w:p>
            <w:pPr>
              <w:pStyle w:val="Compact"/>
              <w:spacing w:after="20" w:before="20"/>
              <w:jc w:val="center"/>
            </w:pPr>
            <w:r>
              <w:rPr>
                <w:sz w:val="18"/>
              </w:rPr>
              <w:t xml:space="preserve">−0,033*</w:t>
            </w:r>
          </w:p>
        </w:tc>
        <w:tc>
          <w:tcPr>
            <w:shd w:val="clear" w:color="auto" w:fill="F7F8FA"/>
          </w:tcPr>
          <w:p>
            <w:pPr>
              <w:pStyle w:val="Compact"/>
              <w:spacing w:after="20" w:before="20"/>
              <w:jc w:val="center"/>
            </w:pPr>
            <w:r>
              <w:rPr>
                <w:sz w:val="18"/>
              </w:rPr>
              <w:t xml:space="preserve">+0,016*</w:t>
            </w:r>
          </w:p>
        </w:tc>
        <w:tc>
          <w:tcPr>
            <w:shd w:val="clear" w:color="auto" w:fill="F7F8FA"/>
          </w:tcPr>
          <w:p>
            <w:pPr>
              <w:pStyle w:val="Compact"/>
              <w:spacing w:after="20" w:before="20"/>
              <w:jc w:val="center"/>
            </w:pPr>
            <w:r>
              <w:rPr>
                <w:sz w:val="18"/>
              </w:rPr>
              <w:t xml:space="preserve">+0,007*</w:t>
            </w:r>
          </w:p>
        </w:tc>
      </w:tr>
      <w:tr>
        <w:tc>
          <w:tcPr/>
          <w:p>
            <w:pPr>
              <w:pStyle w:val="Compact"/>
              <w:spacing w:after="20" w:before="20"/>
              <w:jc w:val="left"/>
            </w:pPr>
            <w:r>
              <w:rPr>
                <w:sz w:val="18"/>
              </w:rPr>
              <w:t xml:space="preserve">Arbeitslosenquote</w:t>
            </w:r>
          </w:p>
        </w:tc>
        <w:tc>
          <w:tcPr/>
          <w:p>
            <w:pPr>
              <w:pStyle w:val="Compact"/>
              <w:spacing w:after="20" w:before="20"/>
              <w:jc w:val="center"/>
            </w:pPr>
            <w:r>
              <w:rPr>
                <w:sz w:val="18"/>
              </w:rPr>
              <w:t xml:space="preserve">+10,0 %*</w:t>
            </w:r>
          </w:p>
        </w:tc>
        <w:tc>
          <w:tcPr/>
          <w:p>
            <w:pPr>
              <w:pStyle w:val="Compact"/>
              <w:spacing w:after="20" w:before="20"/>
              <w:jc w:val="center"/>
            </w:pPr>
            <w:r>
              <w:rPr>
                <w:sz w:val="18"/>
              </w:rPr>
              <w:t xml:space="preserve">+0,2 %</w:t>
            </w:r>
          </w:p>
        </w:tc>
        <w:tc>
          <w:tcPr/>
          <w:p>
            <w:pPr>
              <w:pStyle w:val="Compact"/>
              <w:spacing w:after="20" w:before="20"/>
              <w:jc w:val="center"/>
            </w:pPr>
            <w:r>
              <w:rPr>
                <w:sz w:val="18"/>
              </w:rPr>
              <w:t xml:space="preserve">−1,4 %*</w:t>
            </w:r>
          </w:p>
        </w:tc>
      </w:tr>
      <w:tr>
        <w:tc>
          <w:tcPr>
            <w:shd w:val="clear" w:color="auto" w:fill="F7F8FA"/>
          </w:tcPr>
          <w:p>
            <w:pPr>
              <w:pStyle w:val="Compact"/>
              <w:spacing w:after="20" w:before="20"/>
              <w:jc w:val="left"/>
            </w:pPr>
            <w:r>
              <w:rPr>
                <w:sz w:val="18"/>
              </w:rPr>
              <w:t xml:space="preserve">Unbefriedigte Nachfrage</w:t>
            </w:r>
          </w:p>
        </w:tc>
        <w:tc>
          <w:tcPr>
            <w:shd w:val="clear" w:color="auto" w:fill="F7F8FA"/>
          </w:tcPr>
          <w:p>
            <w:pPr>
              <w:pStyle w:val="Compact"/>
              <w:spacing w:after="20" w:before="20"/>
              <w:jc w:val="center"/>
            </w:pPr>
            <w:r>
              <w:rPr>
                <w:sz w:val="18"/>
              </w:rPr>
              <w:t xml:space="preserve">+3,0 %*</w:t>
            </w:r>
          </w:p>
        </w:tc>
        <w:tc>
          <w:tcPr>
            <w:shd w:val="clear" w:color="auto" w:fill="F7F8FA"/>
          </w:tcPr>
          <w:p>
            <w:pPr>
              <w:pStyle w:val="Compact"/>
              <w:spacing w:after="20" w:before="20"/>
              <w:jc w:val="center"/>
            </w:pPr>
            <w:r>
              <w:rPr>
                <w:sz w:val="18"/>
              </w:rPr>
              <w:t xml:space="preserve">−0,1 %</w:t>
            </w:r>
          </w:p>
        </w:tc>
        <w:tc>
          <w:tcPr>
            <w:shd w:val="clear" w:color="auto" w:fill="F7F8FA"/>
          </w:tcPr>
          <w:p>
            <w:pPr>
              <w:pStyle w:val="Compact"/>
              <w:spacing w:after="20" w:before="20"/>
              <w:jc w:val="center"/>
            </w:pPr>
            <w:r>
              <w:rPr>
                <w:sz w:val="18"/>
              </w:rPr>
              <w:t xml:space="preserve">+9,0 %*</w:t>
            </w:r>
          </w:p>
        </w:tc>
      </w:tr>
      <w:tr>
        <w:tc>
          <w:tcPr/>
          <w:p>
            <w:pPr>
              <w:pStyle w:val="Compact"/>
              <w:spacing w:after="20" w:before="20"/>
              <w:jc w:val="left"/>
            </w:pPr>
            <w:r>
              <w:rPr>
                <w:sz w:val="18"/>
              </w:rPr>
              <w:t xml:space="preserve">Gini Vermögen</w:t>
            </w:r>
          </w:p>
        </w:tc>
        <w:tc>
          <w:tcPr/>
          <w:p>
            <w:pPr>
              <w:pStyle w:val="Compact"/>
              <w:spacing w:after="20" w:before="20"/>
              <w:jc w:val="center"/>
            </w:pPr>
            <w:r>
              <w:rPr>
                <w:sz w:val="18"/>
              </w:rPr>
              <w:t xml:space="preserve">+0,170*</w:t>
            </w:r>
          </w:p>
        </w:tc>
        <w:tc>
          <w:tcPr/>
          <w:p>
            <w:pPr>
              <w:pStyle w:val="Compact"/>
              <w:spacing w:after="20" w:before="20"/>
              <w:jc w:val="center"/>
            </w:pPr>
            <w:r>
              <w:rPr>
                <w:sz w:val="18"/>
              </w:rPr>
              <w:t xml:space="preserve">+0,035*</w:t>
            </w:r>
          </w:p>
        </w:tc>
        <w:tc>
          <w:tcPr/>
          <w:p>
            <w:pPr>
              <w:pStyle w:val="Compact"/>
              <w:spacing w:after="20" w:before="20"/>
              <w:jc w:val="center"/>
            </w:pPr>
            <w:r>
              <w:rPr>
                <w:sz w:val="18"/>
              </w:rPr>
              <w:t xml:space="preserve">+0,034*</w:t>
            </w:r>
          </w:p>
        </w:tc>
      </w:tr>
      <w:tr>
        <w:tc>
          <w:tcPr>
            <w:shd w:val="clear" w:color="auto" w:fill="F7F8FA"/>
          </w:tcPr>
          <w:p>
            <w:pPr>
              <w:pStyle w:val="Compact"/>
              <w:spacing w:after="20" w:before="20"/>
              <w:jc w:val="left"/>
            </w:pPr>
            <w:r>
              <w:rPr>
                <w:sz w:val="18"/>
              </w:rPr>
              <w:t xml:space="preserve">Gini Einkommen</w:t>
            </w:r>
          </w:p>
        </w:tc>
        <w:tc>
          <w:tcPr>
            <w:shd w:val="clear" w:color="auto" w:fill="F7F8FA"/>
          </w:tcPr>
          <w:p>
            <w:pPr>
              <w:pStyle w:val="Compact"/>
              <w:spacing w:after="20" w:before="20"/>
              <w:jc w:val="center"/>
            </w:pPr>
            <w:r>
              <w:rPr>
                <w:sz w:val="18"/>
              </w:rPr>
              <w:t xml:space="preserve">+0,149*</w:t>
            </w:r>
          </w:p>
        </w:tc>
        <w:tc>
          <w:tcPr>
            <w:shd w:val="clear" w:color="auto" w:fill="F7F8FA"/>
          </w:tcPr>
          <w:p>
            <w:pPr>
              <w:pStyle w:val="Compact"/>
              <w:spacing w:after="20" w:before="20"/>
              <w:jc w:val="center"/>
            </w:pPr>
            <w:r>
              <w:rPr>
                <w:sz w:val="18"/>
              </w:rPr>
              <w:t xml:space="preserve">+0,030*</w:t>
            </w:r>
          </w:p>
        </w:tc>
        <w:tc>
          <w:tcPr>
            <w:shd w:val="clear" w:color="auto" w:fill="F7F8FA"/>
          </w:tcPr>
          <w:p>
            <w:pPr>
              <w:pStyle w:val="Compact"/>
              <w:spacing w:after="20" w:before="20"/>
              <w:jc w:val="center"/>
            </w:pPr>
            <w:r>
              <w:rPr>
                <w:sz w:val="18"/>
              </w:rPr>
              <w:t xml:space="preserve">−0,033*</w:t>
            </w:r>
          </w:p>
        </w:tc>
      </w:tr>
      <w:tr>
        <w:tc>
          <w:tcPr/>
          <w:p>
            <w:pPr>
              <w:pStyle w:val="Compact"/>
              <w:spacing w:after="20" w:before="20"/>
              <w:jc w:val="left"/>
            </w:pPr>
            <w:r>
              <w:rPr>
                <w:sz w:val="18"/>
              </w:rPr>
              <w:t xml:space="preserve">Volatilität Konsum (VK)</w:t>
            </w:r>
          </w:p>
        </w:tc>
        <w:tc>
          <w:tcPr/>
          <w:p>
            <w:pPr>
              <w:pStyle w:val="Compact"/>
              <w:spacing w:after="20" w:before="20"/>
              <w:jc w:val="center"/>
            </w:pPr>
            <w:r>
              <w:rPr>
                <w:sz w:val="18"/>
              </w:rPr>
              <w:t xml:space="preserve">+0,042*</w:t>
            </w:r>
          </w:p>
        </w:tc>
        <w:tc>
          <w:tcPr/>
          <w:p>
            <w:pPr>
              <w:pStyle w:val="Compact"/>
              <w:spacing w:after="20" w:before="20"/>
              <w:jc w:val="center"/>
            </w:pPr>
            <w:r>
              <w:rPr>
                <w:sz w:val="18"/>
              </w:rPr>
              <w:t xml:space="preserve">+0,005*</w:t>
            </w:r>
          </w:p>
        </w:tc>
        <w:tc>
          <w:tcPr/>
          <w:p>
            <w:pPr>
              <w:pStyle w:val="Compact"/>
              <w:spacing w:after="20" w:before="20"/>
              <w:jc w:val="center"/>
            </w:pPr>
            <w:r>
              <w:rPr>
                <w:sz w:val="18"/>
              </w:rPr>
              <w:t xml:space="preserve">−0,002*</w:t>
            </w:r>
          </w:p>
        </w:tc>
      </w:tr>
      <w:tr>
        <w:tc>
          <w:tcPr>
            <w:shd w:val="clear" w:color="auto" w:fill="F7F8FA"/>
          </w:tcPr>
          <w:p>
            <w:pPr>
              <w:pStyle w:val="Compact"/>
              <w:spacing w:after="20" w:before="20"/>
              <w:jc w:val="left"/>
            </w:pPr>
            <w:r>
              <w:rPr>
                <w:sz w:val="18"/>
              </w:rPr>
              <w:t xml:space="preserve">Kumul. Konsumverlust nach Schock</w:t>
            </w:r>
          </w:p>
        </w:tc>
        <w:tc>
          <w:tcPr>
            <w:shd w:val="clear" w:color="auto" w:fill="F7F8FA"/>
          </w:tcPr>
          <w:p>
            <w:pPr>
              <w:pStyle w:val="Compact"/>
              <w:spacing w:after="20" w:before="20"/>
              <w:jc w:val="center"/>
            </w:pPr>
            <w:r>
              <w:rPr>
                <w:sz w:val="18"/>
              </w:rPr>
              <w:t xml:space="preserve">+0,3</w:t>
            </w:r>
          </w:p>
        </w:tc>
        <w:tc>
          <w:tcPr>
            <w:shd w:val="clear" w:color="auto" w:fill="F7F8FA"/>
          </w:tcPr>
          <w:p>
            <w:pPr>
              <w:pStyle w:val="Compact"/>
              <w:spacing w:after="20" w:before="20"/>
              <w:jc w:val="center"/>
            </w:pPr>
            <w:r>
              <w:rPr>
                <w:sz w:val="18"/>
              </w:rPr>
              <w:t xml:space="preserve">+0,7*</w:t>
            </w:r>
          </w:p>
        </w:tc>
        <w:tc>
          <w:tcPr>
            <w:shd w:val="clear" w:color="auto" w:fill="F7F8FA"/>
          </w:tcPr>
          <w:p>
            <w:pPr>
              <w:pStyle w:val="Compact"/>
              <w:spacing w:after="20" w:before="20"/>
              <w:jc w:val="center"/>
            </w:pPr>
            <w:r>
              <w:rPr>
                <w:sz w:val="18"/>
              </w:rPr>
              <w:t xml:space="preserve">+4,5*</w:t>
            </w:r>
          </w:p>
        </w:tc>
      </w:tr>
      <w:tr>
        <w:tc>
          <w:tcPr/>
          <w:p>
            <w:pPr>
              <w:pStyle w:val="Compact"/>
              <w:spacing w:after="20" w:before="20"/>
              <w:jc w:val="left"/>
            </w:pPr>
            <w:r>
              <w:rPr>
                <w:sz w:val="18"/>
              </w:rPr>
              <w:t xml:space="preserve">Erholungszeit (Perioden)</w:t>
            </w:r>
          </w:p>
        </w:tc>
        <w:tc>
          <w:tcPr/>
          <w:p>
            <w:pPr>
              <w:pStyle w:val="Compact"/>
              <w:spacing w:after="20" w:before="20"/>
              <w:jc w:val="center"/>
            </w:pPr>
            <w:r>
              <w:rPr>
                <w:sz w:val="18"/>
              </w:rPr>
              <w:t xml:space="preserve">+1,0</w:t>
            </w:r>
          </w:p>
        </w:tc>
        <w:tc>
          <w:tcPr/>
          <w:p>
            <w:pPr>
              <w:pStyle w:val="Compact"/>
              <w:spacing w:after="20" w:before="20"/>
              <w:jc w:val="center"/>
            </w:pPr>
            <w:r>
              <w:rPr>
                <w:sz w:val="18"/>
              </w:rPr>
              <w:t xml:space="preserve">+3,1*</w:t>
            </w:r>
          </w:p>
        </w:tc>
        <w:tc>
          <w:tcPr/>
          <w:p>
            <w:pPr>
              <w:pStyle w:val="Compact"/>
              <w:spacing w:after="20" w:before="20"/>
              <w:jc w:val="center"/>
            </w:pPr>
            <w:r>
              <w:rPr>
                <w:sz w:val="18"/>
              </w:rPr>
              <w:t xml:space="preserve">+17,7*</w:t>
            </w:r>
          </w:p>
        </w:tc>
      </w:tr>
      <w:tr>
        <w:tc>
          <w:tcPr>
            <w:shd w:val="clear" w:color="auto" w:fill="F7F8FA"/>
            <w:tcBorders>
              <w:bottom w:val="single" w:sz="12" w:color="1F3864"/>
            </w:tcBorders>
          </w:tcPr>
          <w:p>
            <w:pPr>
              <w:pStyle w:val="Compact"/>
              <w:spacing w:after="20" w:before="20"/>
              <w:jc w:val="left"/>
            </w:pPr>
            <w:r>
              <w:rPr>
                <w:sz w:val="18"/>
              </w:rPr>
              <w:t xml:space="preserve">Insolvenzen je 100 Perioden</w:t>
            </w:r>
          </w:p>
        </w:tc>
        <w:tc>
          <w:tcPr>
            <w:shd w:val="clear" w:color="auto" w:fill="F7F8FA"/>
            <w:tcBorders>
              <w:bottom w:val="single" w:sz="12" w:color="1F3864"/>
            </w:tcBorders>
          </w:tcPr>
          <w:p>
            <w:pPr>
              <w:pStyle w:val="Compact"/>
              <w:spacing w:after="20" w:before="20"/>
              <w:jc w:val="center"/>
            </w:pPr>
            <w:r>
              <w:rPr>
                <w:sz w:val="18"/>
              </w:rPr>
              <w:t xml:space="preserve">−34,8*</w:t>
            </w:r>
          </w:p>
        </w:tc>
        <w:tc>
          <w:tcPr>
            <w:shd w:val="clear" w:color="auto" w:fill="F7F8FA"/>
            <w:tcBorders>
              <w:bottom w:val="single" w:sz="12" w:color="1F3864"/>
            </w:tcBorders>
          </w:tcPr>
          <w:p>
            <w:pPr>
              <w:pStyle w:val="Compact"/>
              <w:spacing w:after="20" w:before="20"/>
              <w:jc w:val="center"/>
            </w:pPr>
            <w:r>
              <w:rPr>
                <w:sz w:val="18"/>
              </w:rPr>
              <w:t xml:space="preserve">−18,2*</w:t>
            </w:r>
          </w:p>
        </w:tc>
        <w:tc>
          <w:tcPr>
            <w:shd w:val="clear" w:color="auto" w:fill="F7F8FA"/>
            <w:tcBorders>
              <w:bottom w:val="single" w:sz="12" w:color="1F3864"/>
            </w:tcBorders>
          </w:tcPr>
          <w:p>
            <w:pPr>
              <w:pStyle w:val="Compact"/>
              <w:spacing w:after="20" w:before="20"/>
              <w:jc w:val="center"/>
            </w:pPr>
            <w:r>
              <w:rPr>
                <w:sz w:val="18"/>
              </w:rPr>
              <w:t xml:space="preserve">−72,2*</w:t>
            </w:r>
          </w:p>
        </w:tc>
      </w:tr>
    </w:tbl>
    <w:p>
      <w:pPr>
        <w:pStyle w:val="CaptionedFigure"/>
      </w:pPr>
      <w:r>
        <w:drawing>
          <wp:inline>
            <wp:extent cx="5334000" cy="2969725"/>
            <wp:effectExtent b="0" l="0" r="0" t="0"/>
            <wp:docPr descr="Abbildung 1: Verläufe zentraler Kennzahlen (Mittelwert über 30 Läufe, Band = 95-%-Konfidenzintervall, grau = Produktivitätsschock)." title="" id="34" name="Picture"/>
            <a:graphic>
              <a:graphicData uri="http://schemas.openxmlformats.org/drawingml/2006/picture">
                <pic:pic>
                  <pic:nvPicPr>
                    <pic:cNvPr descr="figures/01_zeitreihen.png" id="35" name="Picture"/>
                    <pic:cNvPicPr>
                      <a:picLocks noChangeArrowheads="1" noChangeAspect="1"/>
                    </pic:cNvPicPr>
                  </pic:nvPicPr>
                  <pic:blipFill>
                    <a:blip r:embed="rId33"/>
                    <a:stretch>
                      <a:fillRect/>
                    </a:stretch>
                  </pic:blipFill>
                  <pic:spPr bwMode="auto">
                    <a:xfrm>
                      <a:off x="0" y="0"/>
                      <a:ext cx="5334000" cy="2969725"/>
                    </a:xfrm>
                    <a:prstGeom prst="rect">
                      <a:avLst/>
                    </a:prstGeom>
                    <a:noFill/>
                    <a:ln w="9525">
                      <a:noFill/>
                      <a:headEnd/>
                      <a:tailEnd/>
                    </a:ln>
                  </pic:spPr>
                </pic:pic>
              </a:graphicData>
            </a:graphic>
          </wp:inline>
        </w:drawing>
      </w:r>
    </w:p>
    <w:p>
      <w:pPr>
        <w:pStyle w:val="ImageCaption"/>
      </w:pPr>
      <w:r>
        <w:t xml:space="preserve">Abbildung 1: Verläufe zentraler Kennzahlen (Mittelwert über 30 Läufe, Band = 95-%-Konfidenzintervall, grau = Produktivitätsschock).</w:t>
      </w:r>
    </w:p>
    <w:p>
      <w:pPr>
        <w:pStyle w:val="BodyText"/>
      </w:pPr>
      <w:r>
        <w:t xml:space="preserve">Vier Befunde stechen hervor.</w:t>
      </w:r>
    </w:p>
    <w:p>
      <w:pPr>
        <w:pStyle w:val="BodyText"/>
      </w:pPr>
      <w:r>
        <w:rPr>
          <w:bCs/>
          <w:b/>
        </w:rPr>
        <w:t xml:space="preserve">Rechtsdurchsetzung ist die wichtigste einzelne Institution.</w:t>
      </w:r>
      <w:r>
        <w:t xml:space="preserve"> </w:t>
      </w:r>
      <w:r>
        <w:t xml:space="preserve">Der Unterschied zwischen den beiden A-Varianten ist größer als zwischen allen anderen Regimen. Ohne Vertragsdurchsetzung gehen rund 5 % des Transaktionsvolumens durch Betrug verloren, die Arbeitslosigkeit liegt bei knapp 14 % und steigt über die Zeit weiter, die Vermögensungleichheit ist mit einem Gini-Koeffizienten von 0,42 am höchsten, und die Wohlfahrt ist am niedrigsten. Ursache ist eine Abwärtsspirale: Betrogene meiden unehrliche Anbieter, deren Absatz bricht ein, und sie entlassen; zugleich sind Kredite teurer und fallen häufiger aus (Abschnitt 5.4). Mit gesicherten Eigentumsrechten erreicht dagegen auch das staatsfreie System hohe Beschäftigung und – bei den Standardannahmen zur Marktmacht – die höchste Wohlfahrt aller Regime (zur Robustheit siehe Abschnitt 5.7).</w:t>
      </w:r>
    </w:p>
    <w:p>
      <w:pPr>
        <w:pStyle w:val="BodyText"/>
      </w:pPr>
      <w:r>
        <w:rPr>
          <w:bCs/>
          <w:b/>
        </w:rPr>
        <w:t xml:space="preserve">Der Regelrahmen (B) verteilt am gleichmäßigsten, kostet aber Konsum.</w:t>
      </w:r>
      <w:r>
        <w:t xml:space="preserve"> </w:t>
      </w:r>
      <w:r>
        <w:t xml:space="preserve">B hat die niedrigste Vermögensungleichheit und eine geringe Einkommensungleichheit. Der Konsum pro Kopf liegt jedoch rund 5 % unter A mit Eigentumsrechten. Der wichtigste Grund ist mechanisch: 5 % der Erwerbspersonen arbeiten im Staatsdienst und produzieren keine Konsumgüter. Hinzu kommt eine hohe Unternehmensfluktuation (72 Insolvenzen je 100 Perioden), weil der freie Markteintritt viele schwach kapitalisierte, teils kreditfinanzierte Gründungen hervorbringt, von denen ein Teil scheitert.</w:t>
      </w:r>
    </w:p>
    <w:p>
      <w:pPr>
        <w:pStyle w:val="BodyText"/>
      </w:pPr>
      <w:r>
        <w:rPr>
          <w:bCs/>
          <w:b/>
        </w:rPr>
        <w:t xml:space="preserve">Direkte Eingriffe (C) schaffen Gleichheit und Stabilität, aber dauerhafte Knappheit.</w:t>
      </w:r>
      <w:r>
        <w:t xml:space="preserve"> </w:t>
      </w:r>
      <w:r>
        <w:t xml:space="preserve">C erreicht die geringste Einkommensungleichheit (Gini 0,036), die niedrigste Arbeitslosigkeit, die geringste Marktkonzentration, die stabilste Inflation und praktisch keine Insolvenzen. Der Preis dafür ist eine dauerhaft unbefriedigte Nachfrage von über 12 % der Konsumbudgets – fast das Vierfache von B. Der Mechanismus folgt direkt aus Gleichung (6): Ist der Aufschlag an der Obergrenze</w:t>
      </w:r>
      <w:r>
        <w:t xml:space="preserve"> </w:t>
      </w:r>
      <m:oMath>
        <m:acc>
          <m:accPr>
            <m:chr m:val="‾"/>
          </m:accPr>
          <m:e>
            <m:r>
              <m:t>μ</m:t>
            </m:r>
          </m:e>
        </m:acc>
      </m:oMath>
      <w:r>
        <w:t xml:space="preserve">, kann eine ausverkaufte Firma ihren Preis nicht mehr erhöhen; die Überschussnachfrage bleibt bestehen und wird über leere Regale rationiert statt über Preise. Bemerkenswert ist, dass der Konsum pro Kopf in C</w:t>
      </w:r>
      <w:r>
        <w:t xml:space="preserve"> </w:t>
      </w:r>
      <w:r>
        <w:rPr>
          <w:iCs/>
          <w:i/>
        </w:rPr>
        <w:t xml:space="preserve">höher</w:t>
      </w:r>
      <w:r>
        <w:t xml:space="preserve"> </w:t>
      </w:r>
      <w:r>
        <w:t xml:space="preserve">liegt als in B: Niedrige Aufschläge bedeuten hohe Reallöhne, die Firmen sind permanent ausgelastet und gehen kaum in Konkurs. Die Wohlfahrt in C liegt dadurch knapp über B, aber unter A mit Eigentumsrechten.</w:t>
      </w:r>
    </w:p>
    <w:p>
      <w:pPr>
        <w:pStyle w:val="BodyText"/>
      </w:pPr>
      <w:r>
        <w:rPr>
          <w:bCs/>
          <w:b/>
        </w:rPr>
        <w:t xml:space="preserve">Effizienz und Gleichheit sind nur teilweise ein Zielkonflikt.</w:t>
      </w:r>
      <w:r>
        <w:t xml:space="preserve"> </w:t>
      </w:r>
      <w:r>
        <w:t xml:space="preserve">Abbildung 2 stellt Wohlfahrt und Vermögensungleichheit für jeden Lauf gegenüber. A ohne Rechtsdurchsetzung ist in beiden Dimensionen unterlegen. Zwischen den übrigen drei Regimen besteht dagegen ein Zielkonflikt: A mit Eigentumsrechten erzielt die höchste Wohlfahrt, B die gleichmäßigste Vermögensverteilung, C liegt dazwischen.</w:t>
      </w:r>
    </w:p>
    <w:p>
      <w:pPr>
        <w:pStyle w:val="CaptionedFigure"/>
      </w:pPr>
      <w:r>
        <w:drawing>
          <wp:inline>
            <wp:extent cx="4267200" cy="3152345"/>
            <wp:effectExtent b="0" l="0" r="0" t="0"/>
            <wp:docPr descr="Abbildung 2: Wohlfahrt und Vermögensungleichheit je Lauf (kleine Symbole) und im Mittel (große Symbole mit 95-%-Intervall)." title="" id="37" name="Picture"/>
            <a:graphic>
              <a:graphicData uri="http://schemas.openxmlformats.org/drawingml/2006/picture">
                <pic:pic>
                  <pic:nvPicPr>
                    <pic:cNvPr descr="figures/04_effizienz_gleichheit.png" id="38" name="Picture"/>
                    <pic:cNvPicPr>
                      <a:picLocks noChangeArrowheads="1" noChangeAspect="1"/>
                    </pic:cNvPicPr>
                  </pic:nvPicPr>
                  <pic:blipFill>
                    <a:blip r:embed="rId36"/>
                    <a:stretch>
                      <a:fillRect/>
                    </a:stretch>
                  </pic:blipFill>
                  <pic:spPr bwMode="auto">
                    <a:xfrm>
                      <a:off x="0" y="0"/>
                      <a:ext cx="4267200" cy="3152345"/>
                    </a:xfrm>
                    <a:prstGeom prst="rect">
                      <a:avLst/>
                    </a:prstGeom>
                    <a:noFill/>
                    <a:ln w="9525">
                      <a:noFill/>
                      <a:headEnd/>
                      <a:tailEnd/>
                    </a:ln>
                  </pic:spPr>
                </pic:pic>
              </a:graphicData>
            </a:graphic>
          </wp:inline>
        </w:drawing>
      </w:r>
    </w:p>
    <w:p>
      <w:pPr>
        <w:pStyle w:val="ImageCaption"/>
      </w:pPr>
      <w:r>
        <w:t xml:space="preserve">Abbildung 2: Wohlfahrt und Vermögensungleichheit je Lauf (kleine Symbole) und im Mittel (große Symbole mit 95-%-Intervall).</w:t>
      </w:r>
    </w:p>
    <w:bookmarkEnd w:id="39"/>
    <w:bookmarkStart w:id="43" w:name="reaktion-auf-den-angebotsschock"/>
    <w:p>
      <w:pPr>
        <w:pStyle w:val="Heading2"/>
      </w:pPr>
      <w:r>
        <w:rPr>
          <w:rStyle w:val="SectionNumber"/>
        </w:rPr>
        <w:t xml:space="preserve">5.2</w:t>
      </w:r>
      <w:r>
        <w:tab/>
      </w:r>
      <w:r>
        <w:t xml:space="preserve">Reaktion auf den Angebotsschock</w:t>
      </w:r>
    </w:p>
    <w:p>
      <w:pPr>
        <w:pStyle w:val="FirstParagraph"/>
      </w:pPr>
      <w:r>
        <w:t xml:space="preserve">Abbildung 3 zeigt den Konsum relativ zum Niveau vor dem Schock. Während der Schockphase fällt der Konsum in A und B entsprechend dem Produktivitätsverlust auf etwa 75 % und erholt sich nach dessen Ende innerhalb von 10 bis 14 Perioden. In C fällt er deutlich tiefer, auf rund 62–65 %, und erholt sich erst nach durchschnittlich 28 Perioden; der kumulierte Konsumverlust ist um gut 50 % höher als in B (13,0 gegenüber 8,5 Perioden-Äquivalenten, Tabelle 3).</w:t>
      </w:r>
    </w:p>
    <w:p>
      <w:pPr>
        <w:pStyle w:val="CaptionedFigure"/>
      </w:pPr>
      <w:r>
        <w:drawing>
          <wp:inline>
            <wp:extent cx="4267200" cy="2583542"/>
            <wp:effectExtent b="0" l="0" r="0" t="0"/>
            <wp:docPr descr="Abbildung 3: Konsum relativ zum Niveau vor dem Schock (Mittelwert und 95-%-Band)." title="" id="41" name="Picture"/>
            <a:graphic>
              <a:graphicData uri="http://schemas.openxmlformats.org/drawingml/2006/picture">
                <pic:pic>
                  <pic:nvPicPr>
                    <pic:cNvPr descr="figures/02_schock.png" id="42" name="Picture"/>
                    <pic:cNvPicPr>
                      <a:picLocks noChangeArrowheads="1" noChangeAspect="1"/>
                    </pic:cNvPicPr>
                  </pic:nvPicPr>
                  <pic:blipFill>
                    <a:blip r:embed="rId40"/>
                    <a:stretch>
                      <a:fillRect/>
                    </a:stretch>
                  </pic:blipFill>
                  <pic:spPr bwMode="auto">
                    <a:xfrm>
                      <a:off x="0" y="0"/>
                      <a:ext cx="4267200" cy="2583542"/>
                    </a:xfrm>
                    <a:prstGeom prst="rect">
                      <a:avLst/>
                    </a:prstGeom>
                    <a:noFill/>
                    <a:ln w="9525">
                      <a:noFill/>
                      <a:headEnd/>
                      <a:tailEnd/>
                    </a:ln>
                  </pic:spPr>
                </pic:pic>
              </a:graphicData>
            </a:graphic>
          </wp:inline>
        </w:drawing>
      </w:r>
    </w:p>
    <w:p>
      <w:pPr>
        <w:pStyle w:val="ImageCaption"/>
      </w:pPr>
      <w:r>
        <w:t xml:space="preserve">Abbildung 3: Konsum relativ zum Niveau vor dem Schock (Mittelwert und 95-%-Band).</w:t>
      </w:r>
    </w:p>
    <w:p>
      <w:pPr>
        <w:pStyle w:val="BodyText"/>
      </w:pPr>
      <w:r>
        <w:t xml:space="preserve">Die Ursache liegt im Zusammenspiel der Eingriffe, wie der zeitliche Verlauf nahelegt. Der Schock erhöht die Stückkosten</w:t>
      </w:r>
      <w:r>
        <w:t xml:space="preserve"> </w:t>
      </w:r>
      <m:oMath>
        <m:r>
          <m:t>w</m:t>
        </m:r>
        <m:r>
          <m:rPr>
            <m:sty m:val="p"/>
          </m:rPr>
          <m:t>/</m:t>
        </m:r>
        <m:sSub>
          <m:e>
            <m:r>
              <m:t>A</m:t>
            </m:r>
          </m:e>
          <m:sub>
            <m:r>
              <m:t>t</m:t>
            </m:r>
          </m:sub>
        </m:sSub>
      </m:oMath>
      <w:r>
        <w:t xml:space="preserve"> </w:t>
      </w:r>
      <w:r>
        <w:t xml:space="preserve">um ein Drittel; die Preise steigen entsprechend, auch unter dem Deckel, weil dieser auf die</w:t>
      </w:r>
      <w:r>
        <w:t xml:space="preserve"> </w:t>
      </w:r>
      <w:r>
        <w:rPr>
          <w:iCs/>
          <w:i/>
        </w:rPr>
        <w:t xml:space="preserve">Kosten</w:t>
      </w:r>
      <w:r>
        <w:t xml:space="preserve"> </w:t>
      </w:r>
      <w:r>
        <w:t xml:space="preserve">bezogen ist. Bei der nächsten turnusmäßigen Anpassung (Perioden 408 und 420) wird der Mindestlohn an das gestiegene Preisniveau angehoben,</w:t>
      </w:r>
      <w:r>
        <w:t xml:space="preserve"> </w:t>
      </w:r>
      <m:oMath>
        <m:bar>
          <m:barPr>
            <m:pos m:val="bot"/>
          </m:barPr>
          <m:e>
            <m:r>
              <m:t>w</m:t>
            </m:r>
          </m:e>
        </m:bar>
        <m:r>
          <m:rPr>
            <m:sty m:val="p"/>
          </m:rPr>
          <m:t>=</m:t>
        </m:r>
        <m:r>
          <m:t>ω</m:t>
        </m:r>
        <m:sSub>
          <m:e>
            <m:r>
              <m:t>P</m:t>
            </m:r>
          </m:e>
          <m:sub>
            <m:r>
              <m:t>t</m:t>
            </m:r>
          </m:sub>
        </m:sSub>
        <m:acc>
          <m:accPr>
            <m:chr m:val="‾"/>
          </m:accPr>
          <m:e>
            <m:r>
              <m:t>A</m:t>
            </m:r>
          </m:e>
        </m:acc>
      </m:oMath>
      <w:r>
        <w:t xml:space="preserve">, obwohl die Produktivität noch niedrig ist. Weil der Preisdeckel die Margen eng hält und die Zinsobergrenze Kredite praktisch ausschließt, fehlt den Firmen die Liquidität für die höheren Löhne; sie entlassen. Die stufenförmigen Einbrüche in Abbildung 3 fallen genau auf diese Anpassungstermine. Nach Ende des Schocks dauert es, bis Mindestlohn und Preisniveau wieder zueinander passen. Die Sensitivitätsanalyse bestätigt diese Deutung (Abschnitt 5.6): Mit einem niedrigeren Mindestlohn (</w:t>
      </w:r>
      <m:oMath>
        <m:r>
          <m:t>ω</m:t>
        </m:r>
        <m:r>
          <m:rPr>
            <m:sty m:val="p"/>
          </m:rPr>
          <m:t>≤</m:t>
        </m:r>
        <m:r>
          <m:rPr>
            <m:nor/>
            <m:sty m:val="p"/>
          </m:rPr>
          <m:t>0,7</m:t>
        </m:r>
      </m:oMath>
      <w:r>
        <w:t xml:space="preserve">) ist der Konsumverlust in C nicht größer als in B.</w:t>
      </w:r>
    </w:p>
    <w:p>
      <w:pPr>
        <w:pStyle w:val="BodyText"/>
      </w:pPr>
      <w:r>
        <w:t xml:space="preserve">Dieses Ergebnis ist für die Diskussion in Abschnitt 6 zentral: Gerade bei einem angebotsseitigen Kostenschock – dem Szenario, für das Preiseingriffe in der aktuellen Debatte gedacht sind – schneidet das Regime mit direkten Eingriffen im Modell am schlechtesten ab – vor allem, weil der an die Preise gekoppelte Mindestlohn mitten im Schock steigt, während Preisdeckel und Zinsobergrenze den Firmen die Spielräume nehmen, dies aufzufangen.</w:t>
      </w:r>
    </w:p>
    <w:bookmarkEnd w:id="43"/>
    <w:bookmarkStart w:id="44" w:name="verteilung"/>
    <w:p>
      <w:pPr>
        <w:pStyle w:val="Heading2"/>
      </w:pPr>
      <w:r>
        <w:rPr>
          <w:rStyle w:val="SectionNumber"/>
        </w:rPr>
        <w:t xml:space="preserve">5.3</w:t>
      </w:r>
      <w:r>
        <w:tab/>
      </w:r>
      <w:r>
        <w:t xml:space="preserve">Verteilung</w:t>
      </w:r>
    </w:p>
    <w:p>
      <w:pPr>
        <w:pStyle w:val="FirstParagraph"/>
      </w:pPr>
      <w:r>
        <w:t xml:space="preserve">Die Lorenzkurven (Abbildung A1 im Anhang) bestätigen das Bild: Die Vermögensverteilung ist in B am gleichmäßigsten, gefolgt von C und A mit Eigentumsrechten; A ohne Rechtsdurchsetzung weist eine deutlich stärkere Konzentration auf. Bei den Einkommen ist C am gleichmäßigsten, weil Mindestlohn und Preisdeckel die Gewinnquote drücken und Gewinne – die stark auf wenige Eigentümer konzentriert sind – nur einen kleinen Teil der Einkommen ausmachen. Dass C bei den Vermögen dennoch nicht vorn liegt, dürfte an der fast fehlenden Unternehmensfluktuation liegen: Bestehende Eigentümer behalten ihre Firmen dauerhaft, während in B Insolvenzen und Neugründungen Vermögen immer wieder umverteilen.</w:t>
      </w:r>
    </w:p>
    <w:bookmarkEnd w:id="44"/>
    <w:bookmarkStart w:id="48" w:name="kreditmarkt"/>
    <w:p>
      <w:pPr>
        <w:pStyle w:val="Heading2"/>
      </w:pPr>
      <w:r>
        <w:rPr>
          <w:rStyle w:val="SectionNumber"/>
        </w:rPr>
        <w:t xml:space="preserve">5.4</w:t>
      </w:r>
      <w:r>
        <w:tab/>
      </w:r>
      <w:r>
        <w:t xml:space="preserve">Kreditmarkt</w:t>
      </w:r>
    </w:p>
    <w:p>
      <w:pPr>
        <w:pStyle w:val="FirstParagraph"/>
      </w:pPr>
      <w:r>
        <w:t xml:space="preserve">Tabelle 5 und Abbildung 4 beschreiben den Kreditmarkt. In A mit Eigentumsrechten und in B finanzieren Kredite rund 3–4 % der Jahresproduktion bei einem Zins von etwa 0,9 % je Periode; Bankenkrisen treten nicht auf. Gut die Hälfte der Anträge wird abgelehnt – an der Verschuldungsgrenze</w:t>
      </w:r>
      <w:r>
        <w:t xml:space="preserve"> </w:t>
      </w:r>
      <m:oMath>
        <m:acc>
          <m:accPr>
            <m:chr m:val="‾"/>
          </m:accPr>
          <m:e>
            <m:r>
              <m:rPr>
                <m:sty m:val="p"/>
              </m:rPr>
              <m:t>ℓ</m:t>
            </m:r>
          </m:e>
        </m:acc>
      </m:oMath>
      <w:r>
        <w:t xml:space="preserve">, an der Kapazität der Bank oder bei Firmen, die schon einmal säumig waren.</w:t>
      </w:r>
    </w:p>
    <w:p>
      <w:pPr>
        <w:pStyle w:val="TableCaption"/>
      </w:pPr>
      <w:r>
        <w:t xml:space="preserve">Tabelle 5: Kennzahlen des Kreditmarkts (Mittelwert und 95-%-Konfidenzintervall; Zins und Ausfälle je Periode).</w:t>
      </w:r>
    </w:p>
    <w:tbl>
      <w:tblPr>
        <w:tblStyle w:val="Table"/>
        <w:tblW w:type="pct" w:w="5000"/>
        <w:jc w:val="center"/>
        <w:tblLook w:firstRow="1" w:lastRow="0" w:firstColumn="0" w:lastColumn="0" w:noHBand="0" w:noVBand="0" w:val="0020"/>
        <w:tblCaption w:val="Tabelle 5: Kennzahlen des Kreditmarkts (Mittelwert und 95-%-Konfidenzintervall; Zins und Ausfälle je Periode)."/>
      </w:tblPr>
      <w:tblGrid>
        <w:gridCol w:w="2747"/>
        <w:gridCol w:w="646"/>
        <w:gridCol w:w="1131"/>
        <w:gridCol w:w="1131"/>
        <w:gridCol w:w="1131"/>
        <w:gridCol w:w="1131"/>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Kennzahl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Ziel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(ohne Recht)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 Regelrahmen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w:t>
            </w:r>
          </w:p>
        </w:tc>
      </w:tr>
      <w:tr>
        <w:tc>
          <w:tcPr/>
          <w:p>
            <w:pPr>
              <w:pStyle w:val="Compact"/>
              <w:spacing w:after="20" w:before="20"/>
              <w:jc w:val="left"/>
            </w:pPr>
            <w:r>
              <w:rPr>
                <w:sz w:val="18"/>
              </w:rPr>
              <w:t xml:space="preserve">Kredite / Jahresproduktion</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2,6 % (±0,1 %)</w:t>
            </w:r>
          </w:p>
        </w:tc>
        <w:tc>
          <w:tcPr/>
          <w:p>
            <w:pPr>
              <w:pStyle w:val="Compact"/>
              <w:spacing w:after="20" w:before="20"/>
              <w:jc w:val="center"/>
            </w:pPr>
            <w:r>
              <w:rPr>
                <w:sz w:val="18"/>
              </w:rPr>
              <w:t xml:space="preserve">3,2 % (±0,1 %)</w:t>
            </w:r>
          </w:p>
        </w:tc>
        <w:tc>
          <w:tcPr/>
          <w:p>
            <w:pPr>
              <w:pStyle w:val="Compact"/>
              <w:spacing w:after="20" w:before="20"/>
              <w:jc w:val="center"/>
            </w:pPr>
            <w:r>
              <w:rPr>
                <w:sz w:val="18"/>
              </w:rPr>
              <w:t xml:space="preserve">3,6 % (±0,1 %)</w:t>
            </w:r>
          </w:p>
        </w:tc>
        <w:tc>
          <w:tcPr/>
          <w:p>
            <w:pPr>
              <w:pStyle w:val="Compact"/>
              <w:spacing w:after="20" w:before="20"/>
              <w:jc w:val="center"/>
            </w:pPr>
            <w:r>
              <w:rPr>
                <w:sz w:val="18"/>
              </w:rPr>
              <w:t xml:space="preserve">0,5 % (±0,0 %)</w:t>
            </w:r>
          </w:p>
        </w:tc>
      </w:tr>
      <w:tr>
        <w:tc>
          <w:tcPr>
            <w:shd w:val="clear" w:color="auto" w:fill="F7F8FA"/>
          </w:tcPr>
          <w:p>
            <w:pPr>
              <w:pStyle w:val="Compact"/>
              <w:spacing w:after="20" w:before="20"/>
              <w:jc w:val="left"/>
            </w:pPr>
            <w:r>
              <w:rPr>
                <w:sz w:val="18"/>
              </w:rPr>
              <w:t xml:space="preserve">Ø Kreditzins je Periode</w:t>
            </w:r>
          </w:p>
        </w:tc>
        <w:tc>
          <w:tcPr>
            <w:shd w:val="clear" w:color="auto" w:fill="F7F8FA"/>
          </w:tcPr>
          <w:p>
            <w:pPr>
              <w:pStyle w:val="Compact"/>
              <w:spacing w:after="20" w:before="20"/>
              <w:jc w:val="center"/>
            </w:pPr>
            <w:r>
              <w:rPr>
                <w:sz w:val="18"/>
              </w:rPr>
              <w:t xml:space="preserve">–</w:t>
            </w:r>
          </w:p>
        </w:tc>
        <w:tc>
          <w:tcPr>
            <w:shd w:val="clear" w:color="auto" w:fill="F7F8FA"/>
          </w:tcPr>
          <w:p>
            <w:pPr>
              <w:pStyle w:val="Compact"/>
              <w:spacing w:after="20" w:before="20"/>
              <w:jc w:val="center"/>
            </w:pPr>
            <w:r>
              <w:rPr>
                <w:sz w:val="18"/>
              </w:rPr>
              <w:t xml:space="preserve">1,3 % (±0,0 %)</w:t>
            </w:r>
          </w:p>
        </w:tc>
        <w:tc>
          <w:tcPr>
            <w:shd w:val="clear" w:color="auto" w:fill="F7F8FA"/>
          </w:tcPr>
          <w:p>
            <w:pPr>
              <w:pStyle w:val="Compact"/>
              <w:spacing w:after="20" w:before="20"/>
              <w:jc w:val="center"/>
            </w:pPr>
            <w:r>
              <w:rPr>
                <w:sz w:val="18"/>
              </w:rPr>
              <w:t xml:space="preserve">0,9 % (±0,0 %)</w:t>
            </w:r>
          </w:p>
        </w:tc>
        <w:tc>
          <w:tcPr>
            <w:shd w:val="clear" w:color="auto" w:fill="F7F8FA"/>
          </w:tcPr>
          <w:p>
            <w:pPr>
              <w:pStyle w:val="Compact"/>
              <w:spacing w:after="20" w:before="20"/>
              <w:jc w:val="center"/>
            </w:pPr>
            <w:r>
              <w:rPr>
                <w:sz w:val="18"/>
              </w:rPr>
              <w:t xml:space="preserve">0,9 % (±0,0 %)</w:t>
            </w:r>
          </w:p>
        </w:tc>
        <w:tc>
          <w:tcPr>
            <w:shd w:val="clear" w:color="auto" w:fill="F7F8FA"/>
          </w:tcPr>
          <w:p>
            <w:pPr>
              <w:pStyle w:val="Compact"/>
              <w:spacing w:after="20" w:before="20"/>
              <w:jc w:val="center"/>
            </w:pPr>
            <w:r>
              <w:rPr>
                <w:sz w:val="18"/>
              </w:rPr>
              <w:t xml:space="preserve">0,6 % (±0,0 %)</w:t>
            </w:r>
          </w:p>
        </w:tc>
      </w:tr>
      <w:tr>
        <w:tc>
          <w:tcPr/>
          <w:p>
            <w:pPr>
              <w:pStyle w:val="Compact"/>
              <w:spacing w:after="20" w:before="20"/>
              <w:jc w:val="left"/>
            </w:pPr>
            <w:r>
              <w:rPr>
                <w:sz w:val="18"/>
              </w:rPr>
              <w:t xml:space="preserve">Abgelehnte Kreditanträge</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56,5 % (±2,4 %)</w:t>
            </w:r>
          </w:p>
        </w:tc>
        <w:tc>
          <w:tcPr/>
          <w:p>
            <w:pPr>
              <w:pStyle w:val="Compact"/>
              <w:spacing w:after="20" w:before="20"/>
              <w:jc w:val="center"/>
            </w:pPr>
            <w:r>
              <w:rPr>
                <w:sz w:val="18"/>
              </w:rPr>
              <w:t xml:space="preserve">51,6 % (±1,4 %)</w:t>
            </w:r>
          </w:p>
        </w:tc>
        <w:tc>
          <w:tcPr/>
          <w:p>
            <w:pPr>
              <w:pStyle w:val="Compact"/>
              <w:spacing w:after="20" w:before="20"/>
              <w:jc w:val="center"/>
            </w:pPr>
            <w:r>
              <w:rPr>
                <w:sz w:val="18"/>
              </w:rPr>
              <w:t xml:space="preserve">56,3 % (±1,3 %)</w:t>
            </w:r>
          </w:p>
        </w:tc>
        <w:tc>
          <w:tcPr/>
          <w:p>
            <w:pPr>
              <w:pStyle w:val="Compact"/>
              <w:spacing w:after="20" w:before="20"/>
              <w:jc w:val="center"/>
            </w:pPr>
            <w:r>
              <w:rPr>
                <w:sz w:val="18"/>
              </w:rPr>
              <w:t xml:space="preserve">99,0 % (±0,1 %)</w:t>
            </w:r>
          </w:p>
        </w:tc>
      </w:tr>
      <w:tr>
        <w:tc>
          <w:tcPr>
            <w:shd w:val="clear" w:color="auto" w:fill="F7F8FA"/>
          </w:tcPr>
          <w:p>
            <w:pPr>
              <w:pStyle w:val="Compact"/>
              <w:spacing w:after="20" w:before="20"/>
              <w:jc w:val="left"/>
            </w:pPr>
            <w:r>
              <w:rPr>
                <w:sz w:val="18"/>
              </w:rPr>
              <w:t xml:space="preserve">Kreditausfälle je Periode</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3,0 % (±0,3 %)</w:t>
            </w:r>
          </w:p>
        </w:tc>
        <w:tc>
          <w:tcPr>
            <w:shd w:val="clear" w:color="auto" w:fill="F7F8FA"/>
          </w:tcPr>
          <w:p>
            <w:pPr>
              <w:pStyle w:val="Compact"/>
              <w:spacing w:after="20" w:before="20"/>
              <w:jc w:val="center"/>
            </w:pPr>
            <w:r>
              <w:rPr>
                <w:sz w:val="18"/>
              </w:rPr>
              <w:t xml:space="preserve">1,1 % (±0,1 %)</w:t>
            </w:r>
          </w:p>
        </w:tc>
        <w:tc>
          <w:tcPr>
            <w:shd w:val="clear" w:color="auto" w:fill="F7F8FA"/>
          </w:tcPr>
          <w:p>
            <w:pPr>
              <w:pStyle w:val="Compact"/>
              <w:spacing w:after="20" w:before="20"/>
              <w:jc w:val="center"/>
            </w:pPr>
            <w:r>
              <w:rPr>
                <w:sz w:val="18"/>
              </w:rPr>
              <w:t xml:space="preserve">1,3 % (±0,1 %)</w:t>
            </w:r>
          </w:p>
        </w:tc>
        <w:tc>
          <w:tcPr>
            <w:shd w:val="clear" w:color="auto" w:fill="F7F8FA"/>
          </w:tcPr>
          <w:p>
            <w:pPr>
              <w:pStyle w:val="Compact"/>
              <w:spacing w:after="20" w:before="20"/>
              <w:jc w:val="center"/>
            </w:pPr>
            <w:r>
              <w:rPr>
                <w:sz w:val="18"/>
              </w:rPr>
              <w:t xml:space="preserve">0,0 % (±0,0 %)</w:t>
            </w:r>
          </w:p>
        </w:tc>
      </w:tr>
      <w:tr>
        <w:tc>
          <w:tcPr/>
          <w:p>
            <w:pPr>
              <w:pStyle w:val="Compact"/>
              <w:spacing w:after="20" w:before="20"/>
              <w:jc w:val="left"/>
            </w:pPr>
            <w:r>
              <w:rPr>
                <w:sz w:val="18"/>
              </w:rPr>
              <w:t xml:space="preserve">Bankenkrisen je 100 Perioden</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0,9 (±0,5)</w:t>
            </w:r>
          </w:p>
        </w:tc>
        <w:tc>
          <w:tcPr/>
          <w:p>
            <w:pPr>
              <w:pStyle w:val="Compact"/>
              <w:spacing w:after="20" w:before="20"/>
              <w:jc w:val="center"/>
            </w:pPr>
            <w:r>
              <w:rPr>
                <w:sz w:val="18"/>
              </w:rPr>
              <w:t xml:space="preserve">0,0 (±0,0)</w:t>
            </w:r>
          </w:p>
        </w:tc>
        <w:tc>
          <w:tcPr/>
          <w:p>
            <w:pPr>
              <w:pStyle w:val="Compact"/>
              <w:spacing w:after="20" w:before="20"/>
              <w:jc w:val="center"/>
            </w:pPr>
            <w:r>
              <w:rPr>
                <w:sz w:val="18"/>
              </w:rPr>
              <w:t xml:space="preserve">0,0 (±0,0)</w:t>
            </w:r>
          </w:p>
        </w:tc>
        <w:tc>
          <w:tcPr/>
          <w:p>
            <w:pPr>
              <w:pStyle w:val="Compact"/>
              <w:spacing w:after="20" w:before="20"/>
              <w:jc w:val="center"/>
            </w:pPr>
            <w:r>
              <w:rPr>
                <w:sz w:val="18"/>
              </w:rPr>
              <w:t xml:space="preserve">0,0 (±0,0)</w:t>
            </w:r>
          </w:p>
        </w:tc>
      </w:tr>
      <w:tr>
        <w:tc>
          <w:tcPr>
            <w:shd w:val="clear" w:color="auto" w:fill="F7F8FA"/>
            <w:tcBorders>
              <w:bottom w:val="single" w:sz="12" w:color="1F3864"/>
            </w:tcBorders>
          </w:tcPr>
          <w:p>
            <w:pPr>
              <w:pStyle w:val="Compact"/>
              <w:spacing w:after="20" w:before="20"/>
              <w:jc w:val="left"/>
            </w:pPr>
            <w:r>
              <w:rPr>
                <w:sz w:val="18"/>
              </w:rPr>
              <w:t xml:space="preserve">Staatshilfe + Einlegerverluste (Anteil Geldmenge)</w:t>
            </w:r>
          </w:p>
        </w:tc>
        <w:tc>
          <w:tcPr>
            <w:shd w:val="clear" w:color="auto" w:fill="F7F8FA"/>
            <w:tcBorders>
              <w:bottom w:val="single" w:sz="12" w:color="1F3864"/>
            </w:tcBorders>
          </w:tcPr>
          <w:p>
            <w:pPr>
              <w:pStyle w:val="Compact"/>
              <w:spacing w:after="20" w:before="20"/>
              <w:jc w:val="center"/>
            </w:pPr>
            <w:r>
              <w:rPr>
                <w:sz w:val="18"/>
              </w:rPr>
              <w:t xml:space="preserve">niedrig</w:t>
            </w:r>
          </w:p>
        </w:tc>
        <w:tc>
          <w:tcPr>
            <w:shd w:val="clear" w:color="auto" w:fill="F7F8FA"/>
            <w:tcBorders>
              <w:bottom w:val="single" w:sz="12" w:color="1F3864"/>
            </w:tcBorders>
          </w:tcPr>
          <w:p>
            <w:pPr>
              <w:pStyle w:val="Compact"/>
              <w:spacing w:after="20" w:before="20"/>
              <w:jc w:val="center"/>
            </w:pPr>
            <w:r>
              <w:rPr>
                <w:sz w:val="18"/>
              </w:rPr>
              <w:t xml:space="preserve">1,3 % (±0,6 %)</w:t>
            </w:r>
          </w:p>
        </w:tc>
        <w:tc>
          <w:tcPr>
            <w:shd w:val="clear" w:color="auto" w:fill="F7F8FA"/>
            <w:tcBorders>
              <w:bottom w:val="single" w:sz="12" w:color="1F3864"/>
            </w:tcBorders>
          </w:tcPr>
          <w:p>
            <w:pPr>
              <w:pStyle w:val="Compact"/>
              <w:spacing w:after="20" w:before="20"/>
              <w:jc w:val="center"/>
            </w:pPr>
            <w:r>
              <w:rPr>
                <w:sz w:val="18"/>
              </w:rPr>
              <w:t xml:space="preserve">0,0 % (±0,0 %)</w:t>
            </w:r>
          </w:p>
        </w:tc>
        <w:tc>
          <w:tcPr>
            <w:shd w:val="clear" w:color="auto" w:fill="F7F8FA"/>
            <w:tcBorders>
              <w:bottom w:val="single" w:sz="12" w:color="1F3864"/>
            </w:tcBorders>
          </w:tcPr>
          <w:p>
            <w:pPr>
              <w:pStyle w:val="Compact"/>
              <w:spacing w:after="20" w:before="20"/>
              <w:jc w:val="center"/>
            </w:pPr>
            <w:r>
              <w:rPr>
                <w:sz w:val="18"/>
              </w:rPr>
              <w:t xml:space="preserve">0,0 % (±0,0 %)</w:t>
            </w:r>
          </w:p>
        </w:tc>
        <w:tc>
          <w:tcPr>
            <w:shd w:val="clear" w:color="auto" w:fill="F7F8FA"/>
            <w:tcBorders>
              <w:bottom w:val="single" w:sz="12" w:color="1F3864"/>
            </w:tcBorders>
          </w:tcPr>
          <w:p>
            <w:pPr>
              <w:pStyle w:val="Compact"/>
              <w:spacing w:after="20" w:before="20"/>
              <w:jc w:val="center"/>
            </w:pPr>
            <w:r>
              <w:rPr>
                <w:sz w:val="18"/>
              </w:rPr>
              <w:t xml:space="preserve">0,0 % (±0,0 %)</w:t>
            </w:r>
          </w:p>
        </w:tc>
      </w:tr>
    </w:tbl>
    <w:p>
      <w:pPr>
        <w:pStyle w:val="CaptionedFigure"/>
      </w:pPr>
      <w:r>
        <w:drawing>
          <wp:inline>
            <wp:extent cx="5334000" cy="2989687"/>
            <wp:effectExtent b="0" l="0" r="0" t="0"/>
            <wp:docPr descr="Abbildung 4: Kreditmarkt im Zeitverlauf (Mittelwert und 95-%-Band; Eigenkapitalquote logarithmisch)." title="" id="46" name="Picture"/>
            <a:graphic>
              <a:graphicData uri="http://schemas.openxmlformats.org/drawingml/2006/picture">
                <pic:pic>
                  <pic:nvPicPr>
                    <pic:cNvPr descr="figures/08_kreditmarkt.png" id="47" name="Picture"/>
                    <pic:cNvPicPr>
                      <a:picLocks noChangeArrowheads="1" noChangeAspect="1"/>
                    </pic:cNvPicPr>
                  </pic:nvPicPr>
                  <pic:blipFill>
                    <a:blip r:embed="rId45"/>
                    <a:stretch>
                      <a:fillRect/>
                    </a:stretch>
                  </pic:blipFill>
                  <pic:spPr bwMode="auto">
                    <a:xfrm>
                      <a:off x="0" y="0"/>
                      <a:ext cx="5334000" cy="2989687"/>
                    </a:xfrm>
                    <a:prstGeom prst="rect">
                      <a:avLst/>
                    </a:prstGeom>
                    <a:noFill/>
                    <a:ln w="9525">
                      <a:noFill/>
                      <a:headEnd/>
                      <a:tailEnd/>
                    </a:ln>
                  </pic:spPr>
                </pic:pic>
              </a:graphicData>
            </a:graphic>
          </wp:inline>
        </w:drawing>
      </w:r>
    </w:p>
    <w:p>
      <w:pPr>
        <w:pStyle w:val="ImageCaption"/>
      </w:pPr>
      <w:r>
        <w:t xml:space="preserve">Abbildung 4: Kreditmarkt im Zeitverlauf (Mittelwert und 95-%-Band; Eigenkapitalquote logarithmisch).</w:t>
      </w:r>
    </w:p>
    <w:p>
      <w:pPr>
        <w:pStyle w:val="BodyText"/>
      </w:pPr>
      <w:r>
        <w:t xml:space="preserve">Ohne Rechtsdurchsetzung ändert sich das Bild deutlich. Weil die Bank im Insolvenzfall nur 30 % verwerten kann und unehrliche Firmen ihre Kredite zeitweise nicht bedienen, ist Kredit um rund 45 % teurer, die Ausfallquote ist fast dreimal so hoch, und die Bank – die in A nur 2 % Eigenkapital hält – gerät wiederholt in Schieflage. Im Mittel tritt etwa eine Bankenkrise je 100 Perioden auf; da es keine Einlagensicherung gibt, tragen die Einleger die Verluste (kumuliert gut 1 % der Geldmenge). Das Eigenkapital der Bank schwankt entsprechend stark (Abbildung 4, unten Mitte).</w:t>
      </w:r>
    </w:p>
    <w:p>
      <w:pPr>
        <w:pStyle w:val="BodyText"/>
      </w:pPr>
      <w:r>
        <w:t xml:space="preserve">In C liegt die Zinsobergrenze von 0,6 % je Periode nur knapp über dem Grundzins. Da der Risikoaufschlag mit dem Verschuldungsgrad steigt, überschreitet fast jeder Kredit die Grenze: 99 % der Anträge werden abgelehnt, das Kreditvolumen bricht auf 0,5 % der Jahresproduktion ein. Die Zinsobergrenze wirkt damit faktisch als Kreditverbot. Ausfälle und Bankenkrisen gibt es folglich keine – um den Preis, dass Firmen Liquiditätsengpässe, etwa nach dem Schock, nicht überbrücken können.</w:t>
      </w:r>
    </w:p>
    <w:bookmarkEnd w:id="48"/>
    <w:bookmarkStart w:id="52" w:name="wirkung-des-kreditmarkts"/>
    <w:p>
      <w:pPr>
        <w:pStyle w:val="Heading2"/>
      </w:pPr>
      <w:r>
        <w:rPr>
          <w:rStyle w:val="SectionNumber"/>
        </w:rPr>
        <w:t xml:space="preserve">5.5</w:t>
      </w:r>
      <w:r>
        <w:tab/>
      </w:r>
      <w:r>
        <w:t xml:space="preserve">Wirkung des Kreditmarkts</w:t>
      </w:r>
    </w:p>
    <w:p>
      <w:pPr>
        <w:pStyle w:val="FirstParagraph"/>
      </w:pPr>
      <w:r>
        <w:t xml:space="preserve">Um den Beitrag des Kreditmarkts zu isolieren, wird jedes Regime zusätzlich ohne Bank gerechnet (Tabelle 6, Abbildung 5). Drei Effekte sind deutlich. Erstens sinkt die gemessene Vermögensungleichheit in A und B um gut 0,2 Gini-Punkte. Mit Kreditzugang halten Firmen nur eine statt vier Lohnsummen als Reserve und schütten den Rest aus; Vermögen konzentriert sich dadurch weniger in den Kassen weniger Unternehmen. Zweitens erhöht der Kreditmarkt die Unternehmensfluktuation erheblich (rund 40 bis 60 zusätzliche Insolvenzen je 100 Perioden), weil verschuldete Firmen bei Absatzschwäche schneller überschuldet sind; die Arbeitslosigkeit steigt in A mit Eigentumsrechten und B um rund zwei Prozentpunkte. Drittens erholen sich A ohne Rechtsdurchsetzung und B mit Kredit schneller vom Schock. In A ohne Rechtsdurchsetzung überwiegen jedoch die Nachteile: Ohne verlässliche Verträge verdreifacht der Kreditmarkt dort nahezu die Arbeitslosigkeit und erhöht die Volatilität stark. In C ändert der Kreditmarkt praktisch nichts, weil fast kein Kredit vergeben wird.</w:t>
      </w:r>
    </w:p>
    <w:p>
      <w:pPr>
        <w:pStyle w:val="TableCaption"/>
      </w:pPr>
      <w:r>
        <w:t xml:space="preserve">Tabelle 6: Wirkung des Kreditmarkts – gepaarte Differenz „mit minus ohne Kredit“ (8 Seeds je Regime); * = 95-%-Konfidenzintervall schließt null aus.</w:t>
      </w:r>
    </w:p>
    <w:tbl>
      <w:tblPr>
        <w:tblStyle w:val="Table"/>
        <w:tblW w:type="pct" w:w="5000"/>
        <w:jc w:val="center"/>
        <w:tblLook w:firstRow="1" w:lastRow="0" w:firstColumn="0" w:lastColumn="0" w:noHBand="0" w:noVBand="0" w:val="0020"/>
        <w:tblCaption w:val="Tabelle 6: Wirkung des Kreditmarkts – gepaarte Differenz „mit minus ohne Kredit“ (8 Seeds je Regime); * = 95-%-Konfidenzintervall schließt null aus."/>
      </w:tblPr>
      <w:tblGrid>
        <w:gridCol w:w="2747"/>
        <w:gridCol w:w="1293"/>
        <w:gridCol w:w="1293"/>
        <w:gridCol w:w="1293"/>
        <w:gridCol w:w="1293"/>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Kennzahl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(ohne Recht)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 Regelrahmen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w:t>
            </w:r>
          </w:p>
        </w:tc>
      </w:tr>
      <w:tr>
        <w:tc>
          <w:tcPr/>
          <w:p>
            <w:pPr>
              <w:pStyle w:val="Compact"/>
              <w:spacing w:after="20" w:before="20"/>
              <w:jc w:val="left"/>
            </w:pPr>
            <w:r>
              <w:rPr>
                <w:sz w:val="18"/>
              </w:rPr>
              <w:t xml:space="preserve">Konsum pro Kopf</w:t>
            </w:r>
          </w:p>
        </w:tc>
        <w:tc>
          <w:tcPr/>
          <w:p>
            <w:pPr>
              <w:pStyle w:val="Compact"/>
              <w:spacing w:after="20" w:before="20"/>
              <w:jc w:val="center"/>
            </w:pPr>
            <w:r>
              <w:rPr>
                <w:sz w:val="18"/>
              </w:rPr>
              <w:t xml:space="preserve">−0,050*</w:t>
            </w:r>
          </w:p>
        </w:tc>
        <w:tc>
          <w:tcPr/>
          <w:p>
            <w:pPr>
              <w:pStyle w:val="Compact"/>
              <w:spacing w:after="20" w:before="20"/>
              <w:jc w:val="center"/>
            </w:pPr>
            <w:r>
              <w:rPr>
                <w:sz w:val="18"/>
              </w:rPr>
              <w:t xml:space="preserve">−0,006*</w:t>
            </w:r>
          </w:p>
        </w:tc>
        <w:tc>
          <w:tcPr/>
          <w:p>
            <w:pPr>
              <w:pStyle w:val="Compact"/>
              <w:spacing w:after="20" w:before="20"/>
              <w:jc w:val="center"/>
            </w:pPr>
            <w:r>
              <w:rPr>
                <w:sz w:val="18"/>
              </w:rPr>
              <w:t xml:space="preserve">−0,007*</w:t>
            </w:r>
          </w:p>
        </w:tc>
        <w:tc>
          <w:tcPr/>
          <w:p>
            <w:pPr>
              <w:pStyle w:val="Compact"/>
              <w:spacing w:after="20" w:before="20"/>
              <w:jc w:val="center"/>
            </w:pPr>
            <w:r>
              <w:rPr>
                <w:sz w:val="18"/>
              </w:rPr>
              <w:t xml:space="preserve">+0,000</w:t>
            </w:r>
          </w:p>
        </w:tc>
      </w:tr>
      <w:tr>
        <w:tc>
          <w:tcPr>
            <w:shd w:val="clear" w:color="auto" w:fill="F7F8FA"/>
          </w:tcPr>
          <w:p>
            <w:pPr>
              <w:pStyle w:val="Compact"/>
              <w:spacing w:after="20" w:before="20"/>
              <w:jc w:val="left"/>
            </w:pPr>
            <w:r>
              <w:rPr>
                <w:sz w:val="18"/>
              </w:rPr>
              <w:t xml:space="preserve">Wohlfahrt (Ø log-Nutzen)</w:t>
            </w:r>
          </w:p>
        </w:tc>
        <w:tc>
          <w:tcPr>
            <w:shd w:val="clear" w:color="auto" w:fill="F7F8FA"/>
          </w:tcPr>
          <w:p>
            <w:pPr>
              <w:pStyle w:val="Compact"/>
              <w:spacing w:after="20" w:before="20"/>
              <w:jc w:val="center"/>
            </w:pPr>
            <w:r>
              <w:rPr>
                <w:sz w:val="18"/>
              </w:rPr>
              <w:t xml:space="preserve">−0,024</w:t>
            </w:r>
          </w:p>
        </w:tc>
        <w:tc>
          <w:tcPr>
            <w:shd w:val="clear" w:color="auto" w:fill="F7F8FA"/>
          </w:tcPr>
          <w:p>
            <w:pPr>
              <w:pStyle w:val="Compact"/>
              <w:spacing w:after="20" w:before="20"/>
              <w:jc w:val="center"/>
            </w:pPr>
            <w:r>
              <w:rPr>
                <w:sz w:val="18"/>
              </w:rPr>
              <w:t xml:space="preserve">+0,000</w:t>
            </w:r>
          </w:p>
        </w:tc>
        <w:tc>
          <w:tcPr>
            <w:shd w:val="clear" w:color="auto" w:fill="F7F8FA"/>
          </w:tcPr>
          <w:p>
            <w:pPr>
              <w:pStyle w:val="Compact"/>
              <w:spacing w:after="20" w:before="20"/>
              <w:jc w:val="center"/>
            </w:pPr>
            <w:r>
              <w:rPr>
                <w:sz w:val="18"/>
              </w:rPr>
              <w:t xml:space="preserve">−0,001</w:t>
            </w:r>
          </w:p>
        </w:tc>
        <w:tc>
          <w:tcPr>
            <w:shd w:val="clear" w:color="auto" w:fill="F7F8FA"/>
          </w:tcPr>
          <w:p>
            <w:pPr>
              <w:pStyle w:val="Compact"/>
              <w:spacing w:after="20" w:before="20"/>
              <w:jc w:val="center"/>
            </w:pPr>
            <w:r>
              <w:rPr>
                <w:sz w:val="18"/>
              </w:rPr>
              <w:t xml:space="preserve">−0,001*</w:t>
            </w:r>
          </w:p>
        </w:tc>
      </w:tr>
      <w:tr>
        <w:tc>
          <w:tcPr/>
          <w:p>
            <w:pPr>
              <w:pStyle w:val="Compact"/>
              <w:spacing w:after="20" w:before="20"/>
              <w:jc w:val="left"/>
            </w:pPr>
            <w:r>
              <w:rPr>
                <w:sz w:val="18"/>
              </w:rPr>
              <w:t xml:space="preserve">Arbeitslosenquote</w:t>
            </w:r>
          </w:p>
        </w:tc>
        <w:tc>
          <w:tcPr/>
          <w:p>
            <w:pPr>
              <w:pStyle w:val="Compact"/>
              <w:spacing w:after="20" w:before="20"/>
              <w:jc w:val="center"/>
            </w:pPr>
            <w:r>
              <w:rPr>
                <w:sz w:val="18"/>
              </w:rPr>
              <w:t xml:space="preserve">+10,8 %*</w:t>
            </w:r>
          </w:p>
        </w:tc>
        <w:tc>
          <w:tcPr/>
          <w:p>
            <w:pPr>
              <w:pStyle w:val="Compact"/>
              <w:spacing w:after="20" w:before="20"/>
              <w:jc w:val="center"/>
            </w:pPr>
            <w:r>
              <w:rPr>
                <w:sz w:val="18"/>
              </w:rPr>
              <w:t xml:space="preserve">+2,0 %*</w:t>
            </w:r>
          </w:p>
        </w:tc>
        <w:tc>
          <w:tcPr/>
          <w:p>
            <w:pPr>
              <w:pStyle w:val="Compact"/>
              <w:spacing w:after="20" w:before="20"/>
              <w:jc w:val="center"/>
            </w:pPr>
            <w:r>
              <w:rPr>
                <w:sz w:val="18"/>
              </w:rPr>
              <w:t xml:space="preserve">+2,4 %*</w:t>
            </w:r>
          </w:p>
        </w:tc>
        <w:tc>
          <w:tcPr/>
          <w:p>
            <w:pPr>
              <w:pStyle w:val="Compact"/>
              <w:spacing w:after="20" w:before="20"/>
              <w:jc w:val="center"/>
            </w:pPr>
            <w:r>
              <w:rPr>
                <w:sz w:val="18"/>
              </w:rPr>
              <w:t xml:space="preserve">+0,0 %</w:t>
            </w:r>
          </w:p>
        </w:tc>
      </w:tr>
      <w:tr>
        <w:tc>
          <w:tcPr>
            <w:shd w:val="clear" w:color="auto" w:fill="F7F8FA"/>
          </w:tcPr>
          <w:p>
            <w:pPr>
              <w:pStyle w:val="Compact"/>
              <w:spacing w:after="20" w:before="20"/>
              <w:jc w:val="left"/>
            </w:pPr>
            <w:r>
              <w:rPr>
                <w:sz w:val="18"/>
              </w:rPr>
              <w:t xml:space="preserve">Unbefriedigte Nachfrage</w:t>
            </w:r>
          </w:p>
        </w:tc>
        <w:tc>
          <w:tcPr>
            <w:shd w:val="clear" w:color="auto" w:fill="F7F8FA"/>
          </w:tcPr>
          <w:p>
            <w:pPr>
              <w:pStyle w:val="Compact"/>
              <w:spacing w:after="20" w:before="20"/>
              <w:jc w:val="center"/>
            </w:pPr>
            <w:r>
              <w:rPr>
                <w:sz w:val="18"/>
              </w:rPr>
              <w:t xml:space="preserve">+4,0 %*</w:t>
            </w:r>
          </w:p>
        </w:tc>
        <w:tc>
          <w:tcPr>
            <w:shd w:val="clear" w:color="auto" w:fill="F7F8FA"/>
          </w:tcPr>
          <w:p>
            <w:pPr>
              <w:pStyle w:val="Compact"/>
              <w:spacing w:after="20" w:before="20"/>
              <w:jc w:val="center"/>
            </w:pPr>
            <w:r>
              <w:rPr>
                <w:sz w:val="18"/>
              </w:rPr>
              <w:t xml:space="preserve">+0,7 %*</w:t>
            </w:r>
          </w:p>
        </w:tc>
        <w:tc>
          <w:tcPr>
            <w:shd w:val="clear" w:color="auto" w:fill="F7F8FA"/>
          </w:tcPr>
          <w:p>
            <w:pPr>
              <w:pStyle w:val="Compact"/>
              <w:spacing w:after="20" w:before="20"/>
              <w:jc w:val="center"/>
            </w:pPr>
            <w:r>
              <w:rPr>
                <w:sz w:val="18"/>
              </w:rPr>
              <w:t xml:space="preserve">+1,0 %*</w:t>
            </w:r>
          </w:p>
        </w:tc>
        <w:tc>
          <w:tcPr>
            <w:shd w:val="clear" w:color="auto" w:fill="F7F8FA"/>
          </w:tcPr>
          <w:p>
            <w:pPr>
              <w:pStyle w:val="Compact"/>
              <w:spacing w:after="20" w:before="20"/>
              <w:jc w:val="center"/>
            </w:pPr>
            <w:r>
              <w:rPr>
                <w:sz w:val="18"/>
              </w:rPr>
              <w:t xml:space="preserve">+0,6 %*</w:t>
            </w:r>
          </w:p>
        </w:tc>
      </w:tr>
      <w:tr>
        <w:tc>
          <w:tcPr/>
          <w:p>
            <w:pPr>
              <w:pStyle w:val="Compact"/>
              <w:spacing w:after="20" w:before="20"/>
              <w:jc w:val="left"/>
            </w:pPr>
            <w:r>
              <w:rPr>
                <w:sz w:val="18"/>
              </w:rPr>
              <w:t xml:space="preserve">Gini Vermögen</w:t>
            </w:r>
          </w:p>
        </w:tc>
        <w:tc>
          <w:tcPr/>
          <w:p>
            <w:pPr>
              <w:pStyle w:val="Compact"/>
              <w:spacing w:after="20" w:before="20"/>
              <w:jc w:val="center"/>
            </w:pPr>
            <w:r>
              <w:rPr>
                <w:sz w:val="18"/>
              </w:rPr>
              <w:t xml:space="preserve">−0,181*</w:t>
            </w:r>
          </w:p>
        </w:tc>
        <w:tc>
          <w:tcPr/>
          <w:p>
            <w:pPr>
              <w:pStyle w:val="Compact"/>
              <w:spacing w:after="20" w:before="20"/>
              <w:jc w:val="center"/>
            </w:pPr>
            <w:r>
              <w:rPr>
                <w:sz w:val="18"/>
              </w:rPr>
              <w:t xml:space="preserve">−0,231*</w:t>
            </w:r>
          </w:p>
        </w:tc>
        <w:tc>
          <w:tcPr/>
          <w:p>
            <w:pPr>
              <w:pStyle w:val="Compact"/>
              <w:spacing w:after="20" w:before="20"/>
              <w:jc w:val="center"/>
            </w:pPr>
            <w:r>
              <w:rPr>
                <w:sz w:val="18"/>
              </w:rPr>
              <w:t xml:space="preserve">−0,229*</w:t>
            </w:r>
          </w:p>
        </w:tc>
        <w:tc>
          <w:tcPr/>
          <w:p>
            <w:pPr>
              <w:pStyle w:val="Compact"/>
              <w:spacing w:after="20" w:before="20"/>
              <w:jc w:val="center"/>
            </w:pPr>
            <w:r>
              <w:rPr>
                <w:sz w:val="18"/>
              </w:rPr>
              <w:t xml:space="preserve">−0,006*</w:t>
            </w:r>
          </w:p>
        </w:tc>
      </w:tr>
      <w:tr>
        <w:tc>
          <w:tcPr>
            <w:shd w:val="clear" w:color="auto" w:fill="F7F8FA"/>
          </w:tcPr>
          <w:p>
            <w:pPr>
              <w:pStyle w:val="Compact"/>
              <w:spacing w:after="20" w:before="20"/>
              <w:jc w:val="left"/>
            </w:pPr>
            <w:r>
              <w:rPr>
                <w:sz w:val="18"/>
              </w:rPr>
              <w:t xml:space="preserve">Volatilität Konsum (VK)</w:t>
            </w:r>
          </w:p>
        </w:tc>
        <w:tc>
          <w:tcPr>
            <w:shd w:val="clear" w:color="auto" w:fill="F7F8FA"/>
          </w:tcPr>
          <w:p>
            <w:pPr>
              <w:pStyle w:val="Compact"/>
              <w:spacing w:after="20" w:before="20"/>
              <w:jc w:val="center"/>
            </w:pPr>
            <w:r>
              <w:rPr>
                <w:sz w:val="18"/>
              </w:rPr>
              <w:t xml:space="preserve">+0,060*</w:t>
            </w:r>
          </w:p>
        </w:tc>
        <w:tc>
          <w:tcPr>
            <w:shd w:val="clear" w:color="auto" w:fill="F7F8FA"/>
          </w:tcPr>
          <w:p>
            <w:pPr>
              <w:pStyle w:val="Compact"/>
              <w:spacing w:after="20" w:before="20"/>
              <w:jc w:val="center"/>
            </w:pPr>
            <w:r>
              <w:rPr>
                <w:sz w:val="18"/>
              </w:rPr>
              <w:t xml:space="preserve">+0,010*</w:t>
            </w:r>
          </w:p>
        </w:tc>
        <w:tc>
          <w:tcPr>
            <w:shd w:val="clear" w:color="auto" w:fill="F7F8FA"/>
          </w:tcPr>
          <w:p>
            <w:pPr>
              <w:pStyle w:val="Compact"/>
              <w:spacing w:after="20" w:before="20"/>
              <w:jc w:val="center"/>
            </w:pPr>
            <w:r>
              <w:rPr>
                <w:sz w:val="18"/>
              </w:rPr>
              <w:t xml:space="preserve">+0,006*</w:t>
            </w:r>
          </w:p>
        </w:tc>
        <w:tc>
          <w:tcPr>
            <w:shd w:val="clear" w:color="auto" w:fill="F7F8FA"/>
          </w:tcPr>
          <w:p>
            <w:pPr>
              <w:pStyle w:val="Compact"/>
              <w:spacing w:after="20" w:before="20"/>
              <w:jc w:val="center"/>
            </w:pPr>
            <w:r>
              <w:rPr>
                <w:sz w:val="18"/>
              </w:rPr>
              <w:t xml:space="preserve">+0,000</w:t>
            </w:r>
          </w:p>
        </w:tc>
      </w:tr>
      <w:tr>
        <w:tc>
          <w:tcPr/>
          <w:p>
            <w:pPr>
              <w:pStyle w:val="Compact"/>
              <w:spacing w:after="20" w:before="20"/>
              <w:jc w:val="left"/>
            </w:pPr>
            <w:r>
              <w:rPr>
                <w:sz w:val="18"/>
              </w:rPr>
              <w:t xml:space="preserve">Kumul. Konsumverlust nach Schock</w:t>
            </w:r>
          </w:p>
        </w:tc>
        <w:tc>
          <w:tcPr/>
          <w:p>
            <w:pPr>
              <w:pStyle w:val="Compact"/>
              <w:spacing w:after="20" w:before="20"/>
              <w:jc w:val="center"/>
            </w:pPr>
            <w:r>
              <w:rPr>
                <w:sz w:val="18"/>
              </w:rPr>
              <w:t xml:space="preserve">−1,7*</w:t>
            </w:r>
          </w:p>
        </w:tc>
        <w:tc>
          <w:tcPr/>
          <w:p>
            <w:pPr>
              <w:pStyle w:val="Compact"/>
              <w:spacing w:after="20" w:before="20"/>
              <w:jc w:val="center"/>
            </w:pPr>
            <w:r>
              <w:rPr>
                <w:sz w:val="18"/>
              </w:rPr>
              <w:t xml:space="preserve">+0,0</w:t>
            </w:r>
          </w:p>
        </w:tc>
        <w:tc>
          <w:tcPr/>
          <w:p>
            <w:pPr>
              <w:pStyle w:val="Compact"/>
              <w:spacing w:after="20" w:before="20"/>
              <w:jc w:val="center"/>
            </w:pPr>
            <w:r>
              <w:rPr>
                <w:sz w:val="18"/>
              </w:rPr>
              <w:t xml:space="preserve">−1,0*</w:t>
            </w:r>
          </w:p>
        </w:tc>
        <w:tc>
          <w:tcPr/>
          <w:p>
            <w:pPr>
              <w:pStyle w:val="Compact"/>
              <w:spacing w:after="20" w:before="20"/>
              <w:jc w:val="center"/>
            </w:pPr>
            <w:r>
              <w:rPr>
                <w:sz w:val="18"/>
              </w:rPr>
              <w:t xml:space="preserve">+0,1</w:t>
            </w:r>
          </w:p>
        </w:tc>
      </w:tr>
      <w:tr>
        <w:tc>
          <w:tcPr>
            <w:shd w:val="clear" w:color="auto" w:fill="F7F8FA"/>
          </w:tcPr>
          <w:p>
            <w:pPr>
              <w:pStyle w:val="Compact"/>
              <w:spacing w:after="20" w:before="20"/>
              <w:jc w:val="left"/>
            </w:pPr>
            <w:r>
              <w:rPr>
                <w:sz w:val="18"/>
              </w:rPr>
              <w:t xml:space="preserve">Erholungszeit (Perioden)</w:t>
            </w:r>
          </w:p>
        </w:tc>
        <w:tc>
          <w:tcPr>
            <w:shd w:val="clear" w:color="auto" w:fill="F7F8FA"/>
          </w:tcPr>
          <w:p>
            <w:pPr>
              <w:pStyle w:val="Compact"/>
              <w:spacing w:after="20" w:before="20"/>
              <w:jc w:val="center"/>
            </w:pPr>
            <w:r>
              <w:rPr>
                <w:sz w:val="18"/>
              </w:rPr>
              <w:t xml:space="preserve">−11,0*</w:t>
            </w:r>
          </w:p>
        </w:tc>
        <w:tc>
          <w:tcPr>
            <w:shd w:val="clear" w:color="auto" w:fill="F7F8FA"/>
          </w:tcPr>
          <w:p>
            <w:pPr>
              <w:pStyle w:val="Compact"/>
              <w:spacing w:after="20" w:before="20"/>
              <w:jc w:val="center"/>
            </w:pPr>
            <w:r>
              <w:rPr>
                <w:sz w:val="18"/>
              </w:rPr>
              <w:t xml:space="preserve">−4,0</w:t>
            </w:r>
          </w:p>
        </w:tc>
        <w:tc>
          <w:tcPr>
            <w:shd w:val="clear" w:color="auto" w:fill="F7F8FA"/>
          </w:tcPr>
          <w:p>
            <w:pPr>
              <w:pStyle w:val="Compact"/>
              <w:spacing w:after="20" w:before="20"/>
              <w:jc w:val="center"/>
            </w:pPr>
            <w:r>
              <w:rPr>
                <w:sz w:val="18"/>
              </w:rPr>
              <w:t xml:space="preserve">−6,5*</w:t>
            </w:r>
          </w:p>
        </w:tc>
        <w:tc>
          <w:tcPr>
            <w:shd w:val="clear" w:color="auto" w:fill="F7F8FA"/>
          </w:tcPr>
          <w:p>
            <w:pPr>
              <w:pStyle w:val="Compact"/>
              <w:spacing w:after="20" w:before="20"/>
              <w:jc w:val="center"/>
            </w:pPr>
            <w:r>
              <w:rPr>
                <w:sz w:val="18"/>
              </w:rPr>
              <w:t xml:space="preserve">−0,8</w:t>
            </w:r>
          </w:p>
        </w:tc>
      </w:tr>
      <w:tr>
        <w:tc>
          <w:tcPr>
            <w:tcBorders>
              <w:bottom w:val="single" w:sz="12" w:color="1F3864"/>
            </w:tcBorders>
          </w:tcPr>
          <w:p>
            <w:pPr>
              <w:pStyle w:val="Compact"/>
              <w:spacing w:after="20" w:before="20"/>
              <w:jc w:val="left"/>
            </w:pPr>
            <w:r>
              <w:rPr>
                <w:sz w:val="18"/>
              </w:rPr>
              <w:t xml:space="preserve">Insolvenzen je 100 Perioden</w:t>
            </w:r>
          </w:p>
        </w:tc>
        <w:tc>
          <w:tcPr>
            <w:tcBorders>
              <w:bottom w:val="single" w:sz="12" w:color="1F3864"/>
            </w:tcBorders>
          </w:tcPr>
          <w:p>
            <w:pPr>
              <w:pStyle w:val="Compact"/>
              <w:spacing w:after="20" w:before="20"/>
              <w:jc w:val="center"/>
            </w:pPr>
            <w:r>
              <w:rPr>
                <w:sz w:val="18"/>
              </w:rPr>
              <w:t xml:space="preserve">+39,3*</w:t>
            </w:r>
          </w:p>
        </w:tc>
        <w:tc>
          <w:tcPr>
            <w:tcBorders>
              <w:bottom w:val="single" w:sz="12" w:color="1F3864"/>
            </w:tcBorders>
          </w:tcPr>
          <w:p>
            <w:pPr>
              <w:pStyle w:val="Compact"/>
              <w:spacing w:after="20" w:before="20"/>
              <w:jc w:val="center"/>
            </w:pPr>
            <w:r>
              <w:rPr>
                <w:sz w:val="18"/>
              </w:rPr>
              <w:t xml:space="preserve">+39,3*</w:t>
            </w:r>
          </w:p>
        </w:tc>
        <w:tc>
          <w:tcPr>
            <w:tcBorders>
              <w:bottom w:val="single" w:sz="12" w:color="1F3864"/>
            </w:tcBorders>
          </w:tcPr>
          <w:p>
            <w:pPr>
              <w:pStyle w:val="Compact"/>
              <w:spacing w:after="20" w:before="20"/>
              <w:jc w:val="center"/>
            </w:pPr>
            <w:r>
              <w:rPr>
                <w:sz w:val="18"/>
              </w:rPr>
              <w:t xml:space="preserve">+60,1*</w:t>
            </w:r>
          </w:p>
        </w:tc>
        <w:tc>
          <w:tcPr>
            <w:tcBorders>
              <w:bottom w:val="single" w:sz="12" w:color="1F3864"/>
            </w:tcBorders>
          </w:tcPr>
          <w:p>
            <w:pPr>
              <w:pStyle w:val="Compact"/>
              <w:spacing w:after="20" w:before="20"/>
              <w:jc w:val="center"/>
            </w:pPr>
            <w:r>
              <w:rPr>
                <w:sz w:val="18"/>
              </w:rPr>
              <w:t xml:space="preserve">+0,2*</w:t>
            </w:r>
          </w:p>
        </w:tc>
      </w:tr>
    </w:tbl>
    <w:p>
      <w:pPr>
        <w:pStyle w:val="CaptionedFigure"/>
      </w:pPr>
      <w:r>
        <w:drawing>
          <wp:inline>
            <wp:extent cx="5334000" cy="2376179"/>
            <wp:effectExtent b="0" l="0" r="0" t="0"/>
            <wp:docPr descr="Abbildung 5: Kennzahlen mit (gefüllt) und ohne Kreditmarkt (hohl), Mittelwert und 95-%-Intervall über 8 Seeds." title="" id="50" name="Picture"/>
            <a:graphic>
              <a:graphicData uri="http://schemas.openxmlformats.org/drawingml/2006/picture">
                <pic:pic>
                  <pic:nvPicPr>
                    <pic:cNvPr descr="figures/09_mit_ohne_kredit.png" id="51" name="Picture"/>
                    <pic:cNvPicPr>
                      <a:picLocks noChangeArrowheads="1" noChangeAspect="1"/>
                    </pic:cNvPicPr>
                  </pic:nvPicPr>
                  <pic:blipFill>
                    <a:blip r:embed="rId49"/>
                    <a:stretch>
                      <a:fillRect/>
                    </a:stretch>
                  </pic:blipFill>
                  <pic:spPr bwMode="auto">
                    <a:xfrm>
                      <a:off x="0" y="0"/>
                      <a:ext cx="5334000" cy="2376179"/>
                    </a:xfrm>
                    <a:prstGeom prst="rect">
                      <a:avLst/>
                    </a:prstGeom>
                    <a:noFill/>
                    <a:ln w="9525">
                      <a:noFill/>
                      <a:headEnd/>
                      <a:tailEnd/>
                    </a:ln>
                  </pic:spPr>
                </pic:pic>
              </a:graphicData>
            </a:graphic>
          </wp:inline>
        </w:drawing>
      </w:r>
    </w:p>
    <w:p>
      <w:pPr>
        <w:pStyle w:val="ImageCaption"/>
      </w:pPr>
      <w:r>
        <w:t xml:space="preserve">Abbildung 5: Kennzahlen mit (gefüllt) und ohne Kreditmarkt (hohl), Mittelwert und 95-%-Intervall über 8 Seeds.</w:t>
      </w:r>
    </w:p>
    <w:bookmarkEnd w:id="52"/>
    <w:bookmarkStart w:id="59" w:name="eingriffsstärke"/>
    <w:p>
      <w:pPr>
        <w:pStyle w:val="Heading2"/>
      </w:pPr>
      <w:r>
        <w:rPr>
          <w:rStyle w:val="SectionNumber"/>
        </w:rPr>
        <w:t xml:space="preserve">5.6</w:t>
      </w:r>
      <w:r>
        <w:tab/>
      </w:r>
      <w:r>
        <w:t xml:space="preserve">Eingriffsstärke</w:t>
      </w:r>
    </w:p>
    <w:p>
      <w:pPr>
        <w:pStyle w:val="FirstParagraph"/>
      </w:pPr>
      <w:r>
        <w:t xml:space="preserve">Abbildung 6 variiert die Stärke der Eingriffe. Beim</w:t>
      </w:r>
      <w:r>
        <w:t xml:space="preserve"> </w:t>
      </w:r>
      <w:r>
        <w:rPr>
          <w:bCs/>
          <w:b/>
        </w:rPr>
        <w:t xml:space="preserve">Preisdeckel</w:t>
      </w:r>
      <w:r>
        <w:t xml:space="preserve"> </w:t>
      </w:r>
      <w:r>
        <w:t xml:space="preserve">zeigt sich eine klare Dosis-Wirkungs-Beziehung: Je enger der Deckel, desto größer die unbefriedigte Nachfrage – von rund 4 % bei einem zulässigen Aufschlag von 40 % über 12 % beim Standardwert von 5 % bis 31 % bei einem Deckel auf Stückkostenniveau. Ein engerer Deckel erhöht zugleich den Konsum und senkt die Vermögensungleichheit, weil er Gewinne zugunsten der Löhne begrenzt. Ein</w:t>
      </w:r>
      <w:r>
        <w:t xml:space="preserve"> </w:t>
      </w:r>
      <w:r>
        <w:rPr>
          <w:iCs/>
          <w:i/>
        </w:rPr>
        <w:t xml:space="preserve">lockerer</w:t>
      </w:r>
      <w:r>
        <w:t xml:space="preserve"> </w:t>
      </w:r>
      <w:r>
        <w:t xml:space="preserve">Deckel verschlechtert dagegen die Schockreaktion drastisch (Konsumverlust 29 statt 13): Bei hohen Aufschlägen liegt der preisindexierte Mindestlohn über dem Lohn, den die Preise tragen, und löst bei jeder Anpassung eine Lohn-Preis-Runde aus.</w:t>
      </w:r>
    </w:p>
    <w:p>
      <w:pPr>
        <w:pStyle w:val="CaptionedFigure"/>
      </w:pPr>
      <w:r>
        <w:drawing>
          <wp:inline>
            <wp:extent cx="5334000" cy="3179460"/>
            <wp:effectExtent b="0" l="0" r="0" t="0"/>
            <wp:docPr descr="Abbildung 6: Wirkung der Eingriffsstärke – Preisdeckel und Mindestlohn in C, Steuersatz in B (Mittelwert und 95-%-Band, 8 Seeds)." title="" id="54" name="Picture"/>
            <a:graphic>
              <a:graphicData uri="http://schemas.openxmlformats.org/drawingml/2006/picture">
                <pic:pic>
                  <pic:nvPicPr>
                    <pic:cNvPr descr="figures/06_eingriffsstaerke.png" id="55" name="Picture"/>
                    <pic:cNvPicPr>
                      <a:picLocks noChangeArrowheads="1" noChangeAspect="1"/>
                    </pic:cNvPicPr>
                  </pic:nvPicPr>
                  <pic:blipFill>
                    <a:blip r:embed="rId53"/>
                    <a:stretch>
                      <a:fillRect/>
                    </a:stretch>
                  </pic:blipFill>
                  <pic:spPr bwMode="auto">
                    <a:xfrm>
                      <a:off x="0" y="0"/>
                      <a:ext cx="5334000" cy="3179460"/>
                    </a:xfrm>
                    <a:prstGeom prst="rect">
                      <a:avLst/>
                    </a:prstGeom>
                    <a:noFill/>
                    <a:ln w="9525">
                      <a:noFill/>
                      <a:headEnd/>
                      <a:tailEnd/>
                    </a:ln>
                  </pic:spPr>
                </pic:pic>
              </a:graphicData>
            </a:graphic>
          </wp:inline>
        </w:drawing>
      </w:r>
    </w:p>
    <w:p>
      <w:pPr>
        <w:pStyle w:val="ImageCaption"/>
      </w:pPr>
      <w:r>
        <w:t xml:space="preserve">Abbildung 6: Wirkung der Eingriffsstärke – Preisdeckel und Mindestlohn in C, Steuersatz in B (Mittelwert und 95-%-Band, 8 Seeds).</w:t>
      </w:r>
    </w:p>
    <w:p>
      <w:pPr>
        <w:pStyle w:val="BodyText"/>
      </w:pPr>
      <w:r>
        <w:t xml:space="preserve">Der</w:t>
      </w:r>
      <w:r>
        <w:t xml:space="preserve"> </w:t>
      </w:r>
      <w:r>
        <w:rPr>
          <w:bCs/>
          <w:b/>
        </w:rPr>
        <w:t xml:space="preserve">Mindestlohn</w:t>
      </w:r>
      <w:r>
        <w:t xml:space="preserve"> </w:t>
      </w:r>
      <w:r>
        <w:t xml:space="preserve">ist bei den Standardparametern in ruhigen Zeiten nicht bindend; Konsum, Knappheit und Beschäftigung ändern sich über den gesamten untersuchten Bereich praktisch nicht. Er entscheidet aber über die Schockreaktion: Bei</w:t>
      </w:r>
      <w:r>
        <w:t xml:space="preserve"> </w:t>
      </w:r>
      <m:oMath>
        <m:r>
          <m:t>ω</m:t>
        </m:r>
        <m:r>
          <m:rPr>
            <m:sty m:val="p"/>
          </m:rPr>
          <m:t>≤</m:t>
        </m:r>
        <m:r>
          <m:rPr>
            <m:nor/>
            <m:sty m:val="p"/>
          </m:rPr>
          <m:t>0,7</m:t>
        </m:r>
      </m:oMath>
      <w:r>
        <w:t xml:space="preserve"> </w:t>
      </w:r>
      <w:r>
        <w:t xml:space="preserve">ist der Konsumverlust in C mit rund 8,3 so gering wie in B, bei</w:t>
      </w:r>
      <w:r>
        <w:t xml:space="preserve"> </w:t>
      </w:r>
      <m:oMath>
        <m:r>
          <m:t>ω</m:t>
        </m:r>
        <m:r>
          <m:rPr>
            <m:sty m:val="p"/>
          </m:rPr>
          <m:t>=</m:t>
        </m:r>
        <m:r>
          <m:rPr>
            <m:nor/>
            <m:sty m:val="p"/>
          </m:rPr>
          <m:t>0,8</m:t>
        </m:r>
      </m:oMath>
      <w:r>
        <w:t xml:space="preserve"> </w:t>
      </w:r>
      <w:r>
        <w:t xml:space="preserve">steigt er auf 12,9 und bei</w:t>
      </w:r>
      <w:r>
        <w:t xml:space="preserve"> </w:t>
      </w:r>
      <m:oMath>
        <m:r>
          <m:t>ω</m:t>
        </m:r>
        <m:r>
          <m:rPr>
            <m:sty m:val="p"/>
          </m:rPr>
          <m:t>=</m:t>
        </m:r>
        <m:r>
          <m:rPr>
            <m:nor/>
            <m:sty m:val="p"/>
          </m:rPr>
          <m:t>0,9</m:t>
        </m:r>
      </m:oMath>
      <w:r>
        <w:t xml:space="preserve"> </w:t>
      </w:r>
      <w:r>
        <w:t xml:space="preserve">auf 26,5 Perioden-Äquivalente; die Erholungszeit wächst von rund 9 auf 95 Perioden. Die schlechte Schockbilanz von C geht damit im Modell im Wesentlichen auf den preisindexierten Mindestlohn zurück, nicht auf den Preisdeckel selbst. Der</w:t>
      </w:r>
      <w:r>
        <w:t xml:space="preserve"> </w:t>
      </w:r>
      <w:r>
        <w:rPr>
          <w:bCs/>
          <w:b/>
        </w:rPr>
        <w:t xml:space="preserve">Steuersatz</w:t>
      </w:r>
      <w:r>
        <w:t xml:space="preserve"> </w:t>
      </w:r>
      <w:r>
        <w:t xml:space="preserve">in B hat moderate Wirkungen: Höhere Steuern finanzieren mehr Arbeitslosengeld und Rückverteilung, senken die unbefriedigte Nachfrage leicht und lassen den Konsum leicht steigen; die Vermögensungleichheit ist bei einem mittleren Steuersatz am geringsten.</w:t>
      </w:r>
    </w:p>
    <w:p>
      <w:pPr>
        <w:pStyle w:val="BodyText"/>
      </w:pPr>
      <w:r>
        <w:rPr>
          <w:bCs/>
          <w:b/>
        </w:rPr>
        <w:t xml:space="preserve">Kreditregulierung.</w:t>
      </w:r>
      <w:r>
        <w:t xml:space="preserve"> </w:t>
      </w:r>
      <w:r>
        <w:t xml:space="preserve">Abbildung 7 zeigt die Zinsobergrenze in C und die Eigenkapitalanforderung in allen Regimen. Wird die Zinsobergrenze gelockert, steigt das Kreditvolumen in C von 0,5 % auf rund 2,3 % der Jahresproduktion, und der Konsumverlust nach dem Schock sinkt von 12,9 auf 11,3; zugleich steigt die Arbeitslosigkeit in ruhigen Zeiten von 2,4 % auf 4,8 %. Selbst ohne Zinsobergrenze lehnt die Bank in C noch rund 95 % der Anträge ab; die engen Margen unter dem Preisdeckel dürften die Kassen der Firmen so niedrig halten, dass die Verschuldungsgrenze greift. Die Eigenkapitalanforderung ist dagegen im untersuchten Bereich (2–16 %) in A mit Eigentumsrechten, B und C nicht bindend und ohne messbaren Effekt. Die Bankenkrisen in A ohne Rechtsdurchsetzung treten bei jeder Eigenkapitalquote auf; sie gehen auf die geringe Verwertungsquote, absichtliche Zahlungsausfälle und die fehlende Einlagensicherung zurück, nicht auf die Höhe der Eigenkapitalvorschrift.</w:t>
      </w:r>
    </w:p>
    <w:p>
      <w:pPr>
        <w:pStyle w:val="CaptionedFigure"/>
      </w:pPr>
      <w:r>
        <w:drawing>
          <wp:inline>
            <wp:extent cx="5334000" cy="2418728"/>
            <wp:effectExtent b="0" l="0" r="0" t="0"/>
            <wp:docPr descr="Abbildung 7: Kreditregulierung – Zinsobergrenze in C (oben) und Eigenkapitalanforderung in allen Regimen (unten)." title="" id="57" name="Picture"/>
            <a:graphic>
              <a:graphicData uri="http://schemas.openxmlformats.org/drawingml/2006/picture">
                <pic:pic>
                  <pic:nvPicPr>
                    <pic:cNvPr descr="figures/10_kreditregulierung.png" id="58" name="Picture"/>
                    <pic:cNvPicPr>
                      <a:picLocks noChangeArrowheads="1" noChangeAspect="1"/>
                    </pic:cNvPicPr>
                  </pic:nvPicPr>
                  <pic:blipFill>
                    <a:blip r:embed="rId56"/>
                    <a:stretch>
                      <a:fillRect/>
                    </a:stretch>
                  </pic:blipFill>
                  <pic:spPr bwMode="auto">
                    <a:xfrm>
                      <a:off x="0" y="0"/>
                      <a:ext cx="5334000" cy="2418728"/>
                    </a:xfrm>
                    <a:prstGeom prst="rect">
                      <a:avLst/>
                    </a:prstGeom>
                    <a:noFill/>
                    <a:ln w="9525">
                      <a:noFill/>
                      <a:headEnd/>
                      <a:tailEnd/>
                    </a:ln>
                  </pic:spPr>
                </pic:pic>
              </a:graphicData>
            </a:graphic>
          </wp:inline>
        </w:drawing>
      </w:r>
    </w:p>
    <w:p>
      <w:pPr>
        <w:pStyle w:val="ImageCaption"/>
      </w:pPr>
      <w:r>
        <w:t xml:space="preserve">Abbildung 7: Kreditregulierung – Zinsobergrenze in C (oben) und Eigenkapitalanforderung in allen Regimen (unten).</w:t>
      </w:r>
    </w:p>
    <w:bookmarkEnd w:id="59"/>
    <w:bookmarkStart w:id="63" w:name="robustheit"/>
    <w:p>
      <w:pPr>
        <w:pStyle w:val="Heading2"/>
      </w:pPr>
      <w:r>
        <w:rPr>
          <w:rStyle w:val="SectionNumber"/>
        </w:rPr>
        <w:t xml:space="preserve">5.7</w:t>
      </w:r>
      <w:r>
        <w:tab/>
      </w:r>
      <w:r>
        <w:t xml:space="preserve">Robustheit</w:t>
      </w:r>
    </w:p>
    <w:p>
      <w:pPr>
        <w:pStyle w:val="FirstParagraph"/>
      </w:pPr>
      <w:r>
        <w:t xml:space="preserve">Abbildung 8 prüft, ob die Rangfolge der Regime von Verhaltensannahmen abhängt. Robust sind drei Aussagen: A ohne Rechtsdurchsetzung hat ab einer Betrugsneigung von 0,3 sowie bei allen übrigen variierten Annahmen die niedrigste Wohlfahrt und durchweg die höchste Vermögensungleichheit; B und C sind gegenüber allen untersuchten Verhaltensannahmen sehr stabil; und Bankenkrisen treten nur in den A-Varianten auf. Ohne Betrug (</w:t>
      </w:r>
      <m:oMath>
        <m:sSub>
          <m:e>
            <m:r>
              <m:t>π</m:t>
            </m:r>
          </m:e>
          <m:sub>
            <m:r>
              <m:t>0</m:t>
            </m:r>
          </m:sub>
        </m:sSub>
        <m:r>
          <m:rPr>
            <m:sty m:val="p"/>
          </m:rPr>
          <m:t>=</m:t>
        </m:r>
        <m:r>
          <m:t>0</m:t>
        </m:r>
      </m:oMath>
      <w:r>
        <w:t xml:space="preserve">) verschwindet der Unterschied zwischen den beiden A-Varianten weitgehend – ein Hinweis darauf, dass im Modell die Rechtsdurchsetzung vor allem über die Eindämmung von Betrug wirkt. Auffällig ist, dass gerade ohne Betrug in beiden A-Varianten gehäuft Bankenkrisen auftreten: Die Bank vergibt dann mehr Kredit bei nur 2 % Eigenkapital und ohne Einlagensicherung.</w:t>
      </w:r>
    </w:p>
    <w:p>
      <w:pPr>
        <w:pStyle w:val="CaptionedFigure"/>
      </w:pPr>
      <w:r>
        <w:drawing>
          <wp:inline>
            <wp:extent cx="5334000" cy="2642673"/>
            <wp:effectExtent b="0" l="0" r="0" t="0"/>
            <wp:docPr descr="Abbildung 8: Robustheit – Wohlfahrt und Vermögensungleichheit aller Regime bei variierten Verhaltensannahmen (Mittelwert und 95-%-Band, 8 Seeds)." title="" id="61" name="Picture"/>
            <a:graphic>
              <a:graphicData uri="http://schemas.openxmlformats.org/drawingml/2006/picture">
                <pic:pic>
                  <pic:nvPicPr>
                    <pic:cNvPr descr="figures/07_robustheit.png" id="62" name="Picture"/>
                    <pic:cNvPicPr>
                      <a:picLocks noChangeArrowheads="1" noChangeAspect="1"/>
                    </pic:cNvPicPr>
                  </pic:nvPicPr>
                  <pic:blipFill>
                    <a:blip r:embed="rId60"/>
                    <a:stretch>
                      <a:fillRect/>
                    </a:stretch>
                  </pic:blipFill>
                  <pic:spPr bwMode="auto">
                    <a:xfrm>
                      <a:off x="0" y="0"/>
                      <a:ext cx="5334000" cy="2642673"/>
                    </a:xfrm>
                    <a:prstGeom prst="rect">
                      <a:avLst/>
                    </a:prstGeom>
                    <a:noFill/>
                    <a:ln w="9525">
                      <a:noFill/>
                      <a:headEnd/>
                      <a:tailEnd/>
                    </a:ln>
                  </pic:spPr>
                </pic:pic>
              </a:graphicData>
            </a:graphic>
          </wp:inline>
        </w:drawing>
      </w:r>
    </w:p>
    <w:p>
      <w:pPr>
        <w:pStyle w:val="ImageCaption"/>
      </w:pPr>
      <w:r>
        <w:t xml:space="preserve">Abbildung 8: Robustheit – Wohlfahrt und Vermögensungleichheit aller Regime bei variierten Verhaltensannahmen (Mittelwert und 95-%-Band, 8 Seeds).</w:t>
      </w:r>
    </w:p>
    <w:p>
      <w:pPr>
        <w:pStyle w:val="BodyText"/>
      </w:pPr>
      <w:r>
        <w:t xml:space="preserve">Nicht robust ist dagegen der Wohlfahrtsvorsprung von A mit Eigentumsrechten. Er hängt an der Annahme schwacher Marktmacht: Ab</w:t>
      </w:r>
      <w:r>
        <w:t xml:space="preserve"> </w:t>
      </w:r>
      <m:oMath>
        <m:r>
          <m:t>κ</m:t>
        </m:r>
        <m:r>
          <m:rPr>
            <m:sty m:val="p"/>
          </m:rPr>
          <m:t>=</m:t>
        </m:r>
        <m:r>
          <m:t>2</m:t>
        </m:r>
      </m:oMath>
      <w:r>
        <w:t xml:space="preserve"> </w:t>
      </w:r>
      <w:r>
        <w:t xml:space="preserve">fällt dieses Regime hinter B und C zurück, bei</w:t>
      </w:r>
      <w:r>
        <w:t xml:space="preserve"> </w:t>
      </w:r>
      <m:oMath>
        <m:r>
          <m:t>κ</m:t>
        </m:r>
        <m:r>
          <m:rPr>
            <m:sty m:val="p"/>
          </m:rPr>
          <m:t>=</m:t>
        </m:r>
        <m:r>
          <m:t>4</m:t>
        </m:r>
      </m:oMath>
      <w:r>
        <w:t xml:space="preserve"> </w:t>
      </w:r>
      <w:r>
        <w:t xml:space="preserve">steigt die Vermögensungleichheit auf 0,50 und es treten Bankenkrisen auf. Wie gut ein staatsfreies System mit Eigentumsrechten abschneidet, hängt im Modell also entscheidend davon ab, wie stark Unternehmen ohne Wettbewerbsaufsicht Marktmacht ausüben können – genau der Punkt, an dem Ordoliberale wie auch Weber eine staatliche Wettbewerbspolitik für nötig halten. Die Rangfolge der Vermögensungleichheit (B am gleichmäßigsten) bleibt über fast alle Annahmen erhalten; nur bei hoher Konsumneigung aus Vermögen liegt C vorn.</w:t>
      </w:r>
    </w:p>
    <w:bookmarkEnd w:id="63"/>
    <w:bookmarkEnd w:id="64"/>
    <w:bookmarkStart w:id="71" w:name="Xc1c73a6a004486a75e28e1ee5a19d3bbd256347"/>
    <w:p>
      <w:pPr>
        <w:pStyle w:val="Heading1"/>
      </w:pPr>
      <w:r>
        <w:rPr>
          <w:rStyle w:val="SectionNumber"/>
        </w:rPr>
        <w:t xml:space="preserve">6</w:t>
      </w:r>
      <w:r>
        <w:tab/>
      </w:r>
      <w:r>
        <w:t xml:space="preserve">Einordnung der „Antifaschistischen Wirtschaftspolitik“</w:t>
      </w:r>
    </w:p>
    <w:bookmarkStart w:id="65" w:name="begriff-und-programm"/>
    <w:p>
      <w:pPr>
        <w:pStyle w:val="Heading2"/>
      </w:pPr>
      <w:r>
        <w:rPr>
          <w:rStyle w:val="SectionNumber"/>
        </w:rPr>
        <w:t xml:space="preserve">6.1</w:t>
      </w:r>
      <w:r>
        <w:tab/>
      </w:r>
      <w:r>
        <w:t xml:space="preserve">Begriff und Programm</w:t>
      </w:r>
    </w:p>
    <w:p>
      <w:pPr>
        <w:pStyle w:val="FirstParagraph"/>
      </w:pPr>
      <w:r>
        <w:t xml:space="preserve">Den Begriff „Antifaschistische Wirtschaftspolitik“ (engl.</w:t>
      </w:r>
      <w:r>
        <w:t xml:space="preserve"> </w:t>
      </w:r>
      <w:r>
        <w:rPr>
          <w:iCs/>
          <w:i/>
        </w:rPr>
        <w:t xml:space="preserve">anti-fascist economics</w:t>
      </w:r>
      <w:r>
        <w:t xml:space="preserve">) prägte Isabella M. Weber nach der US-Präsidentschaftswahl im November 2024 und entwickelte ihn in einem im Oktober 2026 erschienenen Buch weiter (Weber 2024, 2026). Die Kernthese lautet: Wenn die Lebenshaltungskosten in Krisen außer Kontrolle geraten und Regierungen die Bevölkerung nicht vor Preisschocks bei Grundgütern und vor Gewinnmitnahmen großer Unternehmen schützen, entsteht Enttäuschung, die rechtsextreme Parteien ausnutzen. Eine demokratieerhaltende Wirtschaftspolitik müsse daher Bezahlbarkeit, Würde und Versorgungssicherheit ins Zentrum stellen. Theoretisch stützt sich Weber auf ihr Konzept der</w:t>
      </w:r>
      <w:r>
        <w:t xml:space="preserve"> </w:t>
      </w:r>
      <w:r>
        <w:rPr>
          <w:iCs/>
          <w:i/>
        </w:rPr>
        <w:t xml:space="preserve">Verkäuferinflation</w:t>
      </w:r>
      <w:r>
        <w:t xml:space="preserve">: Kostenschocks in vorgelagerten, systemrelevanten Sektoren erlauben Unternehmen mit Marktmacht, Preise über den Kostenanstieg hinaus zu erhöhen, weil alle Anbieter gleichzeitig betroffen sind; Inflation wirkt so als Umverteilung zulasten der Lohnabhängigen (Weber und Wasner 2023).</w:t>
      </w:r>
    </w:p>
    <w:p>
      <w:pPr>
        <w:pStyle w:val="BodyText"/>
      </w:pPr>
      <w:r>
        <w:t xml:space="preserve">Als Instrumente nennt Weber in Interviews und Beiträgen insbesondere (Weber 2024; Scholz 2024):</w:t>
      </w:r>
    </w:p>
    <w:p>
      <w:pPr>
        <w:numPr>
          <w:ilvl w:val="0"/>
          <w:numId w:val="1001"/>
        </w:numPr>
        <w:pStyle w:val="Compact"/>
      </w:pPr>
      <w:r>
        <w:t xml:space="preserve">Preisbremsen und -obergrenzen für Energie und Mieten, als Notfallinstrument und als Versicherung gegen künftige Schocks,</w:t>
      </w:r>
    </w:p>
    <w:p>
      <w:pPr>
        <w:numPr>
          <w:ilvl w:val="0"/>
          <w:numId w:val="1001"/>
        </w:numPr>
        <w:pStyle w:val="Compact"/>
      </w:pPr>
      <w:r>
        <w:t xml:space="preserve">vereinbarte Festpreise für einen Grundwarenkorb nach mexikanischem Vorbild, strategische Pufferlager und strategische Preiskontrollen in Kernsektoren,</w:t>
      </w:r>
    </w:p>
    <w:p>
      <w:pPr>
        <w:numPr>
          <w:ilvl w:val="0"/>
          <w:numId w:val="1001"/>
        </w:numPr>
        <w:pStyle w:val="Compact"/>
      </w:pPr>
      <w:r>
        <w:t xml:space="preserve">schärferes Kartellrecht gegen konzentrierte Märkte und Übergewinnsteuern,</w:t>
      </w:r>
    </w:p>
    <w:p>
      <w:pPr>
        <w:numPr>
          <w:ilvl w:val="0"/>
          <w:numId w:val="1001"/>
        </w:numPr>
        <w:pStyle w:val="Compact"/>
      </w:pPr>
      <w:r>
        <w:t xml:space="preserve">einen aktiveren, investierenden Staat ohne Schuldenbremse sowie eine sektoral geplante, sozial ausgeglichene Klimapolitik.</w:t>
      </w:r>
    </w:p>
    <w:p>
      <w:pPr>
        <w:pStyle w:val="FirstParagraph"/>
      </w:pPr>
      <w:r>
        <w:t xml:space="preserve">Bemerkenswert ist, dass das Programm nicht auf flächendeckende, dauerhafte Preisfestsetzung zielt, sondern auf</w:t>
      </w:r>
      <w:r>
        <w:t xml:space="preserve"> </w:t>
      </w:r>
      <w:r>
        <w:rPr>
          <w:iCs/>
          <w:i/>
        </w:rPr>
        <w:t xml:space="preserve">gezielte</w:t>
      </w:r>
      <w:r>
        <w:t xml:space="preserve"> </w:t>
      </w:r>
      <w:r>
        <w:t xml:space="preserve">und</w:t>
      </w:r>
      <w:r>
        <w:t xml:space="preserve"> </w:t>
      </w:r>
      <w:r>
        <w:rPr>
          <w:iCs/>
          <w:i/>
        </w:rPr>
        <w:t xml:space="preserve">zeitlich begrenzte</w:t>
      </w:r>
      <w:r>
        <w:t xml:space="preserve"> </w:t>
      </w:r>
      <w:r>
        <w:t xml:space="preserve">Eingriffe in wenigen systemrelevanten Märkten, eingebettet in Wettbewerbs- und Industriepolitik. Der Ansatz wurde im Herbst 2026 von den parteinahen Stiftungen von SPD, Grünen und Linken öffentlich diskutiert (Friedrich-Ebert-Stiftung 2026) und ist politisch umstritten.</w:t>
      </w:r>
    </w:p>
    <w:bookmarkEnd w:id="65"/>
    <w:bookmarkStart w:id="66" w:name="abbildung-im-modell"/>
    <w:p>
      <w:pPr>
        <w:pStyle w:val="Heading2"/>
      </w:pPr>
      <w:r>
        <w:rPr>
          <w:rStyle w:val="SectionNumber"/>
        </w:rPr>
        <w:t xml:space="preserve">6.2</w:t>
      </w:r>
      <w:r>
        <w:tab/>
      </w:r>
      <w:r>
        <w:t xml:space="preserve">Abbildung im Modell</w:t>
      </w:r>
    </w:p>
    <w:p>
      <w:pPr>
        <w:pStyle w:val="FirstParagraph"/>
      </w:pPr>
      <w:r>
        <w:t xml:space="preserve">Das Modell bildet einzelne Bausteine des Programms ab, andere nicht (Tabelle 7). Regime C ist daher</w:t>
      </w:r>
      <w:r>
        <w:t xml:space="preserve"> </w:t>
      </w:r>
      <w:r>
        <w:rPr>
          <w:iCs/>
          <w:i/>
        </w:rPr>
        <w:t xml:space="preserve">keine</w:t>
      </w:r>
      <w:r>
        <w:t xml:space="preserve"> </w:t>
      </w:r>
      <w:r>
        <w:t xml:space="preserve">Implementierung der „Antifaschistischen Wirtschaftspolitik“, sondern eine stilisierte Annäherung an deren preispolitischen Kern – mit dem wichtigen Unterschied, dass der Preisdeckel im Modell dauerhaft und für die gesamte Wirtschaft gilt.</w:t>
      </w:r>
    </w:p>
    <w:p>
      <w:pPr>
        <w:pStyle w:val="TableCaption"/>
      </w:pPr>
      <w:r>
        <w:t xml:space="preserve">Tabelle 7: Instrumente der „Antifaschistischen Wirtschaftspolitik“ und ihre Abbildung im Modell</w:t>
      </w:r>
    </w:p>
    <w:tbl>
      <w:tblPr>
        <w:tblStyle w:val="Table"/>
        <w:tblW w:type="pct" w:w="5000"/>
        <w:jc w:val="center"/>
        <w:tblLook w:firstRow="1" w:lastRow="0" w:firstColumn="0" w:lastColumn="0" w:noHBand="0" w:noVBand="0" w:val="0020"/>
        <w:tblCaption w:val="Tabelle 7: Instrumente der „Antifaschistischen Wirtschaftspolitik“ und ihre Abbildung im Modell"/>
      </w:tblPr>
      <w:tblGrid>
        <w:gridCol w:w="2828"/>
        <w:gridCol w:w="1131"/>
        <w:gridCol w:w="3960"/>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Instrument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Im Modell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Entsprechung</w:t>
            </w:r>
          </w:p>
        </w:tc>
      </w:tr>
      <w:tr>
        <w:tc>
          <w:tcPr/>
          <w:p>
            <w:pPr>
              <w:pStyle w:val="Compact"/>
              <w:spacing w:after="20" w:before="20"/>
              <w:jc w:val="left"/>
            </w:pPr>
            <w:r>
              <w:rPr>
                <w:sz w:val="18"/>
              </w:rPr>
              <w:t xml:space="preserve">Preisobergrenzen / Preisbremsen</w:t>
            </w:r>
          </w:p>
        </w:tc>
        <w:tc>
          <w:tcPr/>
          <w:p>
            <w:pPr>
              <w:pStyle w:val="Compact"/>
              <w:spacing w:after="20" w:before="20"/>
              <w:jc w:val="center"/>
            </w:pPr>
            <w:r>
              <w:rPr>
                <w:sz w:val="18"/>
              </w:rPr>
              <w:t xml:space="preserve">ja, stilisiert</w:t>
            </w:r>
          </w:p>
        </w:tc>
        <w:tc>
          <w:tcPr/>
          <w:p>
            <w:pPr>
              <w:pStyle w:val="Compact"/>
              <w:spacing w:after="20" w:before="20"/>
              <w:jc w:val="left"/>
            </w:pPr>
            <w:r>
              <w:rPr>
                <w:sz w:val="18"/>
              </w:rPr>
              <w:t xml:space="preserve">Preisdeckel</w:t>
            </w:r>
            <w:r>
              <w:rPr>
                <w:sz w:val="18"/>
              </w:rPr>
              <w:t xml:space="preserve"> </w:t>
            </w:r>
            <m:oMath>
              <m:acc>
                <m:accPr>
                  <m:chr m:val="‾"/>
                </m:accPr>
                <m:e>
                  <m:r>
                    <m:t>μ</m:t>
                  </m:r>
                </m:e>
              </m:acc>
            </m:oMath>
            <w:r>
              <w:rPr>
                <w:sz w:val="18"/>
              </w:rPr>
              <w:t xml:space="preserve"> </w:t>
            </w:r>
            <w:r>
              <w:rPr>
                <w:sz w:val="18"/>
              </w:rPr>
              <w:t xml:space="preserve">in C (dauerhaft, flächendeckend)</w:t>
            </w:r>
          </w:p>
        </w:tc>
      </w:tr>
      <w:tr>
        <w:tc>
          <w:tcPr>
            <w:shd w:val="clear" w:color="auto" w:fill="F7F8FA"/>
          </w:tcPr>
          <w:p>
            <w:pPr>
              <w:pStyle w:val="Compact"/>
              <w:spacing w:after="20" w:before="20"/>
              <w:jc w:val="left"/>
            </w:pPr>
            <w:r>
              <w:rPr>
                <w:sz w:val="18"/>
              </w:rPr>
              <w:t xml:space="preserve">Kartellrecht, Begrenzung von Marktmacht</w:t>
            </w:r>
          </w:p>
        </w:tc>
        <w:tc>
          <w:tcPr>
            <w:shd w:val="clear" w:color="auto" w:fill="F7F8FA"/>
          </w:tcPr>
          <w:p>
            <w:pPr>
              <w:pStyle w:val="Compact"/>
              <w:spacing w:after="20" w:before="20"/>
              <w:jc w:val="center"/>
            </w:pPr>
            <w:r>
              <w:rPr>
                <w:sz w:val="18"/>
              </w:rPr>
              <w:t xml:space="preserve">ja</w:t>
            </w:r>
          </w:p>
        </w:tc>
        <w:tc>
          <w:tcPr>
            <w:shd w:val="clear" w:color="auto" w:fill="F7F8FA"/>
          </w:tcPr>
          <w:p>
            <w:pPr>
              <w:pStyle w:val="Compact"/>
              <w:spacing w:after="20" w:before="20"/>
              <w:jc w:val="left"/>
            </w:pPr>
            <w:r>
              <w:rPr>
                <w:sz w:val="18"/>
              </w:rPr>
              <w:t xml:space="preserve">Wettbewerbsaufsicht in B und C (</w:t>
            </w:r>
            <m:oMath>
              <m:r>
                <m:t>κ</m:t>
              </m:r>
              <m:r>
                <m:rPr>
                  <m:sty m:val="p"/>
                </m:rPr>
                <m:t>=</m:t>
              </m:r>
              <m:r>
                <m:t>0</m:t>
              </m:r>
            </m:oMath>
            <w:r>
              <w:rPr>
                <w:sz w:val="18"/>
              </w:rPr>
              <w:t xml:space="preserve">, freier Eintritt)</w:t>
            </w:r>
          </w:p>
        </w:tc>
      </w:tr>
      <w:tr>
        <w:tc>
          <w:tcPr/>
          <w:p>
            <w:pPr>
              <w:pStyle w:val="Compact"/>
              <w:spacing w:after="20" w:before="20"/>
              <w:jc w:val="left"/>
            </w:pPr>
            <w:r>
              <w:rPr>
                <w:sz w:val="18"/>
              </w:rPr>
              <w:t xml:space="preserve">Schutz der Lohnabhängigen</w:t>
            </w:r>
          </w:p>
        </w:tc>
        <w:tc>
          <w:tcPr/>
          <w:p>
            <w:pPr>
              <w:pStyle w:val="Compact"/>
              <w:spacing w:after="20" w:before="20"/>
              <w:jc w:val="center"/>
            </w:pPr>
            <w:r>
              <w:rPr>
                <w:sz w:val="18"/>
              </w:rPr>
              <w:t xml:space="preserve">teilweise</w:t>
            </w:r>
          </w:p>
        </w:tc>
        <w:tc>
          <w:tcPr/>
          <w:p>
            <w:pPr>
              <w:pStyle w:val="Compact"/>
              <w:spacing w:after="20" w:before="20"/>
              <w:jc w:val="left"/>
            </w:pPr>
            <w:r>
              <w:rPr>
                <w:sz w:val="18"/>
              </w:rPr>
              <w:t xml:space="preserve">Arbeitslosengeld in B und C; Mindestlohn</w:t>
            </w:r>
            <w:r>
              <w:rPr>
                <w:sz w:val="18"/>
              </w:rPr>
              <w:t xml:space="preserve"> </w:t>
            </w:r>
            <m:oMath>
              <m:r>
                <m:t>ω</m:t>
              </m:r>
            </m:oMath>
            <w:r>
              <w:rPr>
                <w:sz w:val="18"/>
              </w:rPr>
              <w:t xml:space="preserve"> </w:t>
            </w:r>
            <w:r>
              <w:rPr>
                <w:sz w:val="18"/>
              </w:rPr>
              <w:t xml:space="preserve">in C (in den zitierten Vorschlägen nicht ausdrücklich genannt)</w:t>
            </w:r>
          </w:p>
        </w:tc>
      </w:tr>
      <w:tr>
        <w:tc>
          <w:tcPr>
            <w:shd w:val="clear" w:color="auto" w:fill="F7F8FA"/>
          </w:tcPr>
          <w:p>
            <w:pPr>
              <w:pStyle w:val="Compact"/>
              <w:spacing w:after="20" w:before="20"/>
              <w:jc w:val="left"/>
            </w:pPr>
            <w:r>
              <w:rPr>
                <w:sz w:val="18"/>
              </w:rPr>
              <w:t xml:space="preserve">Zinsobergrenzen</w:t>
            </w:r>
          </w:p>
        </w:tc>
        <w:tc>
          <w:tcPr>
            <w:shd w:val="clear" w:color="auto" w:fill="F7F8FA"/>
          </w:tcPr>
          <w:p>
            <w:pPr>
              <w:pStyle w:val="Compact"/>
              <w:spacing w:after="20" w:before="20"/>
              <w:jc w:val="center"/>
            </w:pPr>
            <w:r>
              <w:rPr>
                <w:sz w:val="18"/>
              </w:rPr>
              <w:t xml:space="preserve">ja</w:t>
            </w:r>
          </w:p>
        </w:tc>
        <w:tc>
          <w:tcPr>
            <w:shd w:val="clear" w:color="auto" w:fill="F7F8FA"/>
          </w:tcPr>
          <w:p>
            <w:pPr>
              <w:pStyle w:val="Compact"/>
              <w:spacing w:after="20" w:before="20"/>
              <w:jc w:val="left"/>
            </w:pPr>
            <w:r>
              <w:rPr>
                <w:sz w:val="18"/>
              </w:rPr>
              <w:t xml:space="preserve">Zinsobergrenze</w:t>
            </w:r>
            <w:r>
              <w:rPr>
                <w:sz w:val="18"/>
              </w:rPr>
              <w:t xml:space="preserve"> </w:t>
            </w:r>
            <m:oMath>
              <m:acc>
                <m:accPr>
                  <m:chr m:val="‾"/>
                </m:accPr>
                <m:e>
                  <m:r>
                    <m:t>r</m:t>
                  </m:r>
                </m:e>
              </m:acc>
            </m:oMath>
            <w:r>
              <w:rPr>
                <w:sz w:val="18"/>
              </w:rPr>
              <w:t xml:space="preserve"> </w:t>
            </w:r>
            <w:r>
              <w:rPr>
                <w:sz w:val="18"/>
              </w:rPr>
              <w:t xml:space="preserve">in C (nicht Teil von Webers Kernprogramm)</w:t>
            </w:r>
          </w:p>
        </w:tc>
      </w:tr>
      <w:tr>
        <w:tc>
          <w:tcPr/>
          <w:p>
            <w:pPr>
              <w:pStyle w:val="Compact"/>
              <w:spacing w:after="20" w:before="20"/>
              <w:jc w:val="left"/>
            </w:pPr>
            <w:r>
              <w:rPr>
                <w:sz w:val="18"/>
              </w:rPr>
              <w:t xml:space="preserve">Übergewinnsteuer</w:t>
            </w:r>
          </w:p>
        </w:tc>
        <w:tc>
          <w:tcPr/>
          <w:p>
            <w:pPr>
              <w:pStyle w:val="Compact"/>
              <w:spacing w:after="20" w:before="20"/>
              <w:jc w:val="center"/>
            </w:pPr>
            <w:r>
              <w:rPr>
                <w:sz w:val="18"/>
              </w:rPr>
              <w:t xml:space="preserve">nein</w:t>
            </w:r>
          </w:p>
        </w:tc>
        <w:tc>
          <w:tcPr/>
          <w:p>
            <w:pPr>
              <w:pStyle w:val="Compact"/>
              <w:spacing w:after="20" w:before="20"/>
              <w:jc w:val="center"/>
            </w:pPr>
            <w:r>
              <w:rPr>
                <w:sz w:val="18"/>
              </w:rPr>
              <w:t xml:space="preserve">–</w:t>
            </w:r>
          </w:p>
        </w:tc>
      </w:tr>
      <w:tr>
        <w:tc>
          <w:tcPr>
            <w:shd w:val="clear" w:color="auto" w:fill="F7F8FA"/>
          </w:tcPr>
          <w:p>
            <w:pPr>
              <w:pStyle w:val="Compact"/>
              <w:spacing w:after="20" w:before="20"/>
              <w:jc w:val="left"/>
            </w:pPr>
            <w:r>
              <w:rPr>
                <w:sz w:val="18"/>
              </w:rPr>
              <w:t xml:space="preserve">Pufferlager, Festpreis-Warenkorb</w:t>
            </w:r>
          </w:p>
        </w:tc>
        <w:tc>
          <w:tcPr>
            <w:shd w:val="clear" w:color="auto" w:fill="F7F8FA"/>
          </w:tcPr>
          <w:p>
            <w:pPr>
              <w:pStyle w:val="Compact"/>
              <w:spacing w:after="20" w:before="20"/>
              <w:jc w:val="center"/>
            </w:pPr>
            <w:r>
              <w:rPr>
                <w:sz w:val="18"/>
              </w:rPr>
              <w:t xml:space="preserve">nein</w:t>
            </w:r>
          </w:p>
        </w:tc>
        <w:tc>
          <w:tcPr>
            <w:shd w:val="clear" w:color="auto" w:fill="F7F8FA"/>
          </w:tcPr>
          <w:p>
            <w:pPr>
              <w:pStyle w:val="Compact"/>
              <w:spacing w:after="20" w:before="20"/>
              <w:jc w:val="center"/>
            </w:pPr>
            <w:r>
              <w:rPr>
                <w:sz w:val="18"/>
              </w:rPr>
              <w:t xml:space="preserve">–</w:t>
            </w:r>
          </w:p>
        </w:tc>
      </w:tr>
      <w:tr>
        <w:tc>
          <w:tcPr/>
          <w:p>
            <w:pPr>
              <w:pStyle w:val="Compact"/>
              <w:spacing w:after="20" w:before="20"/>
              <w:jc w:val="left"/>
            </w:pPr>
            <w:r>
              <w:rPr>
                <w:sz w:val="18"/>
              </w:rPr>
              <w:t xml:space="preserve">Öffentliche Investitionen, Schuldenbremse</w:t>
            </w:r>
          </w:p>
        </w:tc>
        <w:tc>
          <w:tcPr/>
          <w:p>
            <w:pPr>
              <w:pStyle w:val="Compact"/>
              <w:spacing w:after="20" w:before="20"/>
              <w:jc w:val="center"/>
            </w:pPr>
            <w:r>
              <w:rPr>
                <w:sz w:val="18"/>
              </w:rPr>
              <w:t xml:space="preserve">nein</w:t>
            </w:r>
          </w:p>
        </w:tc>
        <w:tc>
          <w:tcPr/>
          <w:p>
            <w:pPr>
              <w:pStyle w:val="Compact"/>
              <w:spacing w:after="20" w:before="20"/>
              <w:jc w:val="left"/>
            </w:pPr>
            <w:r>
              <w:rPr>
                <w:sz w:val="18"/>
              </w:rPr>
              <w:t xml:space="preserve">Staat ohne Verschuldung und Investitionen</w:t>
            </w:r>
          </w:p>
        </w:tc>
      </w:tr>
      <w:tr>
        <w:tc>
          <w:tcPr>
            <w:shd w:val="clear" w:color="auto" w:fill="F7F8FA"/>
            <w:tcBorders>
              <w:bottom w:val="single" w:sz="12" w:color="1F3864"/>
            </w:tcBorders>
          </w:tcPr>
          <w:p>
            <w:pPr>
              <w:pStyle w:val="Compact"/>
              <w:spacing w:after="20" w:before="20"/>
              <w:jc w:val="left"/>
            </w:pPr>
            <w:r>
              <w:rPr>
                <w:sz w:val="18"/>
              </w:rPr>
              <w:t xml:space="preserve">Politische Rückkopplung (Wahlverhalten)</w:t>
            </w:r>
          </w:p>
        </w:tc>
        <w:tc>
          <w:tcPr>
            <w:shd w:val="clear" w:color="auto" w:fill="F7F8FA"/>
            <w:tcBorders>
              <w:bottom w:val="single" w:sz="12" w:color="1F3864"/>
            </w:tcBorders>
          </w:tcPr>
          <w:p>
            <w:pPr>
              <w:pStyle w:val="Compact"/>
              <w:spacing w:after="20" w:before="20"/>
              <w:jc w:val="center"/>
            </w:pPr>
            <w:r>
              <w:rPr>
                <w:sz w:val="18"/>
              </w:rPr>
              <w:t xml:space="preserve">nein</w:t>
            </w:r>
          </w:p>
        </w:tc>
        <w:tc>
          <w:tcPr>
            <w:shd w:val="clear" w:color="auto" w:fill="F7F8FA"/>
            <w:tcBorders>
              <w:bottom w:val="single" w:sz="12" w:color="1F3864"/>
            </w:tcBorders>
          </w:tcPr>
          <w:p>
            <w:pPr>
              <w:pStyle w:val="Compact"/>
              <w:spacing w:after="20" w:before="20"/>
              <w:jc w:val="center"/>
            </w:pPr>
            <w:r>
              <w:rPr>
                <w:sz w:val="18"/>
              </w:rPr>
              <w:t xml:space="preserve">–</w:t>
            </w:r>
          </w:p>
        </w:tc>
      </w:tr>
    </w:tbl>
    <w:bookmarkEnd w:id="66"/>
    <w:bookmarkStart w:id="67" w:name="was-die-simulation-stützt"/>
    <w:p>
      <w:pPr>
        <w:pStyle w:val="Heading2"/>
      </w:pPr>
      <w:r>
        <w:rPr>
          <w:rStyle w:val="SectionNumber"/>
        </w:rPr>
        <w:t xml:space="preserve">6.3</w:t>
      </w:r>
      <w:r>
        <w:tab/>
      </w:r>
      <w:r>
        <w:t xml:space="preserve">Was die Simulation stützt</w:t>
      </w:r>
    </w:p>
    <w:p>
      <w:pPr>
        <w:pStyle w:val="FirstParagraph"/>
      </w:pPr>
      <w:r>
        <w:t xml:space="preserve">Einige Ergebnisse sind mit den Zielen der „Antifaschistischen Wirtschaftspolitik“ vereinbar. Regime C erreicht die geringste Einkommensungleichheit, die niedrigste Arbeitslosigkeit und die stabilste Inflation aller Regime (Tabelle 3); Lohnabhängige werden durch hohe Reallöhne begünstigt. Auch der wettbewerbspolitische Teil des Programms findet Rückhalt: Ohne Wettbewerbsaufsicht steigt mit der Stärke der Marktmacht der Preisaufschlag, die Wohlfahrt sinkt und die Ungleichheit nimmt zu (Abbildung 8). Insofern bestätigt das Modell eine Grundannahme Webers, dass Marktmacht ein Verteilungs- und Effizienzproblem ist, das politisch adressiert werden kann.</w:t>
      </w:r>
    </w:p>
    <w:bookmarkEnd w:id="67"/>
    <w:bookmarkStart w:id="68" w:name="kritik"/>
    <w:p>
      <w:pPr>
        <w:pStyle w:val="Heading2"/>
      </w:pPr>
      <w:r>
        <w:rPr>
          <w:rStyle w:val="SectionNumber"/>
        </w:rPr>
        <w:t xml:space="preserve">6.4</w:t>
      </w:r>
      <w:r>
        <w:tab/>
      </w:r>
      <w:r>
        <w:t xml:space="preserve">Kritik</w:t>
      </w:r>
    </w:p>
    <w:p>
      <w:pPr>
        <w:pStyle w:val="FirstParagraph"/>
      </w:pPr>
      <w:r>
        <w:rPr>
          <w:bCs/>
          <w:b/>
        </w:rPr>
        <w:t xml:space="preserve">Erstens: Preisobergrenzen ersetzen Preisinflation durch Mengenrationierung.</w:t>
      </w:r>
      <w:r>
        <w:t xml:space="preserve"> </w:t>
      </w:r>
      <w:r>
        <w:t xml:space="preserve">Der deutlichste Befund ist die dauerhaft unbefriedigte Nachfrage in C. Die Simulation reproduziert damit den Kern des Standardeinwands gegen Preiskontrollen, wie ihn etwa die Mehrheit des IGM-Panels formulierte: Die gemessene Inflation sinkt, aber Knappheit und Rationierung treten an die Stelle von Preissteigerungen (IGM Forum 2022). Die Sensitivitätsanalyse zeigt eine klare Dosis-Wirkungs-Beziehung: Je enger der Deckel, desto größer die Knappheit – von rund 4 % unbefriedigter Nachfrage bei einem zulässigen Aufschlag von 40 % bis 31 % bei einem Deckel auf Stückkostenniveau (Abbildung 6). Ein Teil der Inflation wird damit nicht beseitigt, sondern unsichtbar: Er zeigt sich nicht im Preisindex, sondern in leeren Regalen.</w:t>
      </w:r>
    </w:p>
    <w:p>
      <w:pPr>
        <w:pStyle w:val="BodyText"/>
      </w:pPr>
      <w:r>
        <w:rPr>
          <w:bCs/>
          <w:b/>
        </w:rPr>
        <w:t xml:space="preserve">Zweitens: Gerade bei Angebotsschocks verstärken mehrere gleichzeitige Eingriffe den Einbruch.</w:t>
      </w:r>
      <w:r>
        <w:t xml:space="preserve"> </w:t>
      </w:r>
      <w:r>
        <w:t xml:space="preserve">Die „Antifaschistische Wirtschaftspolitik“ ist ausdrücklich für Kostenschocks in Grundgütersektoren konzipiert. Im Modell schneidet C bei genau diesem Schocktyp am schlechtesten ab: Der Konsumverlust ist gut 50 % höher und die Erholung dauert fast dreimal so lange wie in B (Abschnitt 5.2). Ursache ist im Modell vor allem das Zusammenspiel der Eingriffe: Der an das Preisniveau gekoppelte Mindestlohn steigt mitten im Schock, obwohl die Produktivität gesunken ist, und Preisdeckel und Zinsobergrenze nehmen den Firmen die Möglichkeit, diese Kosten über Preise oder Kredite aufzufangen. Die Sensitivitätsanalyse zeigt, dass dieser Effekt vom Mindestlohnniveau abhängt: Bei</w:t>
      </w:r>
      <w:r>
        <w:t xml:space="preserve"> </w:t>
      </w:r>
      <m:oMath>
        <m:r>
          <m:t>ω</m:t>
        </m:r>
        <m:r>
          <m:rPr>
            <m:sty m:val="p"/>
          </m:rPr>
          <m:t>≤</m:t>
        </m:r>
        <m:r>
          <m:rPr>
            <m:nor/>
            <m:sty m:val="p"/>
          </m:rPr>
          <m:t>0,7</m:t>
        </m:r>
      </m:oMath>
      <w:r>
        <w:t xml:space="preserve"> </w:t>
      </w:r>
      <w:r>
        <w:t xml:space="preserve">ist die Schockbilanz von C so gut wie die von B, bei</w:t>
      </w:r>
      <w:r>
        <w:t xml:space="preserve"> </w:t>
      </w:r>
      <m:oMath>
        <m:r>
          <m:t>ω</m:t>
        </m:r>
        <m:r>
          <m:rPr>
            <m:sty m:val="p"/>
          </m:rPr>
          <m:t>=</m:t>
        </m:r>
        <m:r>
          <m:rPr>
            <m:nor/>
            <m:sty m:val="p"/>
          </m:rPr>
          <m:t>0,9</m:t>
        </m:r>
      </m:oMath>
      <w:r>
        <w:t xml:space="preserve"> </w:t>
      </w:r>
      <w:r>
        <w:t xml:space="preserve">verdoppelt sich der Verlust noch einmal (Abbildung 6). Wenn Güterpreise, Löhne und Kreditkonditionen gleichzeitig reguliert und aneinander gekoppelt werden, verliert die Wirtschaft die Ventile, über die sie sich an einen realen Produktivitätsverlust anpasst. Daraus folgt nicht, dass jeder Eingriff schadet – wohl aber, dass das Zusammenspiel mehrerer Eingriffe sorgfältig gestaltet werden muss.</w:t>
      </w:r>
    </w:p>
    <w:p>
      <w:pPr>
        <w:pStyle w:val="BodyText"/>
      </w:pPr>
      <w:r>
        <w:rPr>
          <w:bCs/>
          <w:b/>
        </w:rPr>
        <w:t xml:space="preserve">Drittens: Zinsobergrenzen verdrängen Kredit.</w:t>
      </w:r>
      <w:r>
        <w:t xml:space="preserve"> </w:t>
      </w:r>
      <w:r>
        <w:t xml:space="preserve">Mit der Zinsobergrenze von C werden 99 % der Kreditanträge abgelehnt (Tabelle 5); ohne sie wäre das Kreditvolumen gut viermal so hoch, und der Konsumverlust nach dem Schock fiele um gut ein Zehntel geringer aus (Abbildung 7). Allerdings steigt ohne Zinsobergrenze auch die Arbeitslosigkeit in ruhigen Zeiten, sodass der Befund nicht eindeutig ist. Zinsobergrenzen sind zwar nicht Teil von Webers Kernprogramm, sie illustrieren aber ein allgemeines Problem: Ein Preisdeckel unterhalb des Risikopreises schließt gerade jene Nachfrager aus, die den Markt am dringendsten brauchen.</w:t>
      </w:r>
    </w:p>
    <w:p>
      <w:pPr>
        <w:pStyle w:val="BodyText"/>
      </w:pPr>
      <w:r>
        <w:rPr>
          <w:bCs/>
          <w:b/>
        </w:rPr>
        <w:t xml:space="preserve">Viertens: Die ökonomische Ursachenanalyse ist umstritten.</w:t>
      </w:r>
      <w:r>
        <w:t xml:space="preserve"> </w:t>
      </w:r>
      <w:r>
        <w:t xml:space="preserve">Kritiker wenden ein, dass die Inflation nach 2021 vor allem auf überschießende Gesamtnachfrage durch expansive Geld- und Fiskalpolitik zurückging und nicht primär auf die Preissetzungsmacht von Unternehmen; Preisobergrenzen behandelten daher Symptome statt Ursachen, und die geldpolitische Straffung habe die Inflation ohne Massenarbeitslosigkeit gesenkt (Bourne 2026). Webers Verkäuferinflations-These (Weber und Wasner 2023) ist in der Fachdiskussion gewürdigt, aber nicht Konsens. Das Modell kann diese Frage nicht entscheiden, weil es Geldpolitik nicht enthält; es zeigt jedoch, dass in C eine Nachfrageüberhang-Inflation, die sich nicht in Preisen entladen darf, als Knappheit fortbesteht.</w:t>
      </w:r>
    </w:p>
    <w:p>
      <w:pPr>
        <w:pStyle w:val="BodyText"/>
      </w:pPr>
      <w:r>
        <w:rPr>
          <w:bCs/>
          <w:b/>
        </w:rPr>
        <w:t xml:space="preserve">Fünftens: Die historisch-politische Diagnose ist einseitig.</w:t>
      </w:r>
      <w:r>
        <w:t xml:space="preserve"> </w:t>
      </w:r>
      <w:r>
        <w:t xml:space="preserve">Die These, Inflation sei ein zentraler Wegbereiter des Faschismus, wird auch von Autoren kritisiert, die Webers wirtschaftspolitischer Richtung nahestehen. Diekmann und Strobl (2026) weisen darauf hin, dass die NSDAP nicht in der Hyperinflation von 1923, sondern in Deflation und Massenarbeitslosigkeit nach 1929 an die Macht gelangte; eine wirksame Strategie brauche daher eine konjunkturpolitische Komponente, die Vollbeschäftigung sichert. Die empirische Literatur stützt diese Gewichtung: Rechtsextreme Stimmenanteile steigen besonders nach Finanzkrisen (Funke et al. 2016), Austerität erhöhte die NSDAP-Stimmen in der Weimarer Republik (Galofré-Vilà et al. 2021), und Bankenzusammenbrüche trugen zur Radikalisierung bei (Doerr et al. 2022). Im Modell entspricht dem, dass die schlechtesten Ergebnisse dort auftreten, wo Arbeitslosigkeit hoch ist und Banken kollabieren – in A ohne Rechtsdurchsetzung –, während B mit Rechtsrahmen, Einlagensicherung und Arbeitslosenversicherung den Schock am besten abfedert. Von links wird zudem eingewandt, das Programm bleibe zu sehr in der bestehenden Wirtschaftsordnung und setze sich zu wenig mit Planungserfahrungen auseinander (Schindler 2026).</w:t>
      </w:r>
    </w:p>
    <w:p>
      <w:pPr>
        <w:pStyle w:val="BodyText"/>
      </w:pPr>
      <w:r>
        <w:rPr>
          <w:bCs/>
          <w:b/>
        </w:rPr>
        <w:t xml:space="preserve">Sechstens: Der Begriff selbst.</w:t>
      </w:r>
      <w:r>
        <w:t xml:space="preserve"> </w:t>
      </w:r>
      <w:r>
        <w:t xml:space="preserve">Die Bezeichnung „antifaschistisch“ verknüpft eine wirtschaftspolitische Programmatik mit einem moralisch eindeutigen Ziel. Ein naheliegender Einwand lautet, dass eine solche Rahmung abweichende wirtschaftspolitische Positionen moralisch auflädt und die sachliche Debatte über die Wirksamkeit einzelner Instrumente erschweren kann. Auch wohlwollende Kommentatoren merken an, der Begriff könne Wählergruppen abschrecken, die sich vor allem um ihre materielle Lage sorgen, und wirke eher defensiv als programmatisch (Diekmann und Strobl 2026).</w:t>
      </w:r>
    </w:p>
    <w:bookmarkEnd w:id="68"/>
    <w:bookmarkStart w:id="69" w:name="gegenargumente-und-grenzen-der-kritik"/>
    <w:p>
      <w:pPr>
        <w:pStyle w:val="Heading2"/>
      </w:pPr>
      <w:r>
        <w:rPr>
          <w:rStyle w:val="SectionNumber"/>
        </w:rPr>
        <w:t xml:space="preserve">6.5</w:t>
      </w:r>
      <w:r>
        <w:tab/>
      </w:r>
      <w:r>
        <w:t xml:space="preserve">Gegenargumente und Grenzen der Kritik</w:t>
      </w:r>
    </w:p>
    <w:p>
      <w:pPr>
        <w:pStyle w:val="FirstParagraph"/>
      </w:pPr>
      <w:r>
        <w:t xml:space="preserve">Für das Programm sprechen mehrere Einwände gegen diese Kritik. Weber plädiert nicht für dauerhafte, flächendeckende Höchstpreise, sondern für gezielte, befristete Eingriffe in wenigen systemrelevanten Märkten, kombiniert mit Kartellpolitik, Pufferlagern und öffentlichen Investitionen. Ein Ein-Gut-Modell mit dauerhaftem Deckel überzeichnet die Kosten solcher Eingriffe (Abschnitt 7); reale Instrumente wie die deutsche Gaspreisbremse 2023, die nur ein Grundkontingent verbilligte und den Marktpreis für zusätzlichen Verbrauch bestehen ließ, sind gerade so gestaltet, dass Knappheitssignale erhalten bleiben. Zudem enthält das Modell keinen politischen Kanal: Wenn Preisschocks tatsächlich Radikalisierung fördern, könnten Knappheitskosten ein vertretbarer Preis für politische Stabilität sein – eine Abwägung, die ein ökonomisches Modell nicht treffen kann. Schließlich zeigt auch die Simulation, dass C in wichtigen Verteilungs- und Stabilitätsdimensionen gut abschneidet.</w:t>
      </w:r>
    </w:p>
    <w:bookmarkEnd w:id="69"/>
    <w:bookmarkStart w:id="70" w:name="zwischenfazit"/>
    <w:p>
      <w:pPr>
        <w:pStyle w:val="Heading2"/>
      </w:pPr>
      <w:r>
        <w:rPr>
          <w:rStyle w:val="SectionNumber"/>
        </w:rPr>
        <w:t xml:space="preserve">6.6</w:t>
      </w:r>
      <w:r>
        <w:tab/>
      </w:r>
      <w:r>
        <w:t xml:space="preserve">Zwischenfazit</w:t>
      </w:r>
    </w:p>
    <w:p>
      <w:pPr>
        <w:pStyle w:val="FirstParagraph"/>
      </w:pPr>
      <w:r>
        <w:t xml:space="preserve">Im Rahmen der Simulation lässt sich die „Antifaschistische Wirtschaftspolitik“ differenziert einordnen. Ihre Ziele – stabile Lebenshaltungskosten, Begrenzung von Marktmacht, Schutz der Lohnabhängigen – sind mit messbaren Vorteilen bei Verteilung und Preisstabilität verbunden. Ihr preispolitisches Kerninstrument erzeugt im Modell jedoch die Kosten, die Kritiker erwarten: Breite Preisobergrenzen führen zu dauerhafter Knappheit, und im Zusammenspiel mit einem preisindexierten Mindestlohn und einer Zinsobergrenze kommen Kreditverdrängung und eine deutlich verzögerte Anpassung an Angebotsschocks hinzu. Die Ergebnisse sprechen damit weniger für oder gegen das Programm als Ganzes als für eine Unterscheidung zwischen seinen Bausteinen: Wettbewerbspolitik und soziale Absicherung schneiden im Modell gut ab, breite und dauerhafte Preis-, Lohn- und Zinsvorgaben schlecht. Ob gezielte, befristete Eingriffe die Vorteile ohne die Nachteile erreichen, kann dieses Modell nicht beantworten; dafür wäre ein Mehrsektorenmodell mit politischem Rückkopplungskanal nötig.</w:t>
      </w:r>
    </w:p>
    <w:bookmarkEnd w:id="70"/>
    <w:bookmarkEnd w:id="71"/>
    <w:bookmarkStart w:id="72" w:name="grenzen"/>
    <w:p>
      <w:pPr>
        <w:pStyle w:val="Heading1"/>
      </w:pPr>
      <w:r>
        <w:rPr>
          <w:rStyle w:val="SectionNumber"/>
        </w:rPr>
        <w:t xml:space="preserve">7</w:t>
      </w:r>
      <w:r>
        <w:tab/>
      </w:r>
      <w:r>
        <w:t xml:space="preserve">Grenzen</w:t>
      </w:r>
    </w:p>
    <w:p>
      <w:pPr>
        <w:pStyle w:val="FirstParagraph"/>
      </w:pPr>
      <w:r>
        <w:t xml:space="preserve">Die Ergebnisse folgen aus den Annahmen eines bewusst einfachen Modells und sind kein Beleg für oder gegen reale Wirtschaftssysteme. Fünf Einschränkungen sind besonders wichtig.</w:t>
      </w:r>
    </w:p>
    <w:p>
      <w:pPr>
        <w:pStyle w:val="BodyText"/>
      </w:pPr>
      <w:r>
        <w:rPr>
          <w:iCs/>
          <w:i/>
        </w:rPr>
        <w:t xml:space="preserve">Erstens</w:t>
      </w:r>
      <w:r>
        <w:t xml:space="preserve"> </w:t>
      </w:r>
      <w:r>
        <w:t xml:space="preserve">fehlen Kapital, Investitionen und Wachstum. Kredite finanzieren nur Betriebsmittel; dynamische Effizienzwirkungen – etwa geringere Investitionen bei Preisdeckeln oder höhere Innovationsanreize im Wettbewerb – können daher nicht auftreten. Gerade diese Kanäle stehen im Zentrum vieler Einwände gegen Preiskontrollen wie auch vieler Argumente für eine aktive Industriepolitik.</w:t>
      </w:r>
    </w:p>
    <w:p>
      <w:pPr>
        <w:pStyle w:val="BodyText"/>
      </w:pPr>
      <w:r>
        <w:rPr>
          <w:iCs/>
          <w:i/>
        </w:rPr>
        <w:t xml:space="preserve">Zweitens</w:t>
      </w:r>
      <w:r>
        <w:t xml:space="preserve"> </w:t>
      </w:r>
      <w:r>
        <w:t xml:space="preserve">gibt es nur ein homogenes Gut. Die „Antifaschistische Wirtschaftspolitik“ zielt auf einzelne Grundgüter (Energie, Mieten, Lebensmittel), deren Preisschocks sich durch die Wirtschaft fortpflanzen; ein Ein-Gut-Modell kann sektorale, gezielte Eingriffe nur als flächendeckende Eingriffe abbilden und überzeichnet deren Kosten tendenziell.</w:t>
      </w:r>
    </w:p>
    <w:p>
      <w:pPr>
        <w:pStyle w:val="BodyText"/>
      </w:pPr>
      <w:r>
        <w:rPr>
          <w:iCs/>
          <w:i/>
        </w:rPr>
        <w:t xml:space="preserve">Drittens</w:t>
      </w:r>
      <w:r>
        <w:t xml:space="preserve"> </w:t>
      </w:r>
      <w:r>
        <w:t xml:space="preserve">ist der Staat ein Regelautomat ohne politische Ökonomie: Es gibt weder Wahlen noch Lobbyismus, Schattenmärkte, Steuervermeidung oder Verwaltungsversagen. Insbesondere fehlt jeder Rückkopplungskanal von wirtschaftlicher Lage zu politischen Einstellungen. Die Kernthese der „Antifaschistischen Wirtschaftspolitik“ – dass Preisschocks politische Radikalisierung fördern – kann das Modell daher weder bestätigen noch widerlegen.</w:t>
      </w:r>
    </w:p>
    <w:p>
      <w:pPr>
        <w:pStyle w:val="BodyText"/>
      </w:pPr>
      <w:r>
        <w:rPr>
          <w:iCs/>
          <w:i/>
        </w:rPr>
        <w:t xml:space="preserve">Viertens</w:t>
      </w:r>
      <w:r>
        <w:t xml:space="preserve"> </w:t>
      </w:r>
      <w:r>
        <w:t xml:space="preserve">sind mehrere Mechanismen stilisiert und in ihrer Stärke durch Parameter gesetzt: Marktmacht, Betrug, Markteintritt und die Zinsformel der Bank. Die Sensitivitätsanalysen zeigen, welche Aussagen davon abhängen; die absolute Größe der Effekte sollte nicht interpretiert werden.</w:t>
      </w:r>
    </w:p>
    <w:p>
      <w:pPr>
        <w:pStyle w:val="BodyText"/>
      </w:pPr>
      <w:r>
        <w:rPr>
          <w:iCs/>
          <w:i/>
        </w:rPr>
        <w:t xml:space="preserve">Fünftens</w:t>
      </w:r>
      <w:r>
        <w:t xml:space="preserve"> </w:t>
      </w:r>
      <w:r>
        <w:t xml:space="preserve">ist das Modell nicht empirisch kalibriert. Arbeitslosigkeit, Kreditvolumen, Insolvenzhäufigkeit und Ungleichheit liegen teils deutlich neben realen Werten (etwa ist das Kreditvolumen mit 3–4 % der Jahresproduktion sehr klein, die Insolvenzhäufigkeit in B hoch). Eine Kalibrierung an Daten wäre der nächste Schritt.</w:t>
      </w:r>
    </w:p>
    <w:bookmarkEnd w:id="72"/>
    <w:bookmarkStart w:id="73" w:name="fazit"/>
    <w:p>
      <w:pPr>
        <w:pStyle w:val="Heading1"/>
      </w:pPr>
      <w:r>
        <w:rPr>
          <w:rStyle w:val="SectionNumber"/>
        </w:rPr>
        <w:t xml:space="preserve">8</w:t>
      </w:r>
      <w:r>
        <w:tab/>
      </w:r>
      <w:r>
        <w:t xml:space="preserve">Fazit</w:t>
      </w:r>
    </w:p>
    <w:p>
      <w:pPr>
        <w:pStyle w:val="FirstParagraph"/>
      </w:pPr>
      <w:r>
        <w:t xml:space="preserve">Die Arbeit hat drei Wirtschaftsordnungen in einem agentenbasierten Makromodell mit Arbeits-, Güter- und Kreditmarkt verglichen, in dem ausschließlich die Institutionen variieren. Gemeinsame Zufallszahlen, gepaarte Differenzen und Sensitivitätsanalysen erlauben dabei eine saubere Zurechnung der Unterschiede.</w:t>
      </w:r>
    </w:p>
    <w:p>
      <w:pPr>
        <w:pStyle w:val="BodyText"/>
      </w:pPr>
      <w:r>
        <w:t xml:space="preserve">Vier Ergebnisse lassen sich festhalten.</w:t>
      </w:r>
      <w:r>
        <w:t xml:space="preserve"> </w:t>
      </w:r>
      <w:r>
        <w:rPr>
          <w:iCs/>
          <w:i/>
        </w:rPr>
        <w:t xml:space="preserve">Erstens</w:t>
      </w:r>
      <w:r>
        <w:t xml:space="preserve"> </w:t>
      </w:r>
      <w:r>
        <w:t xml:space="preserve">ist die Durchsetzung von Verträgen die wirkungsvollste einzelne Institution: Ohne sie dominieren Betrug, Arbeitslosigkeit, Ungleichheit und Bankenkrisen, und ein Kreditmarkt verschärft die Instabilität noch.</w:t>
      </w:r>
      <w:r>
        <w:t xml:space="preserve"> </w:t>
      </w:r>
      <w:r>
        <w:rPr>
          <w:iCs/>
          <w:i/>
        </w:rPr>
        <w:t xml:space="preserve">Zweitens</w:t>
      </w:r>
      <w:r>
        <w:t xml:space="preserve"> </w:t>
      </w:r>
      <w:r>
        <w:t xml:space="preserve">hängt die Leistungsfähigkeit eines ansonsten staatsfreien Systems entscheidend von der Marktmacht ab; bei schwacher Marktmacht erreicht es die höchste Wohlfahrt, bei starker fällt es hinter die Regime mit Wettbewerbsaufsicht zurück.</w:t>
      </w:r>
      <w:r>
        <w:t xml:space="preserve"> </w:t>
      </w:r>
      <w:r>
        <w:rPr>
          <w:iCs/>
          <w:i/>
        </w:rPr>
        <w:t xml:space="preserve">Drittens</w:t>
      </w:r>
      <w:r>
        <w:t xml:space="preserve"> </w:t>
      </w:r>
      <w:r>
        <w:t xml:space="preserve">verteilt ein Regelrahmen aus Rechtsdurchsetzung, Wettbewerbs- und Bankenaufsicht und Arbeitslosenversicherung die Vermögen am gleichmäßigsten und absorbiert Angebotsschocks am besten, kostet aber Konsum durch den Ressourcenbedarf des Staates.</w:t>
      </w:r>
      <w:r>
        <w:t xml:space="preserve"> </w:t>
      </w:r>
      <w:r>
        <w:rPr>
          <w:iCs/>
          <w:i/>
        </w:rPr>
        <w:t xml:space="preserve">Viertens</w:t>
      </w:r>
      <w:r>
        <w:t xml:space="preserve"> </w:t>
      </w:r>
      <w:r>
        <w:t xml:space="preserve">schaffen direkte Eingriffe in Preise, Löhne und Zinsen niedrige Einkommensungleichheit und stabile Preise, führen aber zu dauerhafter Knappheit, verdrängen Kredit und – über den preisindexierten Mindestlohn – zu einer deutlich schlechteren Anpassung an Angebotsschocks.</w:t>
      </w:r>
    </w:p>
    <w:p>
      <w:pPr>
        <w:pStyle w:val="BodyText"/>
      </w:pPr>
      <w:r>
        <w:t xml:space="preserve">Für die „Antifaschistische Wirtschaftspolitik“ bedeutet dies eine differenzierte Einordnung. Ihre Ziele – bezahlbare Grundversorgung, Begrenzung von Marktmacht, Schutz der Lohnabhängigen – sind im Modell mit messbaren Verteilungs- und Stabilitätsvorteilen verbunden, und ihre wettbewerbspolitische Komponente wird durch die Simulation gestützt. Breite, dauerhafte Preisobergrenzen erzeugen jedoch die Knappheitskosten, die ihre Kritiker erwarten, und die Kopplung mehrerer regulierter Preise kann gerade jene Angebotsschocks verschärfen, gegen die das Programm schützen soll. Die empirische Literatur legt zudem nahe, dass für politische Radikalisierung Finanzkrisen, Austerität und Arbeitslosigkeit mindestens so bedeutsam sind wie Inflation. Ob gezielte, befristete Eingriffe in einzelne Grundgütermärkte die Vorteile ohne die Nachteile erreichen, lässt sich mit diesem Modell nicht entscheiden.</w:t>
      </w:r>
    </w:p>
    <w:p>
      <w:pPr>
        <w:pStyle w:val="BodyText"/>
      </w:pPr>
      <w:r>
        <w:t xml:space="preserve">Daraus ergeben sich drei Erweiterungen für künftige Arbeiten: ein Mehrsektorenmodell, in dem Eingriffe gezielt auf einzelne Grundgüter wirken; Investitionen und Wachstum, um dynamische Effizienzwirkungen zu erfassen; und ein politischer Rückkopplungskanal, über den wirtschaftliche Lage, Wahlverhalten und Wirtschaftspolitik wechselseitig verbunden sind. Erst ein solches Modell könnte die Kernthese der „Antifaschistischen Wirtschaftspolitik“ selbst prüfen.</w:t>
      </w:r>
    </w:p>
    <w:bookmarkEnd w:id="73"/>
    <w:bookmarkStart w:id="74" w:name="literatur"/>
    <w:p>
      <w:pPr>
        <w:pStyle w:val="Heading1"/>
      </w:pPr>
      <w:r>
        <w:t xml:space="preserve">Literatur</w:t>
      </w:r>
    </w:p>
    <w:p>
      <w:pPr>
        <w:pStyle w:val="Bibliography"/>
      </w:pPr>
      <w:r>
        <w:t xml:space="preserve">Bourne, R. (2026):</w:t>
      </w:r>
      <w:r>
        <w:t xml:space="preserve"> </w:t>
      </w:r>
      <w:r>
        <w:t xml:space="preserve">‘</w:t>
      </w:r>
      <w:r>
        <w:t xml:space="preserve">Anti-Fascist Economics</w:t>
      </w:r>
      <w:r>
        <w:t xml:space="preserve">’</w:t>
      </w:r>
      <w:r>
        <w:t xml:space="preserve"> </w:t>
      </w:r>
      <w:r>
        <w:t xml:space="preserve">ignores the trouble Trump’s in. Cato Institute, Kommentar vom 19.10.2026 (zuerst in: The Washington Post).</w:t>
      </w:r>
    </w:p>
    <w:p>
      <w:pPr>
        <w:pStyle w:val="Bibliography"/>
      </w:pPr>
      <w:r>
        <w:t xml:space="preserve">Delli Gatti, D., Desiderio, S., Gaffeo, E., Cirillo, P., Gallegati, M. (2011):</w:t>
      </w:r>
      <w:r>
        <w:t xml:space="preserve"> </w:t>
      </w:r>
      <w:r>
        <w:rPr>
          <w:iCs/>
          <w:i/>
        </w:rPr>
        <w:t xml:space="preserve">Macroeconomics from the Bottom-up</w:t>
      </w:r>
      <w:r>
        <w:t xml:space="preserve">. Mailand: Springer.</w:t>
      </w:r>
    </w:p>
    <w:p>
      <w:pPr>
        <w:pStyle w:val="Bibliography"/>
      </w:pPr>
      <w:r>
        <w:t xml:space="preserve">Diekmann, K., Strobl, J. (2026): Kritik der „Antifaschistischen Wirtschaftspolitik“.</w:t>
      </w:r>
      <w:r>
        <w:t xml:space="preserve"> </w:t>
      </w:r>
      <w:r>
        <w:rPr>
          <w:iCs/>
          <w:i/>
        </w:rPr>
        <w:t xml:space="preserve">Makroskop</w:t>
      </w:r>
      <w:r>
        <w:t xml:space="preserve">, 10.06.2026.</w:t>
      </w:r>
    </w:p>
    <w:p>
      <w:pPr>
        <w:pStyle w:val="Bibliography"/>
      </w:pPr>
      <w:r>
        <w:t xml:space="preserve">Doerr, S., Gissler, S., Peydró, J.-L., Voth, H.-J. (2022): Financial crises and political radicalization: How failing banks paved Hitler’s path to power.</w:t>
      </w:r>
      <w:r>
        <w:t xml:space="preserve"> </w:t>
      </w:r>
      <w:r>
        <w:rPr>
          <w:iCs/>
          <w:i/>
        </w:rPr>
        <w:t xml:space="preserve">Journal of Finance</w:t>
      </w:r>
      <w:r>
        <w:t xml:space="preserve"> </w:t>
      </w:r>
      <w:r>
        <w:t xml:space="preserve">77(6), 3339–3372.</w:t>
      </w:r>
    </w:p>
    <w:p>
      <w:pPr>
        <w:pStyle w:val="Bibliography"/>
      </w:pPr>
      <w:r>
        <w:t xml:space="preserve">Dosi, G., Fagiolo, G., Roventini, A. (2010): Schumpeter meeting Keynes: A policy-friendly model of endogenous growth and business cycles.</w:t>
      </w:r>
      <w:r>
        <w:t xml:space="preserve"> </w:t>
      </w:r>
      <w:r>
        <w:rPr>
          <w:iCs/>
          <w:i/>
        </w:rPr>
        <w:t xml:space="preserve">Journal of Economic Dynamics and Control</w:t>
      </w:r>
      <w:r>
        <w:t xml:space="preserve"> </w:t>
      </w:r>
      <w:r>
        <w:t xml:space="preserve">34(9), 1748–1767.</w:t>
      </w:r>
    </w:p>
    <w:p>
      <w:pPr>
        <w:pStyle w:val="Bibliography"/>
      </w:pPr>
      <w:r>
        <w:t xml:space="preserve">Friedrich-Ebert-Stiftung (2026): Isabella M. Weber: Antifaschistische Wirtschaftspolitik. Veranstaltung in der Urania Berlin, 05.10.2026.</w:t>
      </w:r>
    </w:p>
    <w:p>
      <w:pPr>
        <w:pStyle w:val="Bibliography"/>
      </w:pPr>
      <w:r>
        <w:t xml:space="preserve">Funke, M., Schularick, M., Trebesch, C. (2016): Going to extremes: Politics after financial crises, 1870–2014.</w:t>
      </w:r>
      <w:r>
        <w:t xml:space="preserve"> </w:t>
      </w:r>
      <w:r>
        <w:rPr>
          <w:iCs/>
          <w:i/>
        </w:rPr>
        <w:t xml:space="preserve">European Economic Review</w:t>
      </w:r>
      <w:r>
        <w:t xml:space="preserve"> </w:t>
      </w:r>
      <w:r>
        <w:t xml:space="preserve">88, 227–260.</w:t>
      </w:r>
    </w:p>
    <w:p>
      <w:pPr>
        <w:pStyle w:val="Bibliography"/>
      </w:pPr>
      <w:r>
        <w:t xml:space="preserve">Galofré-Vilà, G., Meissner, C. M., McKee, M., Stuckler, D. (2021): Austerity and the rise of the Nazi party.</w:t>
      </w:r>
      <w:r>
        <w:t xml:space="preserve"> </w:t>
      </w:r>
      <w:r>
        <w:rPr>
          <w:iCs/>
          <w:i/>
        </w:rPr>
        <w:t xml:space="preserve">Journal of Economic History</w:t>
      </w:r>
      <w:r>
        <w:t xml:space="preserve"> </w:t>
      </w:r>
      <w:r>
        <w:t xml:space="preserve">81(1), 81–113.</w:t>
      </w:r>
    </w:p>
    <w:p>
      <w:pPr>
        <w:pStyle w:val="Bibliography"/>
      </w:pPr>
      <w:r>
        <w:t xml:space="preserve">Grimm, V., Railsback, S. F., Vincenot, C. E., et al. (2020): The ODD protocol for describing agent-based and other simulation models: A second update to improve clarity, replication, and structural realism.</w:t>
      </w:r>
      <w:r>
        <w:t xml:space="preserve"> </w:t>
      </w:r>
      <w:r>
        <w:rPr>
          <w:iCs/>
          <w:i/>
        </w:rPr>
        <w:t xml:space="preserve">Journal of Artificial Societies and Social Simulation</w:t>
      </w:r>
      <w:r>
        <w:t xml:space="preserve"> </w:t>
      </w:r>
      <w:r>
        <w:t xml:space="preserve">23(2), 7.</w:t>
      </w:r>
    </w:p>
    <w:p>
      <w:pPr>
        <w:pStyle w:val="Bibliography"/>
      </w:pPr>
      <w:r>
        <w:t xml:space="preserve">IGM Forum (2022): Price controls. Umfrage unter dem US Economic Experts Panel, Kent A. Clark Center, Chicago Booth, 25.02.2022; ausgewertet in: Inflation, market power, and price controls: Views of leading economists,</w:t>
      </w:r>
      <w:r>
        <w:t xml:space="preserve"> </w:t>
      </w:r>
      <w:r>
        <w:rPr>
          <w:iCs/>
          <w:i/>
        </w:rPr>
        <w:t xml:space="preserve">VoxEU/CEPR</w:t>
      </w:r>
      <w:r>
        <w:t xml:space="preserve">.</w:t>
      </w:r>
    </w:p>
    <w:p>
      <w:pPr>
        <w:pStyle w:val="Bibliography"/>
      </w:pPr>
      <w:r>
        <w:t xml:space="preserve">Schindler, A. (2026): Isabella Weber: Ist „Antifaschistische Wirtschaftspolitik“ kapitalismuskritisch?</w:t>
      </w:r>
      <w:r>
        <w:t xml:space="preserve"> </w:t>
      </w:r>
      <w:r>
        <w:rPr>
          <w:iCs/>
          <w:i/>
        </w:rPr>
        <w:t xml:space="preserve">der Freitag</w:t>
      </w:r>
      <w:r>
        <w:t xml:space="preserve">, 12.10.2026.</w:t>
      </w:r>
    </w:p>
    <w:p>
      <w:pPr>
        <w:pStyle w:val="Bibliography"/>
      </w:pPr>
      <w:r>
        <w:t xml:space="preserve">Scholz, N. (2024): Isabella Weber: Fünf antifaschistische Wirtschaftsideen gegen den Rechtsruck (Interview).</w:t>
      </w:r>
      <w:r>
        <w:t xml:space="preserve"> </w:t>
      </w:r>
      <w:r>
        <w:rPr>
          <w:iCs/>
          <w:i/>
        </w:rPr>
        <w:t xml:space="preserve">der Freitag</w:t>
      </w:r>
      <w:r>
        <w:t xml:space="preserve">, 16.12.2024.</w:t>
      </w:r>
    </w:p>
    <w:p>
      <w:pPr>
        <w:pStyle w:val="Bibliography"/>
      </w:pPr>
      <w:r>
        <w:t xml:space="preserve">Weber, I. M. (2024): So geht antifaschistische Wirtschaftspolitik (Interview).</w:t>
      </w:r>
      <w:r>
        <w:t xml:space="preserve"> </w:t>
      </w:r>
      <w:r>
        <w:rPr>
          <w:iCs/>
          <w:i/>
        </w:rPr>
        <w:t xml:space="preserve">Jacobin</w:t>
      </w:r>
      <w:r>
        <w:t xml:space="preserve">, 18.11.2024.</w:t>
      </w:r>
    </w:p>
    <w:p>
      <w:pPr>
        <w:pStyle w:val="Bibliography"/>
      </w:pPr>
      <w:r>
        <w:t xml:space="preserve">Weber, I. M. (2026):</w:t>
      </w:r>
      <w:r>
        <w:t xml:space="preserve"> </w:t>
      </w:r>
      <w:r>
        <w:rPr>
          <w:iCs/>
          <w:i/>
        </w:rPr>
        <w:t xml:space="preserve">Antifaschistische Wirtschaftspolitik</w:t>
      </w:r>
      <w:r>
        <w:t xml:space="preserve">. Berlin: Suhrkamp. Englische Ausgabe:</w:t>
      </w:r>
      <w:r>
        <w:t xml:space="preserve"> </w:t>
      </w:r>
      <w:r>
        <w:rPr>
          <w:iCs/>
          <w:i/>
        </w:rPr>
        <w:t xml:space="preserve">Anti-Fascist Economics: In Defense of Affordability, Dignity, and Democracy</w:t>
      </w:r>
      <w:r>
        <w:t xml:space="preserve">. New York: Penguin Random House.</w:t>
      </w:r>
    </w:p>
    <w:p>
      <w:pPr>
        <w:pStyle w:val="Bibliography"/>
      </w:pPr>
      <w:r>
        <w:t xml:space="preserve">Weber, I. M., Wasner, E. (2023): Sellers’ inflation, profits and conflict: Why can large firms hike prices in an emergency?</w:t>
      </w:r>
      <w:r>
        <w:t xml:space="preserve"> </w:t>
      </w:r>
      <w:r>
        <w:rPr>
          <w:iCs/>
          <w:i/>
        </w:rPr>
        <w:t xml:space="preserve">Review of Keynesian Economics</w:t>
      </w:r>
      <w:r>
        <w:t xml:space="preserve"> </w:t>
      </w:r>
      <w:r>
        <w:t xml:space="preserve">11(2), 183–213.</w:t>
      </w:r>
    </w:p>
    <w:bookmarkEnd w:id="74"/>
    <w:bookmarkStart w:id="84" w:name="anhang"/>
    <w:p>
      <w:pPr>
        <w:pStyle w:val="Heading1"/>
      </w:pPr>
      <w:r>
        <w:t xml:space="preserve">Anhang</w:t>
      </w:r>
    </w:p>
    <w:bookmarkStart w:id="81" w:name="weitere-ergebnisse"/>
    <w:p>
      <w:pPr>
        <w:pStyle w:val="Heading2"/>
      </w:pPr>
      <w:r>
        <w:t xml:space="preserve">Weitere Ergebnisse</w:t>
      </w:r>
    </w:p>
    <w:p>
      <w:pPr>
        <w:pStyle w:val="TableCaption"/>
      </w:pPr>
      <w:r>
        <w:t xml:space="preserve">Tabelle A1: Alle Kennzahlen des Hauptexperiments (Mittelwert und 95-%-Konfidenzintervall).</w:t>
      </w:r>
    </w:p>
    <w:tbl>
      <w:tblPr>
        <w:tblStyle w:val="Table"/>
        <w:tblW w:type="pct" w:w="5000"/>
        <w:jc w:val="center"/>
        <w:tblLook w:firstRow="1" w:lastRow="0" w:firstColumn="0" w:lastColumn="0" w:noHBand="0" w:noVBand="0" w:val="0020"/>
        <w:tblCaption w:val="Tabelle A1: Alle Kennzahlen des Hauptexperiments (Mittelwert und 95-%-Konfidenzintervall)."/>
      </w:tblPr>
      <w:tblGrid>
        <w:gridCol w:w="2747"/>
        <w:gridCol w:w="646"/>
        <w:gridCol w:w="1131"/>
        <w:gridCol w:w="1131"/>
        <w:gridCol w:w="1131"/>
        <w:gridCol w:w="1131"/>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Kennzahl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Ziel</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(ohne Recht)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A frei (Eigentum)</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B Regelrahmen</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C Eingriffe</w:t>
            </w:r>
          </w:p>
        </w:tc>
      </w:tr>
      <w:tr>
        <w:tc>
          <w:tcPr/>
          <w:p>
            <w:pPr>
              <w:pStyle w:val="Compact"/>
              <w:spacing w:after="20" w:before="20"/>
              <w:jc w:val="left"/>
            </w:pPr>
            <w:r>
              <w:rPr>
                <w:sz w:val="18"/>
              </w:rPr>
              <w:t xml:space="preserve">Konsum pro Kopf</w:t>
            </w:r>
          </w:p>
        </w:tc>
        <w:tc>
          <w:tcPr/>
          <w:p>
            <w:pPr>
              <w:pStyle w:val="Compact"/>
              <w:spacing w:after="20" w:before="20"/>
              <w:jc w:val="center"/>
            </w:pPr>
            <w:r>
              <w:rPr>
                <w:sz w:val="18"/>
              </w:rPr>
              <w:t xml:space="preserve">hoch</w:t>
            </w:r>
          </w:p>
        </w:tc>
        <w:tc>
          <w:tcPr/>
          <w:p>
            <w:pPr>
              <w:pStyle w:val="Compact"/>
              <w:spacing w:after="20" w:before="20"/>
              <w:jc w:val="center"/>
            </w:pPr>
            <w:r>
              <w:rPr>
                <w:sz w:val="18"/>
              </w:rPr>
              <w:t xml:space="preserve">0,881 (±0,015)</w:t>
            </w:r>
          </w:p>
        </w:tc>
        <w:tc>
          <w:tcPr/>
          <w:p>
            <w:pPr>
              <w:pStyle w:val="Compact"/>
              <w:spacing w:after="20" w:before="20"/>
              <w:jc w:val="center"/>
            </w:pPr>
            <w:r>
              <w:rPr>
                <w:sz w:val="18"/>
              </w:rPr>
              <w:t xml:space="preserve">0,906 (±0,001)</w:t>
            </w:r>
          </w:p>
        </w:tc>
        <w:tc>
          <w:tcPr/>
          <w:p>
            <w:pPr>
              <w:pStyle w:val="Compact"/>
              <w:spacing w:after="20" w:before="20"/>
              <w:jc w:val="center"/>
            </w:pPr>
            <w:r>
              <w:rPr>
                <w:sz w:val="18"/>
              </w:rPr>
              <w:t xml:space="preserve">0,862 (±0,001)</w:t>
            </w:r>
          </w:p>
        </w:tc>
        <w:tc>
          <w:tcPr/>
          <w:p>
            <w:pPr>
              <w:pStyle w:val="Compact"/>
              <w:spacing w:after="20" w:before="20"/>
              <w:jc w:val="center"/>
            </w:pPr>
            <w:r>
              <w:rPr>
                <w:sz w:val="18"/>
              </w:rPr>
              <w:t xml:space="preserve">0,893 (±0,001)</w:t>
            </w:r>
          </w:p>
        </w:tc>
      </w:tr>
      <w:tr>
        <w:tc>
          <w:tcPr>
            <w:shd w:val="clear" w:color="auto" w:fill="F7F8FA"/>
          </w:tcPr>
          <w:p>
            <w:pPr>
              <w:pStyle w:val="Compact"/>
              <w:spacing w:after="20" w:before="20"/>
              <w:jc w:val="left"/>
            </w:pPr>
            <w:r>
              <w:rPr>
                <w:sz w:val="18"/>
              </w:rPr>
              <w:t xml:space="preserve">Wohlfahrt (Ø log-Nutzen)</w:t>
            </w:r>
          </w:p>
        </w:tc>
        <w:tc>
          <w:tcPr>
            <w:shd w:val="clear" w:color="auto" w:fill="F7F8FA"/>
          </w:tcPr>
          <w:p>
            <w:pPr>
              <w:pStyle w:val="Compact"/>
              <w:spacing w:after="20" w:before="20"/>
              <w:jc w:val="center"/>
            </w:pPr>
            <w:r>
              <w:rPr>
                <w:sz w:val="18"/>
              </w:rPr>
              <w:t xml:space="preserve">hoch</w:t>
            </w:r>
          </w:p>
        </w:tc>
        <w:tc>
          <w:tcPr>
            <w:shd w:val="clear" w:color="auto" w:fill="F7F8FA"/>
          </w:tcPr>
          <w:p>
            <w:pPr>
              <w:pStyle w:val="Compact"/>
              <w:spacing w:after="20" w:before="20"/>
              <w:jc w:val="center"/>
            </w:pPr>
            <w:r>
              <w:rPr>
                <w:sz w:val="18"/>
              </w:rPr>
              <w:t xml:space="preserve">0,575 (±0,011)</w:t>
            </w:r>
          </w:p>
        </w:tc>
        <w:tc>
          <w:tcPr>
            <w:shd w:val="clear" w:color="auto" w:fill="F7F8FA"/>
          </w:tcPr>
          <w:p>
            <w:pPr>
              <w:pStyle w:val="Compact"/>
              <w:spacing w:after="20" w:before="20"/>
              <w:jc w:val="center"/>
            </w:pPr>
            <w:r>
              <w:rPr>
                <w:sz w:val="18"/>
              </w:rPr>
              <w:t xml:space="preserve">0,624 (±0,001)</w:t>
            </w:r>
          </w:p>
        </w:tc>
        <w:tc>
          <w:tcPr>
            <w:shd w:val="clear" w:color="auto" w:fill="F7F8FA"/>
          </w:tcPr>
          <w:p>
            <w:pPr>
              <w:pStyle w:val="Compact"/>
              <w:spacing w:after="20" w:before="20"/>
              <w:jc w:val="center"/>
            </w:pPr>
            <w:r>
              <w:rPr>
                <w:sz w:val="18"/>
              </w:rPr>
              <w:t xml:space="preserve">0,608 (±0,000)</w:t>
            </w:r>
          </w:p>
        </w:tc>
        <w:tc>
          <w:tcPr>
            <w:shd w:val="clear" w:color="auto" w:fill="F7F8FA"/>
          </w:tcPr>
          <w:p>
            <w:pPr>
              <w:pStyle w:val="Compact"/>
              <w:spacing w:after="20" w:before="20"/>
              <w:jc w:val="center"/>
            </w:pPr>
            <w:r>
              <w:rPr>
                <w:sz w:val="18"/>
              </w:rPr>
              <w:t xml:space="preserve">0,615 (±0,001)</w:t>
            </w:r>
          </w:p>
        </w:tc>
      </w:tr>
      <w:tr>
        <w:tc>
          <w:tcPr/>
          <w:p>
            <w:pPr>
              <w:pStyle w:val="Compact"/>
              <w:spacing w:after="20" w:before="20"/>
              <w:jc w:val="left"/>
            </w:pPr>
            <w:r>
              <w:rPr>
                <w:sz w:val="18"/>
              </w:rPr>
              <w:t xml:space="preserve">Arbeitslosenquote</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13,8 % (±1,9 %)</w:t>
            </w:r>
          </w:p>
        </w:tc>
        <w:tc>
          <w:tcPr/>
          <w:p>
            <w:pPr>
              <w:pStyle w:val="Compact"/>
              <w:spacing w:after="20" w:before="20"/>
              <w:jc w:val="center"/>
            </w:pPr>
            <w:r>
              <w:rPr>
                <w:sz w:val="18"/>
              </w:rPr>
              <w:t xml:space="preserve">4,0 % (±0,2 %)</w:t>
            </w:r>
          </w:p>
        </w:tc>
        <w:tc>
          <w:tcPr/>
          <w:p>
            <w:pPr>
              <w:pStyle w:val="Compact"/>
              <w:spacing w:after="20" w:before="20"/>
              <w:jc w:val="center"/>
            </w:pPr>
            <w:r>
              <w:rPr>
                <w:sz w:val="18"/>
              </w:rPr>
              <w:t xml:space="preserve">3,8 % (±0,1 %)</w:t>
            </w:r>
          </w:p>
        </w:tc>
        <w:tc>
          <w:tcPr/>
          <w:p>
            <w:pPr>
              <w:pStyle w:val="Compact"/>
              <w:spacing w:after="20" w:before="20"/>
              <w:jc w:val="center"/>
            </w:pPr>
            <w:r>
              <w:rPr>
                <w:sz w:val="18"/>
              </w:rPr>
              <w:t xml:space="preserve">2,4 % (±0,1 %)</w:t>
            </w:r>
          </w:p>
        </w:tc>
      </w:tr>
      <w:tr>
        <w:tc>
          <w:tcPr>
            <w:shd w:val="clear" w:color="auto" w:fill="F7F8FA"/>
          </w:tcPr>
          <w:p>
            <w:pPr>
              <w:pStyle w:val="Compact"/>
              <w:spacing w:after="20" w:before="20"/>
              <w:jc w:val="left"/>
            </w:pPr>
            <w:r>
              <w:rPr>
                <w:sz w:val="18"/>
              </w:rPr>
              <w:t xml:space="preserve">Unbefriedigte Nachfrage</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6,3 % (±0,7 %)</w:t>
            </w:r>
          </w:p>
        </w:tc>
        <w:tc>
          <w:tcPr>
            <w:shd w:val="clear" w:color="auto" w:fill="F7F8FA"/>
          </w:tcPr>
          <w:p>
            <w:pPr>
              <w:pStyle w:val="Compact"/>
              <w:spacing w:after="20" w:before="20"/>
              <w:jc w:val="center"/>
            </w:pPr>
            <w:r>
              <w:rPr>
                <w:sz w:val="18"/>
              </w:rPr>
              <w:t xml:space="preserve">3,2 % (±0,1 %)</w:t>
            </w:r>
          </w:p>
        </w:tc>
        <w:tc>
          <w:tcPr>
            <w:shd w:val="clear" w:color="auto" w:fill="F7F8FA"/>
          </w:tcPr>
          <w:p>
            <w:pPr>
              <w:pStyle w:val="Compact"/>
              <w:spacing w:after="20" w:before="20"/>
              <w:jc w:val="center"/>
            </w:pPr>
            <w:r>
              <w:rPr>
                <w:sz w:val="18"/>
              </w:rPr>
              <w:t xml:space="preserve">3,3 % (±0,1 %)</w:t>
            </w:r>
          </w:p>
        </w:tc>
        <w:tc>
          <w:tcPr>
            <w:shd w:val="clear" w:color="auto" w:fill="F7F8FA"/>
          </w:tcPr>
          <w:p>
            <w:pPr>
              <w:pStyle w:val="Compact"/>
              <w:spacing w:after="20" w:before="20"/>
              <w:jc w:val="center"/>
            </w:pPr>
            <w:r>
              <w:rPr>
                <w:sz w:val="18"/>
              </w:rPr>
              <w:t xml:space="preserve">12,3 % (±0,2 %)</w:t>
            </w:r>
          </w:p>
        </w:tc>
      </w:tr>
      <w:tr>
        <w:tc>
          <w:tcPr/>
          <w:p>
            <w:pPr>
              <w:pStyle w:val="Compact"/>
              <w:spacing w:after="20" w:before="20"/>
              <w:jc w:val="left"/>
            </w:pPr>
            <w:r>
              <w:rPr>
                <w:sz w:val="18"/>
              </w:rPr>
              <w:t xml:space="preserve">Gini Vermögen</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0,416 (±0,015)</w:t>
            </w:r>
          </w:p>
        </w:tc>
        <w:tc>
          <w:tcPr/>
          <w:p>
            <w:pPr>
              <w:pStyle w:val="Compact"/>
              <w:spacing w:after="20" w:before="20"/>
              <w:jc w:val="center"/>
            </w:pPr>
            <w:r>
              <w:rPr>
                <w:sz w:val="18"/>
              </w:rPr>
              <w:t xml:space="preserve">0,281 (±0,007)</w:t>
            </w:r>
          </w:p>
        </w:tc>
        <w:tc>
          <w:tcPr/>
          <w:p>
            <w:pPr>
              <w:pStyle w:val="Compact"/>
              <w:spacing w:after="20" w:before="20"/>
              <w:jc w:val="center"/>
            </w:pPr>
            <w:r>
              <w:rPr>
                <w:sz w:val="18"/>
              </w:rPr>
              <w:t xml:space="preserve">0,247 (±0,006)</w:t>
            </w:r>
          </w:p>
        </w:tc>
        <w:tc>
          <w:tcPr/>
          <w:p>
            <w:pPr>
              <w:pStyle w:val="Compact"/>
              <w:spacing w:after="20" w:before="20"/>
              <w:jc w:val="center"/>
            </w:pPr>
            <w:r>
              <w:rPr>
                <w:sz w:val="18"/>
              </w:rPr>
              <w:t xml:space="preserve">0,280 (±0,001)</w:t>
            </w:r>
          </w:p>
        </w:tc>
      </w:tr>
      <w:tr>
        <w:tc>
          <w:tcPr>
            <w:shd w:val="clear" w:color="auto" w:fill="F7F8FA"/>
          </w:tcPr>
          <w:p>
            <w:pPr>
              <w:pStyle w:val="Compact"/>
              <w:spacing w:after="20" w:before="20"/>
              <w:jc w:val="left"/>
            </w:pPr>
            <w:r>
              <w:rPr>
                <w:sz w:val="18"/>
              </w:rPr>
              <w:t xml:space="preserve">Gini Einkommen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0,218 (±0,018)</w:t>
            </w:r>
          </w:p>
        </w:tc>
        <w:tc>
          <w:tcPr>
            <w:shd w:val="clear" w:color="auto" w:fill="F7F8FA"/>
          </w:tcPr>
          <w:p>
            <w:pPr>
              <w:pStyle w:val="Compact"/>
              <w:spacing w:after="20" w:before="20"/>
              <w:jc w:val="center"/>
            </w:pPr>
            <w:r>
              <w:rPr>
                <w:sz w:val="18"/>
              </w:rPr>
              <w:t xml:space="preserve">0,099 (±0,002)</w:t>
            </w:r>
          </w:p>
        </w:tc>
        <w:tc>
          <w:tcPr>
            <w:shd w:val="clear" w:color="auto" w:fill="F7F8FA"/>
          </w:tcPr>
          <w:p>
            <w:pPr>
              <w:pStyle w:val="Compact"/>
              <w:spacing w:after="20" w:before="20"/>
              <w:jc w:val="center"/>
            </w:pPr>
            <w:r>
              <w:rPr>
                <w:sz w:val="18"/>
              </w:rPr>
              <w:t xml:space="preserve">0,069 (±0,001)</w:t>
            </w:r>
          </w:p>
        </w:tc>
        <w:tc>
          <w:tcPr>
            <w:shd w:val="clear" w:color="auto" w:fill="F7F8FA"/>
          </w:tcPr>
          <w:p>
            <w:pPr>
              <w:pStyle w:val="Compact"/>
              <w:spacing w:after="20" w:before="20"/>
              <w:jc w:val="center"/>
            </w:pPr>
            <w:r>
              <w:rPr>
                <w:sz w:val="18"/>
              </w:rPr>
              <w:t xml:space="preserve">0,036 (±0,001)</w:t>
            </w:r>
          </w:p>
        </w:tc>
      </w:tr>
      <w:tr>
        <w:tc>
          <w:tcPr/>
          <w:p>
            <w:pPr>
              <w:pStyle w:val="Compact"/>
              <w:spacing w:after="20" w:before="20"/>
              <w:jc w:val="left"/>
            </w:pPr>
            <w:r>
              <w:rPr>
                <w:sz w:val="18"/>
              </w:rPr>
              <w:t xml:space="preserve">Marktkonzentration (HHI)</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0,075 (±0,001)</w:t>
            </w:r>
          </w:p>
        </w:tc>
        <w:tc>
          <w:tcPr/>
          <w:p>
            <w:pPr>
              <w:pStyle w:val="Compact"/>
              <w:spacing w:after="20" w:before="20"/>
              <w:jc w:val="center"/>
            </w:pPr>
            <w:r>
              <w:rPr>
                <w:sz w:val="18"/>
              </w:rPr>
              <w:t xml:space="preserve">0,068 (±0,001)</w:t>
            </w:r>
          </w:p>
        </w:tc>
        <w:tc>
          <w:tcPr/>
          <w:p>
            <w:pPr>
              <w:pStyle w:val="Compact"/>
              <w:spacing w:after="20" w:before="20"/>
              <w:jc w:val="center"/>
            </w:pPr>
            <w:r>
              <w:rPr>
                <w:sz w:val="18"/>
              </w:rPr>
              <w:t xml:space="preserve">0,065 (±0,002)</w:t>
            </w:r>
          </w:p>
        </w:tc>
        <w:tc>
          <w:tcPr/>
          <w:p>
            <w:pPr>
              <w:pStyle w:val="Compact"/>
              <w:spacing w:after="20" w:before="20"/>
              <w:jc w:val="center"/>
            </w:pPr>
            <w:r>
              <w:rPr>
                <w:sz w:val="18"/>
              </w:rPr>
              <w:t xml:space="preserve">0,043 (±0,000)</w:t>
            </w:r>
          </w:p>
        </w:tc>
      </w:tr>
      <w:tr>
        <w:tc>
          <w:tcPr>
            <w:shd w:val="clear" w:color="auto" w:fill="F7F8FA"/>
          </w:tcPr>
          <w:p>
            <w:pPr>
              <w:pStyle w:val="Compact"/>
              <w:spacing w:after="20" w:before="20"/>
              <w:jc w:val="left"/>
            </w:pPr>
            <w:r>
              <w:rPr>
                <w:sz w:val="18"/>
              </w:rPr>
              <w:t xml:space="preserve">Betrugsverluste (Anteil)</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5,1 % (±0,5 %)</w:t>
            </w:r>
          </w:p>
        </w:tc>
        <w:tc>
          <w:tcPr>
            <w:shd w:val="clear" w:color="auto" w:fill="F7F8FA"/>
          </w:tcPr>
          <w:p>
            <w:pPr>
              <w:pStyle w:val="Compact"/>
              <w:spacing w:after="20" w:before="20"/>
              <w:jc w:val="center"/>
            </w:pPr>
            <w:r>
              <w:rPr>
                <w:sz w:val="18"/>
              </w:rPr>
              <w:t xml:space="preserve">0,6 % (±0,0 %)</w:t>
            </w:r>
          </w:p>
        </w:tc>
        <w:tc>
          <w:tcPr>
            <w:shd w:val="clear" w:color="auto" w:fill="F7F8FA"/>
          </w:tcPr>
          <w:p>
            <w:pPr>
              <w:pStyle w:val="Compact"/>
              <w:spacing w:after="20" w:before="20"/>
              <w:jc w:val="center"/>
            </w:pPr>
            <w:r>
              <w:rPr>
                <w:sz w:val="18"/>
              </w:rPr>
              <w:t xml:space="preserve">0,6 % (±0,0 %)</w:t>
            </w:r>
          </w:p>
        </w:tc>
        <w:tc>
          <w:tcPr>
            <w:shd w:val="clear" w:color="auto" w:fill="F7F8FA"/>
          </w:tcPr>
          <w:p>
            <w:pPr>
              <w:pStyle w:val="Compact"/>
              <w:spacing w:after="20" w:before="20"/>
              <w:jc w:val="center"/>
            </w:pPr>
            <w:r>
              <w:rPr>
                <w:sz w:val="18"/>
              </w:rPr>
              <w:t xml:space="preserve">0,4 % (±0,1 %)</w:t>
            </w:r>
          </w:p>
        </w:tc>
      </w:tr>
      <w:tr>
        <w:tc>
          <w:tcPr/>
          <w:p>
            <w:pPr>
              <w:pStyle w:val="Compact"/>
              <w:spacing w:after="20" w:before="20"/>
              <w:jc w:val="left"/>
            </w:pPr>
            <w:r>
              <w:rPr>
                <w:sz w:val="18"/>
              </w:rPr>
              <w:t xml:space="preserve">Volatilität Konsum (VK)</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0,070 (±0,013)</w:t>
            </w:r>
          </w:p>
        </w:tc>
        <w:tc>
          <w:tcPr/>
          <w:p>
            <w:pPr>
              <w:pStyle w:val="Compact"/>
              <w:spacing w:after="20" w:before="20"/>
              <w:jc w:val="center"/>
            </w:pPr>
            <w:r>
              <w:rPr>
                <w:sz w:val="18"/>
              </w:rPr>
              <w:t xml:space="preserve">0,032 (±0,002)</w:t>
            </w:r>
          </w:p>
        </w:tc>
        <w:tc>
          <w:tcPr/>
          <w:p>
            <w:pPr>
              <w:pStyle w:val="Compact"/>
              <w:spacing w:after="20" w:before="20"/>
              <w:jc w:val="center"/>
            </w:pPr>
            <w:r>
              <w:rPr>
                <w:sz w:val="18"/>
              </w:rPr>
              <w:t xml:space="preserve">0,027 (±0,001)</w:t>
            </w:r>
          </w:p>
        </w:tc>
        <w:tc>
          <w:tcPr/>
          <w:p>
            <w:pPr>
              <w:pStyle w:val="Compact"/>
              <w:spacing w:after="20" w:before="20"/>
              <w:jc w:val="center"/>
            </w:pPr>
            <w:r>
              <w:rPr>
                <w:sz w:val="18"/>
              </w:rPr>
              <w:t xml:space="preserve">0,025 (±0,001)</w:t>
            </w:r>
          </w:p>
        </w:tc>
      </w:tr>
      <w:tr>
        <w:tc>
          <w:tcPr>
            <w:shd w:val="clear" w:color="auto" w:fill="F7F8FA"/>
          </w:tcPr>
          <w:p>
            <w:pPr>
              <w:pStyle w:val="Compact"/>
              <w:spacing w:after="20" w:before="20"/>
              <w:jc w:val="left"/>
            </w:pPr>
            <w:r>
              <w:rPr>
                <w:sz w:val="18"/>
              </w:rPr>
              <w:t xml:space="preserve">Volatilität Inflation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0,0043 (±0,0001)</w:t>
            </w:r>
          </w:p>
        </w:tc>
        <w:tc>
          <w:tcPr>
            <w:shd w:val="clear" w:color="auto" w:fill="F7F8FA"/>
          </w:tcPr>
          <w:p>
            <w:pPr>
              <w:pStyle w:val="Compact"/>
              <w:spacing w:after="20" w:before="20"/>
              <w:jc w:val="center"/>
            </w:pPr>
            <w:r>
              <w:rPr>
                <w:sz w:val="18"/>
              </w:rPr>
              <w:t xml:space="preserve">0,0037 (±0,0001)</w:t>
            </w:r>
          </w:p>
        </w:tc>
        <w:tc>
          <w:tcPr>
            <w:shd w:val="clear" w:color="auto" w:fill="F7F8FA"/>
          </w:tcPr>
          <w:p>
            <w:pPr>
              <w:pStyle w:val="Compact"/>
              <w:spacing w:after="20" w:before="20"/>
              <w:jc w:val="center"/>
            </w:pPr>
            <w:r>
              <w:rPr>
                <w:sz w:val="18"/>
              </w:rPr>
              <w:t xml:space="preserve">0,0032 (±0,0001)</w:t>
            </w:r>
          </w:p>
        </w:tc>
        <w:tc>
          <w:tcPr>
            <w:shd w:val="clear" w:color="auto" w:fill="F7F8FA"/>
          </w:tcPr>
          <w:p>
            <w:pPr>
              <w:pStyle w:val="Compact"/>
              <w:spacing w:after="20" w:before="20"/>
              <w:jc w:val="center"/>
            </w:pPr>
            <w:r>
              <w:rPr>
                <w:sz w:val="18"/>
              </w:rPr>
              <w:t xml:space="preserve">0,0022 (±0,0001)</w:t>
            </w:r>
          </w:p>
        </w:tc>
      </w:tr>
      <w:tr>
        <w:tc>
          <w:tcPr/>
          <w:p>
            <w:pPr>
              <w:pStyle w:val="Compact"/>
              <w:spacing w:after="20" w:before="20"/>
              <w:jc w:val="left"/>
            </w:pPr>
            <w:r>
              <w:rPr>
                <w:sz w:val="18"/>
              </w:rPr>
              <w:t xml:space="preserve">Kumul. Konsumverlust nach Schock</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8,8 (±1,3)</w:t>
            </w:r>
          </w:p>
        </w:tc>
        <w:tc>
          <w:tcPr/>
          <w:p>
            <w:pPr>
              <w:pStyle w:val="Compact"/>
              <w:spacing w:after="20" w:before="20"/>
              <w:jc w:val="center"/>
            </w:pPr>
            <w:r>
              <w:rPr>
                <w:sz w:val="18"/>
              </w:rPr>
              <w:t xml:space="preserve">9,2 (±0,2)</w:t>
            </w:r>
          </w:p>
        </w:tc>
        <w:tc>
          <w:tcPr/>
          <w:p>
            <w:pPr>
              <w:pStyle w:val="Compact"/>
              <w:spacing w:after="20" w:before="20"/>
              <w:jc w:val="center"/>
            </w:pPr>
            <w:r>
              <w:rPr>
                <w:sz w:val="18"/>
              </w:rPr>
              <w:t xml:space="preserve">8,5 (±0,1)</w:t>
            </w:r>
          </w:p>
        </w:tc>
        <w:tc>
          <w:tcPr/>
          <w:p>
            <w:pPr>
              <w:pStyle w:val="Compact"/>
              <w:spacing w:after="20" w:before="20"/>
              <w:jc w:val="center"/>
            </w:pPr>
            <w:r>
              <w:rPr>
                <w:sz w:val="18"/>
              </w:rPr>
              <w:t xml:space="preserve">13,0 (±0,5)</w:t>
            </w:r>
          </w:p>
        </w:tc>
      </w:tr>
      <w:tr>
        <w:tc>
          <w:tcPr>
            <w:shd w:val="clear" w:color="auto" w:fill="F7F8FA"/>
          </w:tcPr>
          <w:p>
            <w:pPr>
              <w:pStyle w:val="Compact"/>
              <w:spacing w:after="20" w:before="20"/>
              <w:jc w:val="left"/>
            </w:pPr>
            <w:r>
              <w:rPr>
                <w:sz w:val="18"/>
              </w:rPr>
              <w:t xml:space="preserve">Erholungszeit (Perioden)</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11,6 (±3,6)</w:t>
            </w:r>
          </w:p>
        </w:tc>
        <w:tc>
          <w:tcPr>
            <w:shd w:val="clear" w:color="auto" w:fill="F7F8FA"/>
          </w:tcPr>
          <w:p>
            <w:pPr>
              <w:pStyle w:val="Compact"/>
              <w:spacing w:after="20" w:before="20"/>
              <w:jc w:val="center"/>
            </w:pPr>
            <w:r>
              <w:rPr>
                <w:sz w:val="18"/>
              </w:rPr>
              <w:t xml:space="preserve">13,7 (±1,9)</w:t>
            </w:r>
          </w:p>
        </w:tc>
        <w:tc>
          <w:tcPr>
            <w:shd w:val="clear" w:color="auto" w:fill="F7F8FA"/>
          </w:tcPr>
          <w:p>
            <w:pPr>
              <w:pStyle w:val="Compact"/>
              <w:spacing w:after="20" w:before="20"/>
              <w:jc w:val="center"/>
            </w:pPr>
            <w:r>
              <w:rPr>
                <w:sz w:val="18"/>
              </w:rPr>
              <w:t xml:space="preserve">10,6 (±0,6)</w:t>
            </w:r>
          </w:p>
        </w:tc>
        <w:tc>
          <w:tcPr>
            <w:shd w:val="clear" w:color="auto" w:fill="F7F8FA"/>
          </w:tcPr>
          <w:p>
            <w:pPr>
              <w:pStyle w:val="Compact"/>
              <w:spacing w:after="20" w:before="20"/>
              <w:jc w:val="center"/>
            </w:pPr>
            <w:r>
              <w:rPr>
                <w:sz w:val="18"/>
              </w:rPr>
              <w:t xml:space="preserve">28,4 (±1,9)</w:t>
            </w:r>
          </w:p>
        </w:tc>
      </w:tr>
      <w:tr>
        <w:tc>
          <w:tcPr/>
          <w:p>
            <w:pPr>
              <w:pStyle w:val="Compact"/>
              <w:spacing w:after="20" w:before="20"/>
              <w:jc w:val="left"/>
            </w:pPr>
            <w:r>
              <w:rPr>
                <w:sz w:val="18"/>
              </w:rPr>
              <w:t xml:space="preserve">Insolvenzen je 100 Perioden</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37,7 (±2,9)</w:t>
            </w:r>
          </w:p>
        </w:tc>
        <w:tc>
          <w:tcPr/>
          <w:p>
            <w:pPr>
              <w:pStyle w:val="Compact"/>
              <w:spacing w:after="20" w:before="20"/>
              <w:jc w:val="center"/>
            </w:pPr>
            <w:r>
              <w:rPr>
                <w:sz w:val="18"/>
              </w:rPr>
              <w:t xml:space="preserve">54,2 (±2,2)</w:t>
            </w:r>
          </w:p>
        </w:tc>
        <w:tc>
          <w:tcPr/>
          <w:p>
            <w:pPr>
              <w:pStyle w:val="Compact"/>
              <w:spacing w:after="20" w:before="20"/>
              <w:jc w:val="center"/>
            </w:pPr>
            <w:r>
              <w:rPr>
                <w:sz w:val="18"/>
              </w:rPr>
              <w:t xml:space="preserve">72,4 (±3,9)</w:t>
            </w:r>
          </w:p>
        </w:tc>
        <w:tc>
          <w:tcPr/>
          <w:p>
            <w:pPr>
              <w:pStyle w:val="Compact"/>
              <w:spacing w:after="20" w:before="20"/>
              <w:jc w:val="center"/>
            </w:pPr>
            <w:r>
              <w:rPr>
                <w:sz w:val="18"/>
              </w:rPr>
              <w:t xml:space="preserve">0,2 (±0,1)</w:t>
            </w:r>
          </w:p>
        </w:tc>
      </w:tr>
      <w:tr>
        <w:tc>
          <w:tcPr>
            <w:shd w:val="clear" w:color="auto" w:fill="F7F8FA"/>
          </w:tcPr>
          <w:p>
            <w:pPr>
              <w:pStyle w:val="Compact"/>
              <w:spacing w:after="20" w:before="20"/>
              <w:jc w:val="left"/>
            </w:pPr>
            <w:r>
              <w:rPr>
                <w:sz w:val="18"/>
              </w:rPr>
              <w:t xml:space="preserve">Anteil Staatsbeschäftigte</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0,0 % (±0,0 %)</w:t>
            </w:r>
          </w:p>
        </w:tc>
        <w:tc>
          <w:tcPr>
            <w:shd w:val="clear" w:color="auto" w:fill="F7F8FA"/>
          </w:tcPr>
          <w:p>
            <w:pPr>
              <w:pStyle w:val="Compact"/>
              <w:spacing w:after="20" w:before="20"/>
              <w:jc w:val="center"/>
            </w:pPr>
            <w:r>
              <w:rPr>
                <w:sz w:val="18"/>
              </w:rPr>
              <w:t xml:space="preserve">0,0 % (±0,0 %)</w:t>
            </w:r>
          </w:p>
        </w:tc>
        <w:tc>
          <w:tcPr>
            <w:shd w:val="clear" w:color="auto" w:fill="F7F8FA"/>
          </w:tcPr>
          <w:p>
            <w:pPr>
              <w:pStyle w:val="Compact"/>
              <w:spacing w:after="20" w:before="20"/>
              <w:jc w:val="center"/>
            </w:pPr>
            <w:r>
              <w:rPr>
                <w:sz w:val="18"/>
              </w:rPr>
              <w:t xml:space="preserve">5,0 % (±0,0 %)</w:t>
            </w:r>
          </w:p>
        </w:tc>
        <w:tc>
          <w:tcPr>
            <w:shd w:val="clear" w:color="auto" w:fill="F7F8FA"/>
          </w:tcPr>
          <w:p>
            <w:pPr>
              <w:pStyle w:val="Compact"/>
              <w:spacing w:after="20" w:before="20"/>
              <w:jc w:val="center"/>
            </w:pPr>
            <w:r>
              <w:rPr>
                <w:sz w:val="18"/>
              </w:rPr>
              <w:t xml:space="preserve">7,0 % (±0,0 %)</w:t>
            </w:r>
          </w:p>
        </w:tc>
      </w:tr>
      <w:tr>
        <w:tc>
          <w:tcPr/>
          <w:p>
            <w:pPr>
              <w:pStyle w:val="Compact"/>
              <w:spacing w:after="20" w:before="20"/>
              <w:jc w:val="left"/>
            </w:pPr>
            <w:r>
              <w:rPr>
                <w:sz w:val="18"/>
              </w:rPr>
              <w:t xml:space="preserve">Kredite / Jahresproduktion</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2,6 % (±0,1 %)</w:t>
            </w:r>
          </w:p>
        </w:tc>
        <w:tc>
          <w:tcPr/>
          <w:p>
            <w:pPr>
              <w:pStyle w:val="Compact"/>
              <w:spacing w:after="20" w:before="20"/>
              <w:jc w:val="center"/>
            </w:pPr>
            <w:r>
              <w:rPr>
                <w:sz w:val="18"/>
              </w:rPr>
              <w:t xml:space="preserve">3,2 % (±0,1 %)</w:t>
            </w:r>
          </w:p>
        </w:tc>
        <w:tc>
          <w:tcPr/>
          <w:p>
            <w:pPr>
              <w:pStyle w:val="Compact"/>
              <w:spacing w:after="20" w:before="20"/>
              <w:jc w:val="center"/>
            </w:pPr>
            <w:r>
              <w:rPr>
                <w:sz w:val="18"/>
              </w:rPr>
              <w:t xml:space="preserve">3,6 % (±0,1 %)</w:t>
            </w:r>
          </w:p>
        </w:tc>
        <w:tc>
          <w:tcPr/>
          <w:p>
            <w:pPr>
              <w:pStyle w:val="Compact"/>
              <w:spacing w:after="20" w:before="20"/>
              <w:jc w:val="center"/>
            </w:pPr>
            <w:r>
              <w:rPr>
                <w:sz w:val="18"/>
              </w:rPr>
              <w:t xml:space="preserve">0,5 % (±0,0 %)</w:t>
            </w:r>
          </w:p>
        </w:tc>
      </w:tr>
      <w:tr>
        <w:tc>
          <w:tcPr>
            <w:shd w:val="clear" w:color="auto" w:fill="F7F8FA"/>
          </w:tcPr>
          <w:p>
            <w:pPr>
              <w:pStyle w:val="Compact"/>
              <w:spacing w:after="20" w:before="20"/>
              <w:jc w:val="left"/>
            </w:pPr>
            <w:r>
              <w:rPr>
                <w:sz w:val="18"/>
              </w:rPr>
              <w:t xml:space="preserve">Ø Kreditzins je Periode</w:t>
            </w:r>
          </w:p>
        </w:tc>
        <w:tc>
          <w:tcPr>
            <w:shd w:val="clear" w:color="auto" w:fill="F7F8FA"/>
          </w:tcPr>
          <w:p>
            <w:pPr>
              <w:pStyle w:val="Compact"/>
              <w:spacing w:after="20" w:before="20"/>
              <w:jc w:val="center"/>
            </w:pPr>
            <w:r>
              <w:rPr>
                <w:sz w:val="18"/>
              </w:rPr>
              <w:t xml:space="preserve">–</w:t>
            </w:r>
          </w:p>
        </w:tc>
        <w:tc>
          <w:tcPr>
            <w:shd w:val="clear" w:color="auto" w:fill="F7F8FA"/>
          </w:tcPr>
          <w:p>
            <w:pPr>
              <w:pStyle w:val="Compact"/>
              <w:spacing w:after="20" w:before="20"/>
              <w:jc w:val="center"/>
            </w:pPr>
            <w:r>
              <w:rPr>
                <w:sz w:val="18"/>
              </w:rPr>
              <w:t xml:space="preserve">1,3 % (±0,0 %)</w:t>
            </w:r>
          </w:p>
        </w:tc>
        <w:tc>
          <w:tcPr>
            <w:shd w:val="clear" w:color="auto" w:fill="F7F8FA"/>
          </w:tcPr>
          <w:p>
            <w:pPr>
              <w:pStyle w:val="Compact"/>
              <w:spacing w:after="20" w:before="20"/>
              <w:jc w:val="center"/>
            </w:pPr>
            <w:r>
              <w:rPr>
                <w:sz w:val="18"/>
              </w:rPr>
              <w:t xml:space="preserve">0,9 % (±0,0 %)</w:t>
            </w:r>
          </w:p>
        </w:tc>
        <w:tc>
          <w:tcPr>
            <w:shd w:val="clear" w:color="auto" w:fill="F7F8FA"/>
          </w:tcPr>
          <w:p>
            <w:pPr>
              <w:pStyle w:val="Compact"/>
              <w:spacing w:after="20" w:before="20"/>
              <w:jc w:val="center"/>
            </w:pPr>
            <w:r>
              <w:rPr>
                <w:sz w:val="18"/>
              </w:rPr>
              <w:t xml:space="preserve">0,9 % (±0,0 %)</w:t>
            </w:r>
          </w:p>
        </w:tc>
        <w:tc>
          <w:tcPr>
            <w:shd w:val="clear" w:color="auto" w:fill="F7F8FA"/>
          </w:tcPr>
          <w:p>
            <w:pPr>
              <w:pStyle w:val="Compact"/>
              <w:spacing w:after="20" w:before="20"/>
              <w:jc w:val="center"/>
            </w:pPr>
            <w:r>
              <w:rPr>
                <w:sz w:val="18"/>
              </w:rPr>
              <w:t xml:space="preserve">0,6 % (±0,0 %)</w:t>
            </w:r>
          </w:p>
        </w:tc>
      </w:tr>
      <w:tr>
        <w:tc>
          <w:tcPr/>
          <w:p>
            <w:pPr>
              <w:pStyle w:val="Compact"/>
              <w:spacing w:after="20" w:before="20"/>
              <w:jc w:val="left"/>
            </w:pPr>
            <w:r>
              <w:rPr>
                <w:sz w:val="18"/>
              </w:rPr>
              <w:t xml:space="preserve">Abgelehnte Kreditanträge</w:t>
            </w:r>
          </w:p>
        </w:tc>
        <w:tc>
          <w:tcPr/>
          <w:p>
            <w:pPr>
              <w:pStyle w:val="Compact"/>
              <w:spacing w:after="20" w:before="20"/>
              <w:jc w:val="center"/>
            </w:pPr>
            <w:r>
              <w:rPr>
                <w:sz w:val="18"/>
              </w:rPr>
              <w:t xml:space="preserve">–</w:t>
            </w:r>
          </w:p>
        </w:tc>
        <w:tc>
          <w:tcPr/>
          <w:p>
            <w:pPr>
              <w:pStyle w:val="Compact"/>
              <w:spacing w:after="20" w:before="20"/>
              <w:jc w:val="center"/>
            </w:pPr>
            <w:r>
              <w:rPr>
                <w:sz w:val="18"/>
              </w:rPr>
              <w:t xml:space="preserve">56,5 % (±2,4 %)</w:t>
            </w:r>
          </w:p>
        </w:tc>
        <w:tc>
          <w:tcPr/>
          <w:p>
            <w:pPr>
              <w:pStyle w:val="Compact"/>
              <w:spacing w:after="20" w:before="20"/>
              <w:jc w:val="center"/>
            </w:pPr>
            <w:r>
              <w:rPr>
                <w:sz w:val="18"/>
              </w:rPr>
              <w:t xml:space="preserve">51,6 % (±1,4 %)</w:t>
            </w:r>
          </w:p>
        </w:tc>
        <w:tc>
          <w:tcPr/>
          <w:p>
            <w:pPr>
              <w:pStyle w:val="Compact"/>
              <w:spacing w:after="20" w:before="20"/>
              <w:jc w:val="center"/>
            </w:pPr>
            <w:r>
              <w:rPr>
                <w:sz w:val="18"/>
              </w:rPr>
              <w:t xml:space="preserve">56,3 % (±1,3 %)</w:t>
            </w:r>
          </w:p>
        </w:tc>
        <w:tc>
          <w:tcPr/>
          <w:p>
            <w:pPr>
              <w:pStyle w:val="Compact"/>
              <w:spacing w:after="20" w:before="20"/>
              <w:jc w:val="center"/>
            </w:pPr>
            <w:r>
              <w:rPr>
                <w:sz w:val="18"/>
              </w:rPr>
              <w:t xml:space="preserve">99,0 % (±0,1 %)</w:t>
            </w:r>
          </w:p>
        </w:tc>
      </w:tr>
      <w:tr>
        <w:tc>
          <w:tcPr>
            <w:shd w:val="clear" w:color="auto" w:fill="F7F8FA"/>
          </w:tcPr>
          <w:p>
            <w:pPr>
              <w:pStyle w:val="Compact"/>
              <w:spacing w:after="20" w:before="20"/>
              <w:jc w:val="left"/>
            </w:pPr>
            <w:r>
              <w:rPr>
                <w:sz w:val="18"/>
              </w:rPr>
              <w:t xml:space="preserve">Kreditausfälle je Periode</w:t>
            </w:r>
          </w:p>
        </w:tc>
        <w:tc>
          <w:tcPr>
            <w:shd w:val="clear" w:color="auto" w:fill="F7F8FA"/>
          </w:tcPr>
          <w:p>
            <w:pPr>
              <w:pStyle w:val="Compact"/>
              <w:spacing w:after="20" w:before="20"/>
              <w:jc w:val="center"/>
            </w:pPr>
            <w:r>
              <w:rPr>
                <w:sz w:val="18"/>
              </w:rPr>
              <w:t xml:space="preserve">niedrig</w:t>
            </w:r>
          </w:p>
        </w:tc>
        <w:tc>
          <w:tcPr>
            <w:shd w:val="clear" w:color="auto" w:fill="F7F8FA"/>
          </w:tcPr>
          <w:p>
            <w:pPr>
              <w:pStyle w:val="Compact"/>
              <w:spacing w:after="20" w:before="20"/>
              <w:jc w:val="center"/>
            </w:pPr>
            <w:r>
              <w:rPr>
                <w:sz w:val="18"/>
              </w:rPr>
              <w:t xml:space="preserve">3,0 % (±0,3 %)</w:t>
            </w:r>
          </w:p>
        </w:tc>
        <w:tc>
          <w:tcPr>
            <w:shd w:val="clear" w:color="auto" w:fill="F7F8FA"/>
          </w:tcPr>
          <w:p>
            <w:pPr>
              <w:pStyle w:val="Compact"/>
              <w:spacing w:after="20" w:before="20"/>
              <w:jc w:val="center"/>
            </w:pPr>
            <w:r>
              <w:rPr>
                <w:sz w:val="18"/>
              </w:rPr>
              <w:t xml:space="preserve">1,1 % (±0,1 %)</w:t>
            </w:r>
          </w:p>
        </w:tc>
        <w:tc>
          <w:tcPr>
            <w:shd w:val="clear" w:color="auto" w:fill="F7F8FA"/>
          </w:tcPr>
          <w:p>
            <w:pPr>
              <w:pStyle w:val="Compact"/>
              <w:spacing w:after="20" w:before="20"/>
              <w:jc w:val="center"/>
            </w:pPr>
            <w:r>
              <w:rPr>
                <w:sz w:val="18"/>
              </w:rPr>
              <w:t xml:space="preserve">1,3 % (±0,1 %)</w:t>
            </w:r>
          </w:p>
        </w:tc>
        <w:tc>
          <w:tcPr>
            <w:shd w:val="clear" w:color="auto" w:fill="F7F8FA"/>
          </w:tcPr>
          <w:p>
            <w:pPr>
              <w:pStyle w:val="Compact"/>
              <w:spacing w:after="20" w:before="20"/>
              <w:jc w:val="center"/>
            </w:pPr>
            <w:r>
              <w:rPr>
                <w:sz w:val="18"/>
              </w:rPr>
              <w:t xml:space="preserve">0,0 % (±0,0 %)</w:t>
            </w:r>
          </w:p>
        </w:tc>
      </w:tr>
      <w:tr>
        <w:tc>
          <w:tcPr/>
          <w:p>
            <w:pPr>
              <w:pStyle w:val="Compact"/>
              <w:spacing w:after="20" w:before="20"/>
              <w:jc w:val="left"/>
            </w:pPr>
            <w:r>
              <w:rPr>
                <w:sz w:val="18"/>
              </w:rPr>
              <w:t xml:space="preserve">Bankenkrisen je 100 Perioden</w:t>
            </w:r>
          </w:p>
        </w:tc>
        <w:tc>
          <w:tcPr/>
          <w:p>
            <w:pPr>
              <w:pStyle w:val="Compact"/>
              <w:spacing w:after="20" w:before="20"/>
              <w:jc w:val="center"/>
            </w:pPr>
            <w:r>
              <w:rPr>
                <w:sz w:val="18"/>
              </w:rPr>
              <w:t xml:space="preserve">niedrig</w:t>
            </w:r>
          </w:p>
        </w:tc>
        <w:tc>
          <w:tcPr/>
          <w:p>
            <w:pPr>
              <w:pStyle w:val="Compact"/>
              <w:spacing w:after="20" w:before="20"/>
              <w:jc w:val="center"/>
            </w:pPr>
            <w:r>
              <w:rPr>
                <w:sz w:val="18"/>
              </w:rPr>
              <w:t xml:space="preserve">0,9 (±0,5)</w:t>
            </w:r>
          </w:p>
        </w:tc>
        <w:tc>
          <w:tcPr/>
          <w:p>
            <w:pPr>
              <w:pStyle w:val="Compact"/>
              <w:spacing w:after="20" w:before="20"/>
              <w:jc w:val="center"/>
            </w:pPr>
            <w:r>
              <w:rPr>
                <w:sz w:val="18"/>
              </w:rPr>
              <w:t xml:space="preserve">0,0 (±0,0)</w:t>
            </w:r>
          </w:p>
        </w:tc>
        <w:tc>
          <w:tcPr/>
          <w:p>
            <w:pPr>
              <w:pStyle w:val="Compact"/>
              <w:spacing w:after="20" w:before="20"/>
              <w:jc w:val="center"/>
            </w:pPr>
            <w:r>
              <w:rPr>
                <w:sz w:val="18"/>
              </w:rPr>
              <w:t xml:space="preserve">0,0 (±0,0)</w:t>
            </w:r>
          </w:p>
        </w:tc>
        <w:tc>
          <w:tcPr/>
          <w:p>
            <w:pPr>
              <w:pStyle w:val="Compact"/>
              <w:spacing w:after="20" w:before="20"/>
              <w:jc w:val="center"/>
            </w:pPr>
            <w:r>
              <w:rPr>
                <w:sz w:val="18"/>
              </w:rPr>
              <w:t xml:space="preserve">0,0 (±0,0)</w:t>
            </w:r>
          </w:p>
        </w:tc>
      </w:tr>
      <w:tr>
        <w:tc>
          <w:tcPr>
            <w:shd w:val="clear" w:color="auto" w:fill="F7F8FA"/>
            <w:tcBorders>
              <w:bottom w:val="single" w:sz="12" w:color="1F3864"/>
            </w:tcBorders>
          </w:tcPr>
          <w:p>
            <w:pPr>
              <w:pStyle w:val="Compact"/>
              <w:spacing w:after="20" w:before="20"/>
              <w:jc w:val="left"/>
            </w:pPr>
            <w:r>
              <w:rPr>
                <w:sz w:val="18"/>
              </w:rPr>
              <w:t xml:space="preserve">Staatshilfe + Einlegerverluste (Anteil Geldmenge)</w:t>
            </w:r>
          </w:p>
        </w:tc>
        <w:tc>
          <w:tcPr>
            <w:shd w:val="clear" w:color="auto" w:fill="F7F8FA"/>
            <w:tcBorders>
              <w:bottom w:val="single" w:sz="12" w:color="1F3864"/>
            </w:tcBorders>
          </w:tcPr>
          <w:p>
            <w:pPr>
              <w:pStyle w:val="Compact"/>
              <w:spacing w:after="20" w:before="20"/>
              <w:jc w:val="center"/>
            </w:pPr>
            <w:r>
              <w:rPr>
                <w:sz w:val="18"/>
              </w:rPr>
              <w:t xml:space="preserve">niedrig</w:t>
            </w:r>
          </w:p>
        </w:tc>
        <w:tc>
          <w:tcPr>
            <w:shd w:val="clear" w:color="auto" w:fill="F7F8FA"/>
            <w:tcBorders>
              <w:bottom w:val="single" w:sz="12" w:color="1F3864"/>
            </w:tcBorders>
          </w:tcPr>
          <w:p>
            <w:pPr>
              <w:pStyle w:val="Compact"/>
              <w:spacing w:after="20" w:before="20"/>
              <w:jc w:val="center"/>
            </w:pPr>
            <w:r>
              <w:rPr>
                <w:sz w:val="18"/>
              </w:rPr>
              <w:t xml:space="preserve">1,3 % (±0,6 %)</w:t>
            </w:r>
          </w:p>
        </w:tc>
        <w:tc>
          <w:tcPr>
            <w:shd w:val="clear" w:color="auto" w:fill="F7F8FA"/>
            <w:tcBorders>
              <w:bottom w:val="single" w:sz="12" w:color="1F3864"/>
            </w:tcBorders>
          </w:tcPr>
          <w:p>
            <w:pPr>
              <w:pStyle w:val="Compact"/>
              <w:spacing w:after="20" w:before="20"/>
              <w:jc w:val="center"/>
            </w:pPr>
            <w:r>
              <w:rPr>
                <w:sz w:val="18"/>
              </w:rPr>
              <w:t xml:space="preserve">0,0 % (±0,0 %)</w:t>
            </w:r>
          </w:p>
        </w:tc>
        <w:tc>
          <w:tcPr>
            <w:shd w:val="clear" w:color="auto" w:fill="F7F8FA"/>
            <w:tcBorders>
              <w:bottom w:val="single" w:sz="12" w:color="1F3864"/>
            </w:tcBorders>
          </w:tcPr>
          <w:p>
            <w:pPr>
              <w:pStyle w:val="Compact"/>
              <w:spacing w:after="20" w:before="20"/>
              <w:jc w:val="center"/>
            </w:pPr>
            <w:r>
              <w:rPr>
                <w:sz w:val="18"/>
              </w:rPr>
              <w:t xml:space="preserve">0,0 % (±0,0 %)</w:t>
            </w:r>
          </w:p>
        </w:tc>
        <w:tc>
          <w:tcPr>
            <w:shd w:val="clear" w:color="auto" w:fill="F7F8FA"/>
            <w:tcBorders>
              <w:bottom w:val="single" w:sz="12" w:color="1F3864"/>
            </w:tcBorders>
          </w:tcPr>
          <w:p>
            <w:pPr>
              <w:pStyle w:val="Compact"/>
              <w:spacing w:after="20" w:before="20"/>
              <w:jc w:val="center"/>
            </w:pPr>
            <w:r>
              <w:rPr>
                <w:sz w:val="18"/>
              </w:rPr>
              <w:t xml:space="preserve">0,0 % (±0,0 %)</w:t>
            </w:r>
          </w:p>
        </w:tc>
      </w:tr>
    </w:tbl>
    <w:p>
      <w:pPr>
        <w:pStyle w:val="CaptionedFigure"/>
      </w:pPr>
      <w:r>
        <w:drawing>
          <wp:inline>
            <wp:extent cx="3200400" cy="3012621"/>
            <wp:effectExtent b="0" l="0" r="0" t="0"/>
            <wp:docPr descr="Abbildung A1: Lorenzkurven der Vermögensverteilung am Ende der Simulation (Mittel über 30 Läufe)." title="" id="76" name="Picture"/>
            <a:graphic>
              <a:graphicData uri="http://schemas.openxmlformats.org/drawingml/2006/picture">
                <pic:pic>
                  <pic:nvPicPr>
                    <pic:cNvPr descr="figures/03_lorenz.png" id="77" name="Picture"/>
                    <pic:cNvPicPr>
                      <a:picLocks noChangeArrowheads="1" noChangeAspect="1"/>
                    </pic:cNvPicPr>
                  </pic:nvPicPr>
                  <pic:blipFill>
                    <a:blip r:embed="rId75"/>
                    <a:stretch>
                      <a:fillRect/>
                    </a:stretch>
                  </pic:blipFill>
                  <pic:spPr bwMode="auto">
                    <a:xfrm>
                      <a:off x="0" y="0"/>
                      <a:ext cx="3200400" cy="3012621"/>
                    </a:xfrm>
                    <a:prstGeom prst="rect">
                      <a:avLst/>
                    </a:prstGeom>
                    <a:noFill/>
                    <a:ln w="9525">
                      <a:noFill/>
                      <a:headEnd/>
                      <a:tailEnd/>
                    </a:ln>
                  </pic:spPr>
                </pic:pic>
              </a:graphicData>
            </a:graphic>
          </wp:inline>
        </w:drawing>
      </w:r>
    </w:p>
    <w:p>
      <w:pPr>
        <w:pStyle w:val="ImageCaption"/>
      </w:pPr>
      <w:r>
        <w:t xml:space="preserve">Abbildung A1: Lorenzkurven der Vermögensverteilung am Ende der Simulation (Mittel über 30 Läufe).</w:t>
      </w:r>
    </w:p>
    <w:p>
      <w:pPr>
        <w:pStyle w:val="CaptionedFigure"/>
      </w:pPr>
      <w:r>
        <w:drawing>
          <wp:inline>
            <wp:extent cx="5334000" cy="6332900"/>
            <wp:effectExtent b="0" l="0" r="0" t="0"/>
            <wp:docPr descr="Abbildung A2: Kennzahlenprofil der Regime (Mittelwert und 95-%-Intervall)." title="" id="79" name="Picture"/>
            <a:graphic>
              <a:graphicData uri="http://schemas.openxmlformats.org/drawingml/2006/picture">
                <pic:pic>
                  <pic:nvPicPr>
                    <pic:cNvPr descr="figures/05_kennzahlenprofil.png" id="80" name="Picture"/>
                    <pic:cNvPicPr>
                      <a:picLocks noChangeArrowheads="1" noChangeAspect="1"/>
                    </pic:cNvPicPr>
                  </pic:nvPicPr>
                  <pic:blipFill>
                    <a:blip r:embed="rId78"/>
                    <a:stretch>
                      <a:fillRect/>
                    </a:stretch>
                  </pic:blipFill>
                  <pic:spPr bwMode="auto">
                    <a:xfrm>
                      <a:off x="0" y="0"/>
                      <a:ext cx="5334000" cy="6332900"/>
                    </a:xfrm>
                    <a:prstGeom prst="rect">
                      <a:avLst/>
                    </a:prstGeom>
                    <a:noFill/>
                    <a:ln w="9525">
                      <a:noFill/>
                      <a:headEnd/>
                      <a:tailEnd/>
                    </a:ln>
                  </pic:spPr>
                </pic:pic>
              </a:graphicData>
            </a:graphic>
          </wp:inline>
        </w:drawing>
      </w:r>
    </w:p>
    <w:p>
      <w:pPr>
        <w:pStyle w:val="ImageCaption"/>
      </w:pPr>
      <w:r>
        <w:t xml:space="preserve">Abbildung A2: Kennzahlenprofil der Regime (Mittelwert und 95-%-Intervall).</w:t>
      </w:r>
    </w:p>
    <w:bookmarkEnd w:id="81"/>
    <w:bookmarkStart w:id="82" w:name="parameter-des-gemeinsamen-kerns"/>
    <w:p>
      <w:pPr>
        <w:pStyle w:val="Heading2"/>
      </w:pPr>
      <w:r>
        <w:t xml:space="preserve">Parameter des gemeinsamen Kerns</w:t>
      </w:r>
    </w:p>
    <w:p>
      <w:pPr>
        <w:pStyle w:val="TableCaption"/>
      </w:pPr>
      <w:r>
        <w:t xml:space="preserve">Tabelle A2: Parameter des gemeinsamen Modellkerns</w:t>
      </w:r>
    </w:p>
    <w:tbl>
      <w:tblPr>
        <w:tblStyle w:val="Table"/>
        <w:tblW w:type="pct" w:w="5000"/>
        <w:jc w:val="center"/>
        <w:tblLook w:firstRow="1" w:lastRow="0" w:firstColumn="0" w:lastColumn="0" w:noHBand="0" w:noVBand="0" w:val="0020"/>
        <w:tblCaption w:val="Tabelle A2: Parameter des gemeinsamen Modellkerns"/>
      </w:tblPr>
      <w:tblGrid>
        <w:gridCol w:w="2640"/>
        <w:gridCol w:w="1320"/>
        <w:gridCol w:w="2640"/>
        <w:gridCol w:w="1320"/>
      </w:tblGrid>
      <w:tr>
        <w:trPr>
          <w:tblHeader w:val="true"/>
        </w:trPr>
        <w:tc>
          <w:tcPr>
            <w:tcBorders>
              <w:top w:val="single" w:sz="12" w:color="1F3864"/>
              <w:bottom w:val="single" w:sz="6" w:color="1F3864"/>
            </w:tcBorders>
            <w:shd w:val="clear" w:color="auto" w:fill="EEF2F8"/>
          </w:tcPr>
          <w:p>
            <w:pPr>
              <w:pStyle w:val="Compact"/>
              <w:spacing w:after="20" w:before="20"/>
              <w:jc w:val="left"/>
            </w:pPr>
            <w:r>
              <w:rPr>
                <w:b/>
                <w:color w:val="1F3864"/>
                <w:sz w:val="18"/>
              </w:rPr>
              <w:t xml:space="preserve">Parameter</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Wert</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Parameter</w:t>
            </w:r>
          </w:p>
        </w:tc>
        <w:tc>
          <w:tcPr>
            <w:tcBorders>
              <w:top w:val="single" w:sz="12" w:color="1F3864"/>
              <w:bottom w:val="single" w:sz="6" w:color="1F3864"/>
            </w:tcBorders>
            <w:shd w:val="clear" w:color="auto" w:fill="EEF2F8"/>
          </w:tcPr>
          <w:p>
            <w:pPr>
              <w:pStyle w:val="Compact"/>
              <w:spacing w:after="20" w:before="20"/>
              <w:jc w:val="center"/>
            </w:pPr>
            <w:r>
              <w:rPr>
                <w:b/>
                <w:color w:val="1F3864"/>
                <w:sz w:val="18"/>
              </w:rPr>
              <w:t xml:space="preserve">Wert</w:t>
            </w:r>
          </w:p>
        </w:tc>
      </w:tr>
      <w:tr>
        <w:tc>
          <w:tcPr/>
          <w:p>
            <w:pPr>
              <w:pStyle w:val="Compact"/>
              <w:spacing w:after="20" w:before="20"/>
              <w:jc w:val="left"/>
            </w:pPr>
            <w:r>
              <w:rPr>
                <w:sz w:val="18"/>
              </w:rPr>
              <w:t xml:space="preserve">Haushalte</w:t>
            </w:r>
            <w:r>
              <w:rPr>
                <w:sz w:val="18"/>
              </w:rPr>
              <w:t xml:space="preserve"> </w:t>
            </w:r>
            <m:oMath>
              <m:r>
                <m:t>H</m:t>
              </m:r>
            </m:oMath>
            <w:r>
              <w:rPr>
                <w:sz w:val="18"/>
              </w:rPr>
              <w:t xml:space="preserve"> </w:t>
            </w:r>
            <w:r>
              <w:rPr>
                <w:sz w:val="18"/>
              </w:rPr>
              <w:t xml:space="preserve">/ Firmenplätze</w:t>
            </w:r>
            <w:r>
              <w:rPr>
                <w:sz w:val="18"/>
              </w:rPr>
              <w:t xml:space="preserve"> </w:t>
            </w:r>
            <m:oMath>
              <m:r>
                <m:t>F</m:t>
              </m:r>
            </m:oMath>
          </w:p>
        </w:tc>
        <w:tc>
          <w:tcPr/>
          <w:p>
            <w:pPr>
              <w:pStyle w:val="Compact"/>
              <w:spacing w:after="20" w:before="20"/>
              <w:jc w:val="center"/>
            </w:pPr>
            <w:r>
              <w:rPr>
                <w:sz w:val="18"/>
              </w:rPr>
              <w:t xml:space="preserve">300 / 30</w:t>
            </w:r>
          </w:p>
        </w:tc>
        <w:tc>
          <w:tcPr/>
          <w:p>
            <w:pPr>
              <w:pStyle w:val="Compact"/>
              <w:spacing w:after="20" w:before="20"/>
              <w:jc w:val="left"/>
            </w:pPr>
            <w:r>
              <w:rPr>
                <w:sz w:val="18"/>
              </w:rPr>
              <w:t xml:space="preserve">Perioden</w:t>
            </w:r>
            <w:r>
              <w:rPr>
                <w:sz w:val="18"/>
              </w:rPr>
              <w:t xml:space="preserve"> </w:t>
            </w:r>
            <m:oMath>
              <m:r>
                <m:t>T</m:t>
              </m:r>
            </m:oMath>
            <w:r>
              <w:rPr>
                <w:sz w:val="18"/>
              </w:rPr>
              <w:t xml:space="preserve"> </w:t>
            </w:r>
            <w:r>
              <w:rPr>
                <w:sz w:val="18"/>
              </w:rPr>
              <w:t xml:space="preserve">/ Einschwingen</w:t>
            </w:r>
          </w:p>
        </w:tc>
        <w:tc>
          <w:tcPr/>
          <w:p>
            <w:pPr>
              <w:pStyle w:val="Compact"/>
              <w:spacing w:after="20" w:before="20"/>
              <w:jc w:val="center"/>
            </w:pPr>
            <w:r>
              <w:rPr>
                <w:sz w:val="18"/>
              </w:rPr>
              <w:t xml:space="preserve">600 / 200</w:t>
            </w:r>
          </w:p>
        </w:tc>
      </w:tr>
      <w:tr>
        <w:tc>
          <w:tcPr>
            <w:shd w:val="clear" w:color="auto" w:fill="F7F8FA"/>
          </w:tcPr>
          <w:p>
            <w:pPr>
              <w:pStyle w:val="Compact"/>
              <w:spacing w:after="20" w:before="20"/>
              <w:jc w:val="left"/>
            </w:pPr>
            <w:r>
              <w:rPr>
                <w:sz w:val="18"/>
              </w:rPr>
              <w:t xml:space="preserve">Konsumneigung</w:t>
            </w:r>
            <w:r>
              <w:rPr>
                <w:sz w:val="18"/>
              </w:rPr>
              <w:t xml:space="preserve"> </w:t>
            </w:r>
            <m:oMath>
              <m:sSub>
                <m:e>
                  <m:r>
                    <m:t>c</m:t>
                  </m:r>
                </m:e>
                <m:sub>
                  <m:r>
                    <m:t>y</m:t>
                  </m:r>
                </m:sub>
              </m:sSub>
            </m:oMath>
            <w:r>
              <w:rPr>
                <w:sz w:val="18"/>
              </w:rPr>
              <w:t xml:space="preserve"> </w:t>
            </w:r>
            <w:r>
              <w:rPr>
                <w:sz w:val="18"/>
              </w:rPr>
              <w:t xml:space="preserve">/</w:t>
            </w:r>
            <w:r>
              <w:rPr>
                <w:sz w:val="18"/>
              </w:rPr>
              <w:t xml:space="preserve"> </w:t>
            </w:r>
            <m:oMath>
              <m:sSub>
                <m:e>
                  <m:r>
                    <m:t>c</m:t>
                  </m:r>
                </m:e>
                <m:sub>
                  <m:r>
                    <m:t>m</m:t>
                  </m:r>
                </m:sub>
              </m:sSub>
            </m:oMath>
          </w:p>
        </w:tc>
        <w:tc>
          <w:tcPr>
            <w:shd w:val="clear" w:color="auto" w:fill="F7F8FA"/>
          </w:tcPr>
          <w:p>
            <w:pPr>
              <w:pStyle w:val="Compact"/>
              <w:spacing w:after="20" w:before="20"/>
              <w:jc w:val="center"/>
            </w:pPr>
            <w:r>
              <w:rPr>
                <w:sz w:val="18"/>
              </w:rPr>
              <w:t xml:space="preserve">0,8 / 0,05</w:t>
            </w:r>
          </w:p>
        </w:tc>
        <w:tc>
          <w:tcPr>
            <w:shd w:val="clear" w:color="auto" w:fill="F7F8FA"/>
          </w:tcPr>
          <w:p>
            <w:pPr>
              <w:pStyle w:val="Compact"/>
              <w:spacing w:after="20" w:before="20"/>
              <w:jc w:val="left"/>
            </w:pPr>
            <w:r>
              <w:rPr>
                <w:sz w:val="18"/>
              </w:rPr>
              <w:t xml:space="preserve">Suchumfang Güter</w:t>
            </w:r>
            <w:r>
              <w:rPr>
                <w:sz w:val="18"/>
              </w:rPr>
              <w:t xml:space="preserve"> </w:t>
            </w:r>
            <m:oMath>
              <m:sSub>
                <m:e>
                  <m:r>
                    <m:t>k</m:t>
                  </m:r>
                </m:e>
                <m:sub>
                  <m:r>
                    <m:t>g</m:t>
                  </m:r>
                </m:sub>
              </m:sSub>
            </m:oMath>
            <w:r>
              <w:rPr>
                <w:sz w:val="18"/>
              </w:rPr>
              <w:t xml:space="preserve"> </w:t>
            </w:r>
            <w:r>
              <w:rPr>
                <w:sz w:val="18"/>
              </w:rPr>
              <w:t xml:space="preserve">/ Arbeit</w:t>
            </w:r>
            <w:r>
              <w:rPr>
                <w:sz w:val="18"/>
              </w:rPr>
              <w:t xml:space="preserve"> </w:t>
            </w:r>
            <m:oMath>
              <m:sSub>
                <m:e>
                  <m:r>
                    <m:t>k</m:t>
                  </m:r>
                </m:e>
                <m:sub>
                  <m:r>
                    <m:t>j</m:t>
                  </m:r>
                </m:sub>
              </m:sSub>
            </m:oMath>
          </w:p>
        </w:tc>
        <w:tc>
          <w:tcPr>
            <w:shd w:val="clear" w:color="auto" w:fill="F7F8FA"/>
          </w:tcPr>
          <w:p>
            <w:pPr>
              <w:pStyle w:val="Compact"/>
              <w:spacing w:after="20" w:before="20"/>
              <w:jc w:val="center"/>
            </w:pPr>
            <w:r>
              <w:rPr>
                <w:sz w:val="18"/>
              </w:rPr>
              <w:t xml:space="preserve">3 / 4</w:t>
            </w:r>
          </w:p>
        </w:tc>
      </w:tr>
      <w:tr>
        <w:tc>
          <w:tcPr/>
          <w:p>
            <w:pPr>
              <w:pStyle w:val="Compact"/>
              <w:spacing w:after="20" w:before="20"/>
              <w:jc w:val="left"/>
            </w:pPr>
            <w:r>
              <w:rPr>
                <w:sz w:val="18"/>
              </w:rPr>
              <w:t xml:space="preserve">Startvermögen</w:t>
            </w:r>
            <w:r>
              <w:rPr>
                <w:sz w:val="18"/>
              </w:rPr>
              <w:t xml:space="preserve"> </w:t>
            </w:r>
            <m:oMath>
              <m:acc>
                <m:accPr>
                  <m:chr m:val="‾"/>
                </m:accPr>
                <m:e>
                  <m:r>
                    <m:t>M</m:t>
                  </m:r>
                </m:e>
              </m:acc>
            </m:oMath>
            <w:r>
              <w:rPr>
                <w:sz w:val="18"/>
              </w:rPr>
              <w:t xml:space="preserve">,</w:t>
            </w:r>
            <w:r>
              <w:rPr>
                <w:sz w:val="18"/>
              </w:rPr>
              <w:t xml:space="preserve"> </w:t>
            </w:r>
            <m:oMath>
              <m:sSub>
                <m:e>
                  <m:r>
                    <m:t>σ</m:t>
                  </m:r>
                </m:e>
                <m:sub>
                  <m:r>
                    <m:t>M</m:t>
                  </m:r>
                </m:sub>
              </m:sSub>
            </m:oMath>
          </w:p>
        </w:tc>
        <w:tc>
          <w:tcPr/>
          <w:p>
            <w:pPr>
              <w:pStyle w:val="Compact"/>
              <w:spacing w:after="20" w:before="20"/>
              <w:jc w:val="center"/>
            </w:pPr>
            <w:r>
              <w:rPr>
                <w:sz w:val="18"/>
              </w:rPr>
              <w:t xml:space="preserve">10; 0,6</w:t>
            </w:r>
          </w:p>
        </w:tc>
        <w:tc>
          <w:tcPr/>
          <w:p>
            <w:pPr>
              <w:pStyle w:val="Compact"/>
              <w:spacing w:after="20" w:before="20"/>
              <w:jc w:val="center"/>
            </w:pPr>
            <w:r>
              <w:rPr>
                <w:sz w:val="18"/>
              </w:rPr>
              <w:t xml:space="preserve">Produktivität</w:t>
            </w:r>
            <w:r>
              <w:rPr>
                <w:sz w:val="18"/>
              </w:rPr>
              <w:t xml:space="preserve"> </w:t>
            </w:r>
            <m:oMath>
              <m:acc>
                <m:accPr>
                  <m:chr m:val="‾"/>
                </m:accPr>
                <m:e>
                  <m:r>
                    <m:t>A</m:t>
                  </m:r>
                </m:e>
              </m:acc>
            </m:oMath>
          </w:p>
        </w:tc>
        <w:tc>
          <w:tcPr/>
          <w:p>
            <w:pPr>
              <w:pStyle w:val="Compact"/>
              <w:spacing w:after="20" w:before="20"/>
              <w:jc w:val="center"/>
            </w:pPr>
            <w:r>
              <w:rPr>
                <w:sz w:val="18"/>
              </w:rPr>
              <w:t xml:space="preserve">1</w:t>
            </w:r>
          </w:p>
        </w:tc>
      </w:tr>
      <w:tr>
        <w:tc>
          <w:tcPr>
            <w:shd w:val="clear" w:color="auto" w:fill="F7F8FA"/>
          </w:tcPr>
          <w:p>
            <w:pPr>
              <w:pStyle w:val="Compact"/>
              <w:spacing w:after="20" w:before="20"/>
              <w:jc w:val="left"/>
            </w:pPr>
            <w:r>
              <w:rPr>
                <w:sz w:val="18"/>
              </w:rPr>
              <w:t xml:space="preserve">Lohnschritt</w:t>
            </w:r>
            <w:r>
              <w:rPr>
                <w:sz w:val="18"/>
              </w:rPr>
              <w:t xml:space="preserve"> </w:t>
            </w:r>
            <m:oMath>
              <m:sSub>
                <m:e>
                  <m:r>
                    <m:t>δ</m:t>
                  </m:r>
                </m:e>
                <m:sub>
                  <m:r>
                    <m:t>w</m:t>
                  </m:r>
                </m:sub>
              </m:sSub>
            </m:oMath>
            <w:r>
              <w:rPr>
                <w:sz w:val="18"/>
              </w:rPr>
              <w:t xml:space="preserve"> </w:t>
            </w:r>
            <w:r>
              <w:rPr>
                <w:sz w:val="18"/>
              </w:rPr>
              <w:t xml:space="preserve">/ Schwelle</w:t>
            </w:r>
            <w:r>
              <w:rPr>
                <w:sz w:val="18"/>
              </w:rPr>
              <w:t xml:space="preserve"> </w:t>
            </w:r>
            <m:oMath>
              <m:acc>
                <m:accPr>
                  <m:chr m:val="‾"/>
                </m:accPr>
                <m:e>
                  <m:r>
                    <m:t>u</m:t>
                  </m:r>
                </m:e>
              </m:acc>
            </m:oMath>
          </w:p>
        </w:tc>
        <w:tc>
          <w:tcPr>
            <w:shd w:val="clear" w:color="auto" w:fill="F7F8FA"/>
          </w:tcPr>
          <w:p>
            <w:pPr>
              <w:pStyle w:val="Compact"/>
              <w:spacing w:after="20" w:before="20"/>
              <w:jc w:val="center"/>
            </w:pPr>
            <w:r>
              <w:rPr>
                <w:sz w:val="18"/>
              </w:rPr>
              <w:t xml:space="preserve">0,02 / 0,05</w:t>
            </w:r>
          </w:p>
        </w:tc>
        <w:tc>
          <w:tcPr>
            <w:shd w:val="clear" w:color="auto" w:fill="F7F8FA"/>
          </w:tcPr>
          <w:p>
            <w:pPr>
              <w:pStyle w:val="Compact"/>
              <w:spacing w:after="20" w:before="20"/>
              <w:jc w:val="left"/>
            </w:pPr>
            <w:r>
              <w:rPr>
                <w:sz w:val="18"/>
              </w:rPr>
              <w:t xml:space="preserve">Aufschlagsschritt</w:t>
            </w:r>
            <w:r>
              <w:rPr>
                <w:sz w:val="18"/>
              </w:rPr>
              <w:t xml:space="preserve"> </w:t>
            </w:r>
            <m:oMath>
              <m:sSub>
                <m:e>
                  <m:r>
                    <m:t>δ</m:t>
                  </m:r>
                </m:e>
                <m:sub>
                  <m:r>
                    <m:t>μ</m:t>
                  </m:r>
                </m:sub>
              </m:sSub>
            </m:oMath>
            <w:r>
              <w:rPr>
                <w:sz w:val="18"/>
              </w:rPr>
              <w:t xml:space="preserve"> </w:t>
            </w:r>
            <w:r>
              <w:rPr>
                <w:sz w:val="18"/>
              </w:rPr>
              <w:t xml:space="preserve">/ Start</w:t>
            </w:r>
          </w:p>
        </w:tc>
        <w:tc>
          <w:tcPr>
            <w:shd w:val="clear" w:color="auto" w:fill="F7F8FA"/>
          </w:tcPr>
          <w:p>
            <w:pPr>
              <w:pStyle w:val="Compact"/>
              <w:spacing w:after="20" w:before="20"/>
              <w:jc w:val="center"/>
            </w:pPr>
            <w:r>
              <w:rPr>
                <w:sz w:val="18"/>
              </w:rPr>
              <w:t xml:space="preserve">0,01 / 0,1</w:t>
            </w:r>
          </w:p>
        </w:tc>
      </w:tr>
      <w:tr>
        <w:tc>
          <w:tcPr/>
          <w:p>
            <w:pPr>
              <w:pStyle w:val="Compact"/>
              <w:spacing w:after="20" w:before="20"/>
              <w:jc w:val="left"/>
            </w:pPr>
            <w:r>
              <w:rPr>
                <w:sz w:val="18"/>
              </w:rPr>
              <w:t xml:space="preserve">Planungsglättung</w:t>
            </w:r>
            <w:r>
              <w:rPr>
                <w:sz w:val="18"/>
              </w:rPr>
              <w:t xml:space="preserve"> </w:t>
            </w:r>
            <m:oMath>
              <m:r>
                <m:t>α</m:t>
              </m:r>
            </m:oMath>
            <w:r>
              <w:rPr>
                <w:sz w:val="18"/>
              </w:rPr>
              <w:t xml:space="preserve"> </w:t>
            </w:r>
            <w:r>
              <w:rPr>
                <w:sz w:val="18"/>
              </w:rPr>
              <w:t xml:space="preserve">/</w:t>
            </w:r>
            <w:r>
              <w:rPr>
                <w:sz w:val="18"/>
              </w:rPr>
              <w:t xml:space="preserve"> </w:t>
            </w:r>
            <m:oMath>
              <m:r>
                <m:t>λ</m:t>
              </m:r>
            </m:oMath>
            <w:r>
              <w:rPr>
                <w:sz w:val="18"/>
              </w:rPr>
              <w:t xml:space="preserve"> </w:t>
            </w:r>
            <w:r>
              <w:rPr>
                <w:sz w:val="18"/>
              </w:rPr>
              <w:t xml:space="preserve">/</w:t>
            </w:r>
            <w:r>
              <w:rPr>
                <w:sz w:val="18"/>
              </w:rPr>
              <w:t xml:space="preserve"> </w:t>
            </w:r>
            <m:oMath>
              <m:sSub>
                <m:e>
                  <m:r>
                    <m:t>β</m:t>
                  </m:r>
                </m:e>
                <m:sub>
                  <m:r>
                    <m:t>I</m:t>
                  </m:r>
                </m:sub>
              </m:sSub>
            </m:oMath>
          </w:p>
        </w:tc>
        <w:tc>
          <w:tcPr/>
          <w:p>
            <w:pPr>
              <w:pStyle w:val="Compact"/>
              <w:spacing w:after="20" w:before="20"/>
              <w:jc w:val="center"/>
            </w:pPr>
            <w:r>
              <w:rPr>
                <w:sz w:val="18"/>
              </w:rPr>
              <w:t xml:space="preserve">0,3 / 0,5 / 0,05</w:t>
            </w:r>
          </w:p>
        </w:tc>
        <w:tc>
          <w:tcPr/>
          <w:p>
            <w:pPr>
              <w:pStyle w:val="Compact"/>
              <w:spacing w:after="20" w:before="20"/>
              <w:jc w:val="left"/>
            </w:pPr>
            <w:r>
              <w:rPr>
                <w:sz w:val="18"/>
              </w:rPr>
              <w:t xml:space="preserve">Verderb unverkaufter Ware</w:t>
            </w:r>
          </w:p>
        </w:tc>
        <w:tc>
          <w:tcPr/>
          <w:p>
            <w:pPr>
              <w:pStyle w:val="Compact"/>
              <w:spacing w:after="20" w:before="20"/>
              <w:jc w:val="center"/>
            </w:pPr>
            <w:r>
              <w:rPr>
                <w:sz w:val="18"/>
              </w:rPr>
              <w:t xml:space="preserve">50 %</w:t>
            </w:r>
          </w:p>
        </w:tc>
      </w:tr>
      <w:tr>
        <w:tc>
          <w:tcPr>
            <w:shd w:val="clear" w:color="auto" w:fill="F7F8FA"/>
          </w:tcPr>
          <w:p>
            <w:pPr>
              <w:pStyle w:val="Compact"/>
              <w:spacing w:after="20" w:before="20"/>
              <w:jc w:val="left"/>
            </w:pPr>
            <w:r>
              <w:rPr>
                <w:sz w:val="18"/>
              </w:rPr>
              <w:t xml:space="preserve">Ausschüttungsquote</w:t>
            </w:r>
          </w:p>
        </w:tc>
        <w:tc>
          <w:tcPr>
            <w:shd w:val="clear" w:color="auto" w:fill="F7F8FA"/>
          </w:tcPr>
          <w:p>
            <w:pPr>
              <w:pStyle w:val="Compact"/>
              <w:spacing w:after="20" w:before="20"/>
              <w:jc w:val="center"/>
            </w:pPr>
            <w:r>
              <w:rPr>
                <w:sz w:val="18"/>
              </w:rPr>
              <w:t xml:space="preserve">50 %</w:t>
            </w:r>
          </w:p>
        </w:tc>
        <w:tc>
          <w:tcPr>
            <w:shd w:val="clear" w:color="auto" w:fill="F7F8FA"/>
          </w:tcPr>
          <w:p>
            <w:pPr>
              <w:pStyle w:val="Compact"/>
              <w:spacing w:after="20" w:before="20"/>
              <w:jc w:val="left"/>
            </w:pPr>
            <w:r>
              <w:rPr>
                <w:sz w:val="18"/>
              </w:rPr>
              <w:t xml:space="preserve">Liquiditätsreserve</w:t>
            </w:r>
            <w:r>
              <w:rPr>
                <w:sz w:val="18"/>
              </w:rPr>
              <w:t xml:space="preserve"> </w:t>
            </w:r>
            <m:oMath>
              <m:r>
                <m:t>χ</m:t>
              </m:r>
            </m:oMath>
            <w:r>
              <w:rPr>
                <w:sz w:val="18"/>
              </w:rPr>
              <w:t xml:space="preserve"> </w:t>
            </w:r>
            <w:r>
              <w:rPr>
                <w:sz w:val="18"/>
              </w:rPr>
              <w:t xml:space="preserve">(mit/ohne Kredit)</w:t>
            </w:r>
          </w:p>
        </w:tc>
        <w:tc>
          <w:tcPr>
            <w:shd w:val="clear" w:color="auto" w:fill="F7F8FA"/>
          </w:tcPr>
          <w:p>
            <w:pPr>
              <w:pStyle w:val="Compact"/>
              <w:spacing w:after="20" w:before="20"/>
              <w:jc w:val="center"/>
            </w:pPr>
            <w:r>
              <w:rPr>
                <w:sz w:val="18"/>
              </w:rPr>
              <w:t xml:space="preserve">1 / 4 Lohnsummen</w:t>
            </w:r>
          </w:p>
        </w:tc>
      </w:tr>
      <w:tr>
        <w:tc>
          <w:tcPr/>
          <w:p>
            <w:pPr>
              <w:pStyle w:val="Compact"/>
              <w:spacing w:after="20" w:before="20"/>
              <w:jc w:val="left"/>
            </w:pPr>
            <w:r>
              <w:rPr>
                <w:sz w:val="18"/>
              </w:rPr>
              <w:t xml:space="preserve">Anteil unehrlicher Firmen</w:t>
            </w:r>
            <w:r>
              <w:rPr>
                <w:sz w:val="18"/>
              </w:rPr>
              <w:t xml:space="preserve"> </w:t>
            </w:r>
            <m:oMath>
              <m:r>
                <m:t>θ</m:t>
              </m:r>
            </m:oMath>
          </w:p>
        </w:tc>
        <w:tc>
          <w:tcPr/>
          <w:p>
            <w:pPr>
              <w:pStyle w:val="Compact"/>
              <w:spacing w:after="20" w:before="20"/>
              <w:jc w:val="center"/>
            </w:pPr>
            <w:r>
              <w:rPr>
                <w:sz w:val="18"/>
              </w:rPr>
              <w:t xml:space="preserve">0,3</w:t>
            </w:r>
          </w:p>
        </w:tc>
        <w:tc>
          <w:tcPr/>
          <w:p>
            <w:pPr>
              <w:pStyle w:val="Compact"/>
              <w:spacing w:after="20" w:before="20"/>
              <w:jc w:val="left"/>
            </w:pPr>
            <w:r>
              <w:rPr>
                <w:sz w:val="18"/>
              </w:rPr>
              <w:t xml:space="preserve">Betrugswahrscheinlichkeit</w:t>
            </w:r>
            <w:r>
              <w:rPr>
                <w:sz w:val="18"/>
              </w:rPr>
              <w:t xml:space="preserve"> </w:t>
            </w:r>
            <m:oMath>
              <m:sSub>
                <m:e>
                  <m:r>
                    <m:t>π</m:t>
                  </m:r>
                </m:e>
                <m:sub>
                  <m:r>
                    <m:t>0</m:t>
                  </m:r>
                </m:sub>
              </m:sSub>
            </m:oMath>
            <w:r>
              <w:rPr>
                <w:sz w:val="18"/>
              </w:rPr>
              <w:t xml:space="preserve"> </w:t>
            </w:r>
            <w:r>
              <w:rPr>
                <w:sz w:val="18"/>
              </w:rPr>
              <w:t xml:space="preserve">/ Wirkung</w:t>
            </w:r>
            <w:r>
              <w:rPr>
                <w:sz w:val="18"/>
              </w:rPr>
              <w:t xml:space="preserve"> </w:t>
            </w:r>
            <m:oMath>
              <m:r>
                <m:t>e</m:t>
              </m:r>
            </m:oMath>
          </w:p>
        </w:tc>
        <w:tc>
          <w:tcPr/>
          <w:p>
            <w:pPr>
              <w:pStyle w:val="Compact"/>
              <w:spacing w:after="20" w:before="20"/>
              <w:jc w:val="center"/>
            </w:pPr>
            <w:r>
              <w:rPr>
                <w:sz w:val="18"/>
              </w:rPr>
              <w:t xml:space="preserve">0,3 / 0,9</w:t>
            </w:r>
          </w:p>
        </w:tc>
      </w:tr>
      <w:tr>
        <w:tc>
          <w:tcPr>
            <w:shd w:val="clear" w:color="auto" w:fill="F7F8FA"/>
          </w:tcPr>
          <w:p>
            <w:pPr>
              <w:pStyle w:val="Compact"/>
              <w:spacing w:after="20" w:before="20"/>
              <w:jc w:val="left"/>
            </w:pPr>
            <w:r>
              <w:rPr>
                <w:sz w:val="18"/>
              </w:rPr>
              <w:t xml:space="preserve">Marktmacht</w:t>
            </w:r>
            <w:r>
              <w:rPr>
                <w:sz w:val="18"/>
              </w:rPr>
              <w:t xml:space="preserve"> </w:t>
            </w:r>
            <m:oMath>
              <m:r>
                <m:t>κ</m:t>
              </m:r>
            </m:oMath>
            <w:r>
              <w:rPr>
                <w:sz w:val="18"/>
              </w:rPr>
              <w:t xml:space="preserve"> </w:t>
            </w:r>
            <w:r>
              <w:rPr>
                <w:sz w:val="18"/>
              </w:rPr>
              <w:t xml:space="preserve">(ohne Aufsicht)</w:t>
            </w:r>
          </w:p>
        </w:tc>
        <w:tc>
          <w:tcPr>
            <w:shd w:val="clear" w:color="auto" w:fill="F7F8FA"/>
          </w:tcPr>
          <w:p>
            <w:pPr>
              <w:pStyle w:val="Compact"/>
              <w:spacing w:after="20" w:before="20"/>
              <w:jc w:val="center"/>
            </w:pPr>
            <w:r>
              <w:rPr>
                <w:sz w:val="18"/>
              </w:rPr>
              <w:t xml:space="preserve">1</w:t>
            </w:r>
          </w:p>
        </w:tc>
        <w:tc>
          <w:tcPr>
            <w:shd w:val="clear" w:color="auto" w:fill="F7F8FA"/>
          </w:tcPr>
          <w:p>
            <w:pPr>
              <w:pStyle w:val="Compact"/>
              <w:spacing w:after="20" w:before="20"/>
              <w:jc w:val="left"/>
            </w:pPr>
            <w:r>
              <w:rPr>
                <w:sz w:val="18"/>
              </w:rPr>
              <w:t xml:space="preserve">Eintrittswahrscheinlichkeit</w:t>
            </w:r>
            <w:r>
              <w:rPr>
                <w:sz w:val="18"/>
              </w:rPr>
              <w:t xml:space="preserve"> </w:t>
            </w:r>
            <m:oMath>
              <m:r>
                <m:t>q</m:t>
              </m:r>
            </m:oMath>
            <w:r>
              <w:rPr>
                <w:sz w:val="18"/>
              </w:rPr>
              <w:t xml:space="preserve"> </w:t>
            </w:r>
            <w:r>
              <w:rPr>
                <w:sz w:val="18"/>
              </w:rPr>
              <w:t xml:space="preserve">(ohne Aufsicht)</w:t>
            </w:r>
          </w:p>
        </w:tc>
        <w:tc>
          <w:tcPr>
            <w:shd w:val="clear" w:color="auto" w:fill="F7F8FA"/>
          </w:tcPr>
          <w:p>
            <w:pPr>
              <w:pStyle w:val="Compact"/>
              <w:spacing w:after="20" w:before="20"/>
              <w:jc w:val="center"/>
            </w:pPr>
            <w:r>
              <w:rPr>
                <w:sz w:val="18"/>
              </w:rPr>
              <w:t xml:space="preserve">0,1</w:t>
            </w:r>
          </w:p>
        </w:tc>
      </w:tr>
      <w:tr>
        <w:tc>
          <w:tcPr/>
          <w:p>
            <w:pPr>
              <w:pStyle w:val="Compact"/>
              <w:spacing w:after="20" w:before="20"/>
              <w:jc w:val="left"/>
            </w:pPr>
            <w:r>
              <w:rPr>
                <w:sz w:val="18"/>
              </w:rPr>
              <w:t xml:space="preserve">Grundzins</w:t>
            </w:r>
            <w:r>
              <w:rPr>
                <w:sz w:val="18"/>
              </w:rPr>
              <w:t xml:space="preserve"> </w:t>
            </w:r>
            <m:oMath>
              <m:sSub>
                <m:e>
                  <m:r>
                    <m:t>r</m:t>
                  </m:r>
                </m:e>
                <m:sub>
                  <m:r>
                    <m:t>0</m:t>
                  </m:r>
                </m:sub>
              </m:sSub>
            </m:oMath>
            <w:r>
              <w:rPr>
                <w:sz w:val="18"/>
              </w:rPr>
              <w:t xml:space="preserve"> </w:t>
            </w:r>
            <w:r>
              <w:rPr>
                <w:sz w:val="18"/>
              </w:rPr>
              <w:t xml:space="preserve">/ Risikoaufschlag</w:t>
            </w:r>
            <w:r>
              <w:rPr>
                <w:sz w:val="18"/>
              </w:rPr>
              <w:t xml:space="preserve"> </w:t>
            </w:r>
            <m:oMath>
              <m:sSub>
                <m:e>
                  <m:r>
                    <m:t>ρ</m:t>
                  </m:r>
                </m:e>
                <m:sub>
                  <m:r>
                    <m:t>r</m:t>
                  </m:r>
                </m:sub>
              </m:sSub>
            </m:oMath>
          </w:p>
        </w:tc>
        <w:tc>
          <w:tcPr/>
          <w:p>
            <w:pPr>
              <w:pStyle w:val="Compact"/>
              <w:spacing w:after="20" w:before="20"/>
              <w:jc w:val="center"/>
            </w:pPr>
            <w:r>
              <w:rPr>
                <w:sz w:val="18"/>
              </w:rPr>
              <w:t xml:space="preserve">0,004 / 0,01</w:t>
            </w:r>
          </w:p>
        </w:tc>
        <w:tc>
          <w:tcPr/>
          <w:p>
            <w:pPr>
              <w:pStyle w:val="Compact"/>
              <w:spacing w:after="20" w:before="20"/>
              <w:jc w:val="left"/>
            </w:pPr>
            <w:r>
              <w:rPr>
                <w:sz w:val="18"/>
              </w:rPr>
              <w:t xml:space="preserve">max. Verschuldungsgrad</w:t>
            </w:r>
            <w:r>
              <w:rPr>
                <w:sz w:val="18"/>
              </w:rPr>
              <w:t xml:space="preserve"> </w:t>
            </w:r>
            <m:oMath>
              <m:acc>
                <m:accPr>
                  <m:chr m:val="‾"/>
                </m:accPr>
                <m:e>
                  <m:r>
                    <m:rPr>
                      <m:sty m:val="p"/>
                    </m:rPr>
                    <m:t>ℓ</m:t>
                  </m:r>
                </m:e>
              </m:acc>
            </m:oMath>
          </w:p>
        </w:tc>
        <w:tc>
          <w:tcPr/>
          <w:p>
            <w:pPr>
              <w:pStyle w:val="Compact"/>
              <w:spacing w:after="20" w:before="20"/>
              <w:jc w:val="center"/>
            </w:pPr>
            <w:r>
              <w:rPr>
                <w:sz w:val="18"/>
              </w:rPr>
              <w:t xml:space="preserve">0,7</w:t>
            </w:r>
          </w:p>
        </w:tc>
      </w:tr>
      <w:tr>
        <w:tc>
          <w:tcPr>
            <w:shd w:val="clear" w:color="auto" w:fill="F7F8FA"/>
          </w:tcPr>
          <w:p>
            <w:pPr>
              <w:pStyle w:val="Compact"/>
              <w:spacing w:after="20" w:before="20"/>
              <w:jc w:val="left"/>
            </w:pPr>
            <w:r>
              <w:rPr>
                <w:sz w:val="18"/>
              </w:rPr>
              <w:t xml:space="preserve">Laufzeit</w:t>
            </w:r>
            <w:r>
              <w:rPr>
                <w:sz w:val="18"/>
              </w:rPr>
              <w:t xml:space="preserve"> </w:t>
            </w:r>
            <m:oMath>
              <m:r>
                <m:rPr>
                  <m:sty m:val="p"/>
                  <m:scr m:val="script"/>
                </m:rPr>
                <m:t>T</m:t>
              </m:r>
            </m:oMath>
          </w:p>
        </w:tc>
        <w:tc>
          <w:tcPr>
            <w:shd w:val="clear" w:color="auto" w:fill="F7F8FA"/>
          </w:tcPr>
          <w:p>
            <w:pPr>
              <w:pStyle w:val="Compact"/>
              <w:spacing w:after="20" w:before="20"/>
              <w:jc w:val="center"/>
            </w:pPr>
            <w:r>
              <w:rPr>
                <w:sz w:val="18"/>
              </w:rPr>
              <w:t xml:space="preserve">24</w:t>
            </w:r>
          </w:p>
        </w:tc>
        <w:tc>
          <w:tcPr>
            <w:shd w:val="clear" w:color="auto" w:fill="F7F8FA"/>
          </w:tcPr>
          <w:p>
            <w:pPr>
              <w:pStyle w:val="Compact"/>
              <w:spacing w:after="20" w:before="20"/>
              <w:jc w:val="left"/>
            </w:pPr>
            <w:r>
              <w:rPr>
                <w:sz w:val="18"/>
              </w:rPr>
              <w:t xml:space="preserve">Verwertungsquote ohne Recht</w:t>
            </w:r>
            <w:r>
              <w:rPr>
                <w:sz w:val="18"/>
              </w:rPr>
              <w:t xml:space="preserve"> </w:t>
            </w:r>
            <m:oMath>
              <m:r>
                <m:t>ϕ</m:t>
              </m:r>
            </m:oMath>
          </w:p>
        </w:tc>
        <w:tc>
          <w:tcPr>
            <w:shd w:val="clear" w:color="auto" w:fill="F7F8FA"/>
          </w:tcPr>
          <w:p>
            <w:pPr>
              <w:pStyle w:val="Compact"/>
              <w:spacing w:after="20" w:before="20"/>
              <w:jc w:val="center"/>
            </w:pPr>
            <w:r>
              <w:rPr>
                <w:sz w:val="18"/>
              </w:rPr>
              <w:t xml:space="preserve">0,3</w:t>
            </w:r>
          </w:p>
        </w:tc>
      </w:tr>
      <w:tr>
        <w:tc>
          <w:tcPr/>
          <w:p>
            <w:pPr>
              <w:pStyle w:val="Compact"/>
              <w:spacing w:after="20" w:before="20"/>
              <w:jc w:val="left"/>
            </w:pPr>
            <w:r>
              <w:rPr>
                <w:sz w:val="18"/>
              </w:rPr>
              <w:t xml:space="preserve">Anfangskapital Bank</w:t>
            </w:r>
          </w:p>
        </w:tc>
        <w:tc>
          <w:tcPr/>
          <w:p>
            <w:pPr>
              <w:pStyle w:val="Compact"/>
              <w:spacing w:after="20" w:before="20"/>
              <w:jc w:val="center"/>
            </w:pPr>
            <w:r>
              <w:rPr>
                <w:sz w:val="18"/>
              </w:rPr>
              <w:t xml:space="preserve">10 % der Geldmenge</w:t>
            </w:r>
          </w:p>
        </w:tc>
        <w:tc>
          <w:tcPr/>
          <w:p>
            <w:pPr>
              <w:pStyle w:val="Compact"/>
              <w:spacing w:after="20" w:before="20"/>
              <w:jc w:val="center"/>
            </w:pPr>
            <w:r>
              <w:rPr>
                <w:sz w:val="18"/>
              </w:rPr>
              <w:t xml:space="preserve">Bankeigentümer</w:t>
            </w:r>
          </w:p>
        </w:tc>
        <w:tc>
          <w:tcPr/>
          <w:p>
            <w:pPr>
              <w:pStyle w:val="Compact"/>
              <w:spacing w:after="20" w:before="20"/>
              <w:jc w:val="center"/>
            </w:pPr>
            <w:r>
              <w:rPr>
                <w:sz w:val="18"/>
              </w:rPr>
              <w:t xml:space="preserve">10 % der Haushalte</w:t>
            </w:r>
          </w:p>
        </w:tc>
      </w:tr>
      <w:tr>
        <w:tc>
          <w:tcPr>
            <w:shd w:val="clear" w:color="auto" w:fill="F7F8FA"/>
            <w:tcBorders>
              <w:bottom w:val="single" w:sz="12" w:color="1F3864"/>
            </w:tcBorders>
          </w:tcPr>
          <w:p>
            <w:pPr>
              <w:pStyle w:val="Compact"/>
              <w:spacing w:after="20" w:before="20"/>
              <w:jc w:val="left"/>
            </w:pPr>
            <w:r>
              <w:rPr>
                <w:sz w:val="18"/>
              </w:rPr>
              <w:t xml:space="preserve">Schock</w:t>
            </w:r>
            <w:r>
              <w:rPr>
                <w:sz w:val="18"/>
              </w:rPr>
              <w:t xml:space="preserve"> </w:t>
            </w:r>
            <m:oMath>
              <m:r>
                <m:t>σ</m:t>
              </m:r>
            </m:oMath>
            <w:r>
              <w:rPr>
                <w:sz w:val="18"/>
              </w:rPr>
              <w:t xml:space="preserve"> </w:t>
            </w:r>
            <w:r>
              <w:rPr>
                <w:sz w:val="18"/>
              </w:rPr>
              <w:t xml:space="preserve">/ Zeitraum</w:t>
            </w:r>
          </w:p>
        </w:tc>
        <w:tc>
          <w:tcPr>
            <w:shd w:val="clear" w:color="auto" w:fill="F7F8FA"/>
            <w:tcBorders>
              <w:bottom w:val="single" w:sz="12" w:color="1F3864"/>
            </w:tcBorders>
          </w:tcPr>
          <w:p>
            <w:pPr>
              <w:pStyle w:val="Compact"/>
              <w:spacing w:after="20" w:before="20"/>
              <w:jc w:val="center"/>
            </w:pPr>
            <w:r>
              <w:rPr>
                <w:sz w:val="18"/>
              </w:rPr>
              <w:t xml:space="preserve">25 % / 400–429</w:t>
            </w:r>
          </w:p>
        </w:tc>
        <w:tc>
          <w:tcPr>
            <w:shd w:val="clear" w:color="auto" w:fill="F7F8FA"/>
            <w:tcBorders>
              <w:bottom w:val="single" w:sz="12" w:color="1F3864"/>
            </w:tcBorders>
          </w:tcPr>
          <w:p>
            <w:pPr>
              <w:pStyle w:val="Compact"/>
              <w:spacing w:after="20" w:before="20"/>
              <w:jc w:val="left"/>
            </w:pPr>
            <w:r>
              <w:rPr>
                <w:sz w:val="18"/>
              </w:rPr>
              <w:t xml:space="preserve">Läufe Haupt- / Sensitivitätsexperiment</w:t>
            </w:r>
          </w:p>
        </w:tc>
        <w:tc>
          <w:tcPr>
            <w:shd w:val="clear" w:color="auto" w:fill="F7F8FA"/>
            <w:tcBorders>
              <w:bottom w:val="single" w:sz="12" w:color="1F3864"/>
            </w:tcBorders>
          </w:tcPr>
          <w:p>
            <w:pPr>
              <w:pStyle w:val="Compact"/>
              <w:spacing w:after="20" w:before="20"/>
              <w:jc w:val="center"/>
            </w:pPr>
            <w:r>
              <w:rPr>
                <w:sz w:val="18"/>
              </w:rPr>
              <w:t xml:space="preserve">30 / 8</w:t>
            </w:r>
          </w:p>
        </w:tc>
      </w:tr>
    </w:tbl>
    <w:bookmarkEnd w:id="82"/>
    <w:bookmarkStart w:id="83" w:name="reproduzierbarkeit"/>
    <w:p>
      <w:pPr>
        <w:pStyle w:val="Heading2"/>
      </w:pPr>
      <w:r>
        <w:t xml:space="preserve">Reproduzierbarkeit</w:t>
      </w:r>
    </w:p>
    <w:p>
      <w:pPr>
        <w:pStyle w:val="FirstParagraph"/>
      </w:pPr>
      <w:r>
        <w:t xml:space="preserve">Das Modell ist in Python (NumPy, pandas, Matplotlib) implementiert. Der Code besteht aus</w:t>
      </w:r>
      <w:r>
        <w:t xml:space="preserve"> </w:t>
      </w:r>
      <w:r>
        <w:rPr>
          <w:rStyle w:val="VerbatimChar"/>
        </w:rPr>
        <w:t xml:space="preserve">config.py</w:t>
      </w:r>
      <w:r>
        <w:t xml:space="preserve"> </w:t>
      </w:r>
      <w:r>
        <w:t xml:space="preserve">(Parameter und Regime),</w:t>
      </w:r>
      <w:r>
        <w:t xml:space="preserve"> </w:t>
      </w:r>
      <w:r>
        <w:rPr>
          <w:rStyle w:val="VerbatimChar"/>
        </w:rPr>
        <w:t xml:space="preserve">model.py</w:t>
      </w:r>
      <w:r>
        <w:t xml:space="preserve"> </w:t>
      </w:r>
      <w:r>
        <w:t xml:space="preserve">(Modell),</w:t>
      </w:r>
      <w:r>
        <w:t xml:space="preserve"> </w:t>
      </w:r>
      <w:r>
        <w:rPr>
          <w:rStyle w:val="VerbatimChar"/>
        </w:rPr>
        <w:t xml:space="preserve">metrics.py</w:t>
      </w:r>
      <w:r>
        <w:t xml:space="preserve"> </w:t>
      </w:r>
      <w:r>
        <w:t xml:space="preserve">(Kennzahlen),</w:t>
      </w:r>
      <w:r>
        <w:t xml:space="preserve"> </w:t>
      </w:r>
      <w:r>
        <w:rPr>
          <w:rStyle w:val="VerbatimChar"/>
        </w:rPr>
        <w:t xml:space="preserve">run_experiments.py</w:t>
      </w:r>
      <w:r>
        <w:t xml:space="preserve"> </w:t>
      </w:r>
      <w:r>
        <w:t xml:space="preserve">(Haupt- und Sensitivitätsexperiment) und</w:t>
      </w:r>
      <w:r>
        <w:t xml:space="preserve"> </w:t>
      </w:r>
      <w:r>
        <w:rPr>
          <w:rStyle w:val="VerbatimChar"/>
        </w:rPr>
        <w:t xml:space="preserve">analysis.py</w:t>
      </w:r>
      <w:r>
        <w:t xml:space="preserve"> </w:t>
      </w:r>
      <w:r>
        <w:t xml:space="preserve">(Abbildungen und Tabellen). Alle Ergebnisse dieser Arbeit lassen sich mit</w:t>
      </w:r>
      <w:r>
        <w:t xml:space="preserve"> </w:t>
      </w:r>
      <w:r>
        <w:rPr>
          <w:rStyle w:val="VerbatimChar"/>
        </w:rPr>
        <w:t xml:space="preserve">python run_experiments.py --runs 30 --sweep --sweep-runs 8</w:t>
      </w:r>
      <w:r>
        <w:t xml:space="preserve"> </w:t>
      </w:r>
      <w:r>
        <w:t xml:space="preserve">und anschließend</w:t>
      </w:r>
      <w:r>
        <w:t xml:space="preserve"> </w:t>
      </w:r>
      <w:r>
        <w:rPr>
          <w:rStyle w:val="VerbatimChar"/>
        </w:rPr>
        <w:t xml:space="preserve">python analysis.py</w:t>
      </w:r>
      <w:r>
        <w:t xml:space="preserve"> </w:t>
      </w:r>
      <w:r>
        <w:t xml:space="preserve">reproduzieren; die Läufe sind über die Seeds deterministisch.</w:t>
      </w:r>
    </w:p>
    <w:bookmarkEnd w:id="83"/>
    <w:bookmarkEnd w:id="84"/>
    <w:sectPr>
      <w:footerReference w:type="default" r:id="rId9"/>
      <w:pgMar w:bottom="124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1A1A1A"/>
      <w:sz w:val="22"/>
    </w:rPr>
  </w:style>
  <w:style w:styleId="BodyText" w:type="paragraph">
    <w:name w:val="Body Text"/>
    <w:basedOn w:val="Normal"/>
    <w:link w:val="BodyTextChar"/>
    <w:pPr>
      <w:spacing w:after="120" w:before="0" w:line="300" w:lineRule="auto"/>
      <w:jc w:val="both"/>
    </w:pPr>
    <w:qFormat/>
    <w:rPr>
      <w:rFonts w:ascii="Cambria" w:cs="Cambria" w:eastAsia="Cambria" w:hAnsi="Cambria"/>
      <w:color w:val="1A1A1A"/>
      <w:sz w:val="22"/>
    </w:rPr>
  </w:style>
  <w:style w:customStyle="1" w:styleId="FirstParagraph" w:type="paragraph">
    <w:name w:val="First Paragraph"/>
    <w:basedOn w:val="BodyText"/>
    <w:next w:val="BodyText"/>
    <w:qFormat/>
    <w:pPr>
      <w:spacing w:after="120" w:before="0" w:line="300" w:lineRule="auto"/>
      <w:jc w:val="both"/>
    </w:pPr>
    <w:rPr>
      <w:rFonts w:ascii="Cambria" w:cs="Cambria" w:eastAsia="Cambria" w:hAnsi="Cambria"/>
      <w:color w:val="1A1A1A"/>
      <w:sz w:val="22"/>
    </w:rPr>
  </w:style>
  <w:style w:customStyle="1" w:styleId="Compact" w:type="paragraph">
    <w:name w:val="Compact"/>
    <w:basedOn w:val="BodyText"/>
    <w:qFormat/>
    <w:pPr>
      <w:spacing w:after="40" w:before="36"/>
    </w:pPr>
    <w:rPr>
      <w:rFonts w:ascii="Cambria" w:cs="Cambria" w:eastAsia="Cambria" w:hAnsi="Cambria"/>
      <w:color w:val="1A1A1A"/>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38"/>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404040"/>
      <w:sz w:val="24"/>
      <w:szCs w:val="30"/>
    </w:rPr>
  </w:style>
  <w:style w:customStyle="1" w:styleId="Author" w:type="paragraph">
    <w:name w:val="Author"/>
    <w:next w:val="BodyText"/>
    <w:qFormat/>
    <w:pPr>
      <w:keepNext/>
      <w:keepLines/>
      <w:jc w:val="center"/>
    </w:pPr>
    <w:rPr>
      <w:rFonts w:ascii="Calibri" w:cs="Calibri" w:eastAsia="Calibri" w:hAnsi="Calibri"/>
      <w:b w:val="0"/>
      <w:color w:val="404040"/>
      <w:sz w:val="24"/>
    </w:rPr>
  </w:style>
  <w:style w:styleId="Date" w:type="paragraph">
    <w:name w:val="Date"/>
    <w:next w:val="BodyText"/>
    <w:qFormat/>
    <w:pPr>
      <w:keepNext/>
      <w:keepLines/>
      <w:jc w:val="center"/>
    </w:pPr>
    <w:rPr>
      <w:rFonts w:ascii="Calibri" w:cs="Calibri" w:eastAsia="Calibri" w:hAnsi="Calibri"/>
      <w:b w:val="0"/>
      <w:color w:val="404040"/>
      <w:sz w:val="24"/>
    </w:rPr>
  </w:style>
  <w:style w:customStyle="1" w:styleId="AbstractTitle" w:type="paragraph">
    <w:name w:val="Abstract Title"/>
    <w:basedOn w:val="Normal"/>
    <w:next w:val="Abstract"/>
    <w:qFormat/>
    <w:pPr>
      <w:keepNext/>
      <w:keepLines/>
      <w:jc w:val="center"/>
      <w:spacing w:after="0" w:before="300"/>
    </w:pPr>
    <w:rPr>
      <w:color w:val="1F3864"/>
      <w:sz w:val="22"/>
      <w:szCs w:val="20"/>
      <w:rFonts w:ascii="Calibri" w:cs="Calibri" w:eastAsia="Calibri" w:hAnsi="Calibri"/>
      <w:b/>
    </w:rPr>
  </w:style>
  <w:style w:customStyle="1" w:styleId="Abstract" w:type="paragraph">
    <w:name w:val="Abstract"/>
    <w:basedOn w:val="Normal"/>
    <w:next w:val="BodyText"/>
    <w:qFormat/>
    <w:pPr>
      <w:keepNext/>
      <w:keepLines/>
      <w:spacing w:after="300" w:before="100"/>
      <w:jc w:val="both"/>
    </w:pPr>
    <w:rPr>
      <w:rFonts w:ascii="Cambria" w:cs="Cambria" w:eastAsia="Cambria" w:hAnsi="Cambria"/>
      <w:i w:val="0"/>
      <w:color w:val="1A1A1A"/>
      <w:sz w:val="21"/>
      <w:szCs w:val="20"/>
    </w:rPr>
  </w:style>
  <w:style w:styleId="Bibliography" w:type="paragraph">
    <w:name w:val="Bibliography"/>
    <w:basedOn w:val="Normal"/>
    <w:next w:val="Bibliography"/>
    <w:qFormat/>
    <w:pPr>
      <w:spacing w:after="80"/>
      <w:ind w:hanging="425" w:left="425"/>
    </w:pPr>
    <w:rPr>
      <w:rFonts w:ascii="Cambria" w:cs="Cambria" w:eastAsia="Cambria" w:hAnsi="Cambria"/>
      <w:color w:val="1A1A1A"/>
      <w:sz w:val="20"/>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olor w:val="1F3864"/>
      <w:sz w:val="30"/>
      <w:szCs w:val="32"/>
    </w:rPr>
  </w:style>
  <w:style w:styleId="Heading2" w:type="paragraph">
    <w:name w:val="Heading 2"/>
    <w:basedOn w:val="Normal"/>
    <w:next w:val="BodyText"/>
    <w:uiPriority w:val="9"/>
    <w:unhideWhenUsed/>
    <w:qFormat/>
    <w:pPr>
      <w:keepNext/>
      <w:keepLines/>
      <w:spacing w:after="120" w:before="240"/>
      <w:outlineLvl w:val="1"/>
    </w:pPr>
    <w:rPr>
      <w:rFonts w:ascii="Calibri" w:cs="Calibri" w:eastAsia="Calibri" w:hAnsi="Calibri"/>
      <w:b/>
      <w:bCs/>
      <w:i w:val="0"/>
      <w:color w:val="1F3864"/>
      <w:sz w:val="25"/>
      <w:szCs w:val="28"/>
    </w:rPr>
  </w:style>
  <w:style w:styleId="Heading3" w:type="paragraph">
    <w:name w:val="Heading 3"/>
    <w:basedOn w:val="Normal"/>
    <w:next w:val="BodyText"/>
    <w:uiPriority w:val="9"/>
    <w:unhideWhenUsed/>
    <w:qFormat/>
    <w:pPr>
      <w:keepNext/>
      <w:keepLines/>
      <w:spacing w:after="120" w:before="240"/>
      <w:outlineLvl w:val="2"/>
    </w:pPr>
    <w:rPr>
      <w:rFonts w:ascii="Calibri" w:cs="Calibri" w:eastAsia="Calibri" w:hAnsi="Calibri"/>
      <w:b/>
      <w:bCs/>
      <w:i w:val="0"/>
      <w:color w:val="1F3864"/>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mbria" w:cs="Cambria" w:eastAsia="Cambria" w:hAnsi="Cambria"/>
      <w:color w:val="1A1A1A"/>
      <w:sz w:val="22"/>
    </w:rPr>
  </w:style>
  <w:style w:styleId="FootnoteText" w:type="paragraph">
    <w:name w:val="Footnote Text"/>
    <w:basedOn w:val="Normal"/>
    <w:next w:val="FootnoteText"/>
    <w:uiPriority w:val="9"/>
    <w:unhideWhenUsed/>
    <w:qFormat/>
    <w:rPr>
      <w:rFonts w:ascii="Cambria" w:cs="Cambria" w:eastAsia="Cambria" w:hAnsi="Cambria"/>
      <w:color w:val="1A1A1A"/>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pPr>
    <w:rPr>
      <w:rFonts w:ascii="Calibri" w:cs="Calibri" w:eastAsia="Calibri" w:hAnsi="Calibri"/>
      <w:b w:val="0"/>
      <w:i/>
      <w:color w:val="404040"/>
      <w:sz w:val="19"/>
    </w:rPr>
  </w:style>
  <w:style w:customStyle="1" w:styleId="TableCaption" w:type="paragraph">
    <w:name w:val="Table Caption"/>
    <w:basedOn w:val="Caption"/>
    <w:pPr>
      <w:keepNext/>
      <w:spacing w:after="240"/>
    </w:pPr>
    <w:rPr>
      <w:rFonts w:ascii="Calibri" w:cs="Calibri" w:eastAsia="Calibri" w:hAnsi="Calibri"/>
      <w:b w:val="0"/>
      <w:i/>
      <w:color w:val="404040"/>
      <w:sz w:val="19"/>
    </w:rPr>
  </w:style>
  <w:style w:customStyle="1" w:styleId="ImageCaption" w:type="paragraph">
    <w:name w:val="Image Caption"/>
    <w:basedOn w:val="Caption"/>
    <w:pPr>
      <w:spacing w:after="240"/>
      <w:jc w:val="center"/>
    </w:pPr>
    <w:rPr>
      <w:rFonts w:ascii="Calibri" w:cs="Calibri" w:eastAsia="Calibri" w:hAnsi="Calibri"/>
      <w:b w:val="0"/>
      <w:i/>
      <w:color w:val="40404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F3864"/>
      <w:sz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3" Type="http://schemas.openxmlformats.org/officeDocument/2006/relationships/image" Target="media/rId33.png"/><Relationship Id="rId40" Type="http://schemas.openxmlformats.org/officeDocument/2006/relationships/image" Target="media/rId40.png"/><Relationship Id="rId75" Type="http://schemas.openxmlformats.org/officeDocument/2006/relationships/image" Target="media/rId75.png"/><Relationship Id="rId36" Type="http://schemas.openxmlformats.org/officeDocument/2006/relationships/image" Target="media/rId36.png"/><Relationship Id="rId78" Type="http://schemas.openxmlformats.org/officeDocument/2006/relationships/image" Target="media/rId78.png"/><Relationship Id="rId53" Type="http://schemas.openxmlformats.org/officeDocument/2006/relationships/image" Target="media/rId53.png"/><Relationship Id="rId60" Type="http://schemas.openxmlformats.org/officeDocument/2006/relationships/image" Target="media/rId60.png"/><Relationship Id="rId45" Type="http://schemas.openxmlformats.org/officeDocument/2006/relationships/image" Target="media/rId45.png"/><Relationship Id="rId49" Type="http://schemas.openxmlformats.org/officeDocument/2006/relationships/image" Target="media/rId49.png"/><Relationship Id="rId56" Type="http://schemas.openxmlformats.org/officeDocument/2006/relationships/image" Target="media/rId5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Freier Markt, Regelrahmen oder direkter Eingriff?</dc:title>
  <dc:creator>Projekt Wirtschaftssimulation</dc:creator>
  <dc:language>de-DE</dc:language>
  <cp:keywords/>
  <dcterms:created xsi:type="dcterms:W3CDTF">2026-10-23T19:27:54Z</dcterms:created>
  <dcterms:modified xsi:type="dcterms:W3CDTF">2026-10-23T19:27:54Z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Die Arbeit vergleicht drei institutionelle Ordnungen in einem agentenbasierten Makromodell mit identischer Bevölkerung, Technologie und identischen Schocks: (A) freie Interaktion ohne Staat, gerechnet in einer Variante ohne und einer mit gesicherten Eigentumsrechten, (B) einen staatlichen Regelrahmen aus Vertragsdurchsetzung, Wettbewerbs- und Bankenaufsicht, Steuern und Arbeitslosenversicherung sowie (C) diesen Rahmen ergänzt um direkte Eingriffe in Preise, Löhne und Zinsen. Das Modell enthält Arbeits-, Güter- und Kreditmarkt mit endogener Geldschöpfung und eine exakt geschlossene Bankbilanz. Die Vergleichbarkeit wird durch einen gemeinsamen Modellkern, gemeinsame Zufallszahlen und gepaarte Differenzen über 30 Läufe je Regime sowie durch Sensitivitätsanalysen sichergestellt. In der Simulation erreicht Regime C die gleichmäßigste Einkommensverteilung und die geringste Inflationsvolatilität, erkauft dies aber mit dauerhafter Knappheit, fast vollständiger Kreditrationierung und der langsamsten Erholung nach einem Angebotsschock. B absorbiert den Schock am besten; A ohne Rechtsdurchsetzung ist instabil und neigt zu Bankenkrisen. Vor diesem Hintergrund wird die von Isabella Weber geprägte „Antifaschistische Wirtschaftspolitik“ eingeordnet: Ihr Ziel, Lebenshaltungskosten in Krisen zu stabilisieren, findet im Modell teilweise Unterstützung, breite Preisobergrenzen erzeugen jedoch dauerhafte Knappheit, und im Zusammenspiel mit einem preisindexierten Mindestlohn verzögern sie die Anpassung an Angebotsschocks erheblich – Kosten, die ihre Kritiker erwarten. Die Ergebnisse gelten nur innerhalb der stilisierten Modellannahmen.</vt:lpwstr>
  </property>
  <property fmtid="{D5CDD505-2E9C-101B-9397-08002B2CF9AE}" pid="3" name="abstract-title">
    <vt:lpwstr>Zusammenfassung</vt:lpwstr>
  </property>
  <property fmtid="{D5CDD505-2E9C-101B-9397-08002B2CF9AE}" pid="4" name="date">
    <vt:lpwstr>Oktober 2026</vt:lpwstr>
  </property>
  <property fmtid="{D5CDD505-2E9C-101B-9397-08002B2CF9AE}" pid="5" name="subtitle">
    <vt:lpwstr>Ein agentenbasierter Vergleich dreier Wirtschaftsordnungen mit Kreditmarkt – und eine Einordnung der „Antifaschistischen Wirtschaftspolitik“</vt:lpwstr>
  </property>
  <property fmtid="{D5CDD505-2E9C-101B-9397-08002B2CF9AE}" pid="6" name="toc-title">
    <vt:lpwstr>Inhalt</vt:lpwstr>
  </property>
</Properties>
</file>