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zvdmehi3b1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Part 4 – Feature Engineering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 a new feature: Programming Average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(Python + DB)/2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 a binary feature: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isAdult</w:t>
      </w:r>
      <w:r w:rsidDel="00000000" w:rsidR="00000000" w:rsidRPr="00000000">
        <w:rPr>
          <w:rtl w:val="0"/>
        </w:rPr>
        <w:t xml:space="preserve"> = 1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 &gt;= 25</w:t>
      </w:r>
      <w:r w:rsidDel="00000000" w:rsidR="00000000" w:rsidRPr="00000000">
        <w:rPr>
          <w:rtl w:val="0"/>
        </w:rPr>
        <w:t xml:space="preserve">, else 0.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Transform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studyHOURS</w:t>
      </w:r>
      <w:r w:rsidDel="00000000" w:rsidR="00000000" w:rsidRPr="00000000">
        <w:rPr>
          <w:rtl w:val="0"/>
        </w:rPr>
        <w:t xml:space="preserve"> into categories (Low / Medium / High).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Which engineered feature do you think would add the most predictive power to the model?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2ur90qqb1u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Part 5 – Feature Scaling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Detect Numeric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Apply Scaling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Option 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StandardScaler (mean=0, std=1) → good for SVM, Logistic Regression.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Option 2: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MinMaxScaler (range 0–1) → good for Neural Networks, KNN.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ba07f15rr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Part 6 – Encoding Categorical Data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Detect Categorical Columns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Handle Encoding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