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42F89C" w14:textId="7300CE9B" w:rsidR="00BB7F0B" w:rsidRPr="00BD22BC" w:rsidRDefault="0008038F">
      <w:pPr>
        <w:rPr>
          <w:rFonts w:asciiTheme="minorBidi" w:hAnsiTheme="minorBidi" w:cstheme="minorBidi"/>
          <w:szCs w:val="22"/>
        </w:rPr>
      </w:pPr>
      <w:bookmarkStart w:id="0" w:name="_Hlk166180345"/>
      <w:bookmarkEnd w:id="0"/>
      <w:r w:rsidRPr="00BD22BC">
        <w:rPr>
          <w:rFonts w:asciiTheme="minorBidi" w:hAnsiTheme="minorBidi" w:cstheme="minorBidi"/>
          <w:noProof/>
          <w:szCs w:val="22"/>
        </w:rPr>
        <w:drawing>
          <wp:anchor distT="0" distB="0" distL="114300" distR="114300" simplePos="0" relativeHeight="251658240" behindDoc="0" locked="0" layoutInCell="1" allowOverlap="1" wp14:anchorId="245B55B4" wp14:editId="57474278">
            <wp:simplePos x="0" y="0"/>
            <wp:positionH relativeFrom="column">
              <wp:posOffset>4365056</wp:posOffset>
            </wp:positionH>
            <wp:positionV relativeFrom="paragraph">
              <wp:posOffset>4813</wp:posOffset>
            </wp:positionV>
            <wp:extent cx="1906270" cy="966470"/>
            <wp:effectExtent l="0" t="0" r="0" b="0"/>
            <wp:wrapNone/>
            <wp:docPr id="1" name="Picture 1" descr="The International Monetary Fun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International Monetary Fund Log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6270" cy="966470"/>
                    </a:xfrm>
                    <a:prstGeom prst="rect">
                      <a:avLst/>
                    </a:prstGeom>
                    <a:noFill/>
                    <a:ln>
                      <a:noFill/>
                    </a:ln>
                  </pic:spPr>
                </pic:pic>
              </a:graphicData>
            </a:graphic>
            <wp14:sizeRelH relativeFrom="page">
              <wp14:pctWidth>0</wp14:pctWidth>
            </wp14:sizeRelH>
            <wp14:sizeRelV relativeFrom="page">
              <wp14:pctHeight>0</wp14:pctHeight>
            </wp14:sizeRelV>
          </wp:anchor>
        </w:drawing>
      </w:r>
      <w:r w:rsidR="00457720" w:rsidRPr="00BD22BC">
        <w:rPr>
          <w:rFonts w:asciiTheme="minorBidi" w:hAnsiTheme="minorBidi" w:cstheme="minorBidi"/>
          <w:noProof/>
          <w:szCs w:val="22"/>
        </w:rPr>
        <w:t xml:space="preserve"> </w:t>
      </w:r>
    </w:p>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8052"/>
      </w:tblGrid>
      <w:tr w:rsidR="00BB7F0B" w:rsidRPr="00BD22BC" w14:paraId="262DF8CF" w14:textId="77777777">
        <w:sdt>
          <w:sdtPr>
            <w:rPr>
              <w:rFonts w:ascii="Arial" w:hAnsi="Arial" w:cs="Arial"/>
              <w:color w:val="004A97"/>
              <w:sz w:val="36"/>
              <w:szCs w:val="36"/>
            </w:rPr>
            <w:alias w:val="Company"/>
            <w:id w:val="13406915"/>
            <w:placeholder>
              <w:docPart w:val="0A4FF1306DE74BDB88967281E87C0D35"/>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2348428E" w14:textId="2C52E4C7" w:rsidR="00BB7F0B" w:rsidRPr="00BD22BC" w:rsidRDefault="00B37D58">
                <w:pPr>
                  <w:pStyle w:val="NoSpacing"/>
                  <w:rPr>
                    <w:rFonts w:ascii="Arial" w:hAnsi="Arial" w:cs="Arial"/>
                    <w:color w:val="004A97"/>
                    <w:sz w:val="36"/>
                    <w:szCs w:val="36"/>
                  </w:rPr>
                </w:pPr>
                <w:r w:rsidRPr="00BD22BC">
                  <w:rPr>
                    <w:rFonts w:ascii="Arial" w:hAnsi="Arial" w:cs="Arial"/>
                    <w:color w:val="004A97"/>
                    <w:sz w:val="36"/>
                    <w:szCs w:val="36"/>
                  </w:rPr>
                  <w:t>MACROECONOMIC</w:t>
                </w:r>
                <w:r w:rsidR="00472682" w:rsidRPr="00BD22BC">
                  <w:rPr>
                    <w:rFonts w:ascii="Arial" w:hAnsi="Arial" w:cs="Arial"/>
                    <w:color w:val="004A97"/>
                    <w:sz w:val="36"/>
                    <w:szCs w:val="36"/>
                  </w:rPr>
                  <w:t xml:space="preserve"> POLICY COMMUNICATION</w:t>
                </w:r>
              </w:p>
            </w:tc>
          </w:sdtContent>
        </w:sdt>
      </w:tr>
      <w:tr w:rsidR="00BB7F0B" w:rsidRPr="00BD22BC" w14:paraId="6E8774F8" w14:textId="77777777">
        <w:tc>
          <w:tcPr>
            <w:tcW w:w="7672" w:type="dxa"/>
          </w:tcPr>
          <w:sdt>
            <w:sdtPr>
              <w:rPr>
                <w:rFonts w:ascii="Arial" w:eastAsiaTheme="majorEastAsia" w:hAnsi="Arial" w:cs="Arial"/>
                <w:color w:val="004A97"/>
                <w:sz w:val="36"/>
                <w:szCs w:val="36"/>
              </w:rPr>
              <w:alias w:val="Title"/>
              <w:id w:val="13406919"/>
              <w:placeholder>
                <w:docPart w:val="0BDDFD2CA1ED485596D3B1C764FF0008"/>
              </w:placeholder>
              <w:dataBinding w:prefixMappings="xmlns:ns0='http://schemas.openxmlformats.org/package/2006/metadata/core-properties' xmlns:ns1='http://purl.org/dc/elements/1.1/'" w:xpath="/ns0:coreProperties[1]/ns1:title[1]" w:storeItemID="{6C3C8BC8-F283-45AE-878A-BAB7291924A1}"/>
              <w:text/>
            </w:sdtPr>
            <w:sdtContent>
              <w:p w14:paraId="4CAEF205" w14:textId="22421B77" w:rsidR="00BB7F0B" w:rsidRPr="00BD22BC" w:rsidRDefault="00472682">
                <w:pPr>
                  <w:pStyle w:val="NoSpacing"/>
                  <w:spacing w:line="216" w:lineRule="auto"/>
                  <w:rPr>
                    <w:rFonts w:ascii="Arial" w:eastAsiaTheme="majorEastAsia" w:hAnsi="Arial" w:cs="Arial"/>
                    <w:color w:val="004A97"/>
                    <w:sz w:val="36"/>
                    <w:szCs w:val="36"/>
                  </w:rPr>
                </w:pPr>
                <w:r w:rsidRPr="00BD22BC">
                  <w:rPr>
                    <w:rFonts w:ascii="Arial" w:eastAsiaTheme="majorEastAsia" w:hAnsi="Arial" w:cs="Arial"/>
                    <w:color w:val="004A97"/>
                    <w:sz w:val="36"/>
                    <w:szCs w:val="36"/>
                  </w:rPr>
                  <w:t xml:space="preserve">Blended course: </w:t>
                </w:r>
                <w:r w:rsidR="00EB2ED4" w:rsidRPr="00BD22BC">
                  <w:rPr>
                    <w:rFonts w:ascii="Arial" w:eastAsiaTheme="majorEastAsia" w:hAnsi="Arial" w:cs="Arial"/>
                    <w:color w:val="004A97"/>
                    <w:sz w:val="36"/>
                    <w:szCs w:val="36"/>
                  </w:rPr>
                  <w:t>Self-paced content</w:t>
                </w:r>
              </w:p>
            </w:sdtContent>
          </w:sdt>
        </w:tc>
      </w:tr>
      <w:tr w:rsidR="00BB7F0B" w:rsidRPr="00BD22BC" w14:paraId="3EDCE15C" w14:textId="77777777">
        <w:sdt>
          <w:sdtPr>
            <w:rPr>
              <w:rFonts w:ascii="Arial" w:hAnsi="Arial" w:cs="Arial"/>
              <w:color w:val="004A97"/>
              <w:sz w:val="36"/>
              <w:szCs w:val="36"/>
            </w:rPr>
            <w:alias w:val="Subtitle"/>
            <w:id w:val="13406923"/>
            <w:placeholder>
              <w:docPart w:val="299751D2F5344C13A810AEAC1441C8BE"/>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5D9F2F0D" w14:textId="562D318C" w:rsidR="00BB7F0B" w:rsidRPr="00BD22BC" w:rsidRDefault="008F015F">
                <w:pPr>
                  <w:pStyle w:val="NoSpacing"/>
                  <w:rPr>
                    <w:rFonts w:ascii="Arial" w:hAnsi="Arial" w:cs="Arial"/>
                    <w:color w:val="004A97"/>
                    <w:sz w:val="36"/>
                    <w:szCs w:val="36"/>
                  </w:rPr>
                </w:pPr>
                <w:r w:rsidRPr="00BD22BC">
                  <w:rPr>
                    <w:rFonts w:ascii="Arial" w:hAnsi="Arial" w:cs="Arial"/>
                    <w:color w:val="004A97"/>
                    <w:sz w:val="36"/>
                    <w:szCs w:val="36"/>
                  </w:rPr>
                  <w:t>COURSE PLAN</w:t>
                </w:r>
                <w:r w:rsidR="00C6440B" w:rsidRPr="00BD22BC">
                  <w:rPr>
                    <w:rFonts w:ascii="Arial" w:hAnsi="Arial" w:cs="Arial"/>
                    <w:color w:val="004A97"/>
                    <w:sz w:val="36"/>
                    <w:szCs w:val="36"/>
                  </w:rPr>
                  <w:t xml:space="preserve"> </w:t>
                </w:r>
                <w:r w:rsidR="00F51FB3" w:rsidRPr="00BD22BC">
                  <w:rPr>
                    <w:rFonts w:ascii="Arial" w:hAnsi="Arial" w:cs="Arial"/>
                    <w:color w:val="004A97"/>
                    <w:sz w:val="36"/>
                    <w:szCs w:val="36"/>
                  </w:rPr>
                  <w:t xml:space="preserve">- </w:t>
                </w:r>
                <w:r w:rsidR="00472682" w:rsidRPr="00BD22BC">
                  <w:rPr>
                    <w:rFonts w:ascii="Arial" w:hAnsi="Arial" w:cs="Arial"/>
                    <w:color w:val="004A97"/>
                    <w:sz w:val="36"/>
                    <w:szCs w:val="36"/>
                  </w:rPr>
                  <w:t xml:space="preserve">MODULE </w:t>
                </w:r>
                <w:r w:rsidR="00741837" w:rsidRPr="00BD22BC">
                  <w:rPr>
                    <w:rFonts w:ascii="Arial" w:hAnsi="Arial" w:cs="Arial"/>
                    <w:color w:val="004A97"/>
                    <w:sz w:val="36"/>
                    <w:szCs w:val="36"/>
                  </w:rPr>
                  <w:t>4</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776"/>
      </w:tblGrid>
      <w:tr w:rsidR="00BB7F0B" w:rsidRPr="00BD22BC" w14:paraId="35575250" w14:textId="77777777" w:rsidTr="00457720">
        <w:tc>
          <w:tcPr>
            <w:tcW w:w="6943" w:type="dxa"/>
            <w:tcMar>
              <w:top w:w="216" w:type="dxa"/>
              <w:left w:w="115" w:type="dxa"/>
              <w:bottom w:w="216" w:type="dxa"/>
              <w:right w:w="115" w:type="dxa"/>
            </w:tcMar>
          </w:tcPr>
          <w:p w14:paraId="3ABE65E2" w14:textId="77777777" w:rsidR="00BB7F0B" w:rsidRPr="00BD22BC" w:rsidRDefault="00BB7F0B">
            <w:pPr>
              <w:pStyle w:val="NoSpacing"/>
              <w:rPr>
                <w:rFonts w:asciiTheme="minorBidi" w:hAnsiTheme="minorBidi"/>
                <w:color w:val="004A97"/>
              </w:rPr>
            </w:pPr>
          </w:p>
        </w:tc>
      </w:tr>
    </w:tbl>
    <w:p w14:paraId="57058355" w14:textId="4F37AF53" w:rsidR="00201BAE" w:rsidRPr="00BD22BC" w:rsidRDefault="00201BAE">
      <w:pPr>
        <w:spacing w:after="160" w:line="259" w:lineRule="auto"/>
        <w:rPr>
          <w:rFonts w:asciiTheme="minorBidi" w:hAnsiTheme="minorBidi" w:cstheme="minorBidi"/>
          <w:color w:val="004A97"/>
          <w:szCs w:val="22"/>
        </w:rPr>
      </w:pPr>
      <w:r w:rsidRPr="00BD22BC">
        <w:rPr>
          <w:rFonts w:asciiTheme="minorBidi" w:hAnsiTheme="minorBidi" w:cstheme="minorBidi"/>
          <w:color w:val="004A97"/>
          <w:szCs w:val="22"/>
        </w:rPr>
        <w:br w:type="page"/>
      </w:r>
    </w:p>
    <w:p w14:paraId="048BF1B9" w14:textId="77777777" w:rsidR="0008038F" w:rsidRPr="00BD22BC" w:rsidRDefault="00457720" w:rsidP="0098789F">
      <w:pPr>
        <w:pStyle w:val="TOCHeading"/>
        <w:jc w:val="center"/>
        <w:rPr>
          <w:rFonts w:asciiTheme="minorBidi" w:hAnsiTheme="minorBidi" w:cstheme="minorBidi"/>
          <w:color w:val="004A97"/>
          <w:sz w:val="22"/>
          <w:szCs w:val="22"/>
        </w:rPr>
      </w:pPr>
      <w:r w:rsidRPr="00BD22BC">
        <w:rPr>
          <w:rFonts w:asciiTheme="minorBidi" w:hAnsiTheme="minorBidi" w:cstheme="minorBidi"/>
          <w:color w:val="004A97"/>
          <w:sz w:val="22"/>
          <w:szCs w:val="22"/>
        </w:rPr>
        <w:lastRenderedPageBreak/>
        <w:t>I</w:t>
      </w:r>
    </w:p>
    <w:sdt>
      <w:sdtPr>
        <w:id w:val="1599473962"/>
        <w:docPartObj>
          <w:docPartGallery w:val="Table of Contents"/>
          <w:docPartUnique/>
        </w:docPartObj>
      </w:sdtPr>
      <w:sdtContent>
        <w:p w14:paraId="6B7B9E74" w14:textId="4569BD32" w:rsidR="0098789F" w:rsidRPr="00BD22BC" w:rsidRDefault="7B375F94" w:rsidP="7EEFCAA8">
          <w:pPr>
            <w:spacing w:line="276" w:lineRule="auto"/>
            <w:rPr>
              <w:rFonts w:asciiTheme="minorBidi" w:hAnsiTheme="minorBidi" w:cstheme="minorBidi"/>
              <w:b/>
              <w:bCs/>
              <w:highlight w:val="yellow"/>
            </w:rPr>
          </w:pPr>
          <w:r w:rsidRPr="7EEFCAA8">
            <w:rPr>
              <w:rFonts w:asciiTheme="minorBidi" w:hAnsiTheme="minorBidi" w:cstheme="minorBidi"/>
              <w:b/>
              <w:bCs/>
              <w:highlight w:val="yellow"/>
            </w:rPr>
            <w:t>TABLE OF CONTENTS</w:t>
          </w:r>
        </w:p>
        <w:p w14:paraId="459F5510" w14:textId="77777777" w:rsidR="0098789F" w:rsidRPr="00BD22BC" w:rsidRDefault="0098789F" w:rsidP="7EEFCAA8">
          <w:pPr>
            <w:rPr>
              <w:rFonts w:asciiTheme="minorBidi" w:hAnsiTheme="minorBidi" w:cstheme="minorBidi"/>
              <w:highlight w:val="yellow"/>
            </w:rPr>
          </w:pPr>
        </w:p>
        <w:p w14:paraId="14E0B863" w14:textId="78CB3577" w:rsidR="00D53209" w:rsidRPr="00BD22BC" w:rsidRDefault="7EEFCAA8" w:rsidP="7EEFCAA8">
          <w:pPr>
            <w:pStyle w:val="TOC1"/>
            <w:tabs>
              <w:tab w:val="right" w:leader="dot" w:pos="10065"/>
            </w:tabs>
            <w:rPr>
              <w:rStyle w:val="Hyperlink"/>
              <w:noProof/>
              <w:kern w:val="2"/>
              <w14:ligatures w14:val="standardContextual"/>
            </w:rPr>
          </w:pPr>
          <w:r>
            <w:fldChar w:fldCharType="begin"/>
          </w:r>
          <w:r>
            <w:instrText>TOC \o "1-3" \z \u \h</w:instrText>
          </w:r>
          <w:r>
            <w:fldChar w:fldCharType="separate"/>
          </w:r>
          <w:hyperlink w:anchor="_Toc240634916">
            <w:r w:rsidRPr="38638030">
              <w:rPr>
                <w:rStyle w:val="Hyperlink"/>
              </w:rPr>
              <w:t>MODULE 4: Policy Communication: Approaches, Techniques, and Tools</w:t>
            </w:r>
            <w:r>
              <w:tab/>
            </w:r>
            <w:r>
              <w:fldChar w:fldCharType="begin"/>
            </w:r>
            <w:r>
              <w:instrText>PAGEREF _Toc240634916 \h</w:instrText>
            </w:r>
            <w:r>
              <w:fldChar w:fldCharType="separate"/>
            </w:r>
            <w:r w:rsidRPr="38638030">
              <w:rPr>
                <w:rStyle w:val="Hyperlink"/>
              </w:rPr>
              <w:t>2</w:t>
            </w:r>
            <w:r>
              <w:fldChar w:fldCharType="end"/>
            </w:r>
          </w:hyperlink>
        </w:p>
        <w:p w14:paraId="0C0E5D79" w14:textId="6DE12021" w:rsidR="00D53209" w:rsidRPr="00BD22BC" w:rsidRDefault="00000000" w:rsidP="7EEFCAA8">
          <w:pPr>
            <w:pStyle w:val="TOC2"/>
            <w:tabs>
              <w:tab w:val="right" w:leader="dot" w:pos="10065"/>
            </w:tabs>
            <w:rPr>
              <w:rStyle w:val="Hyperlink"/>
              <w:noProof/>
              <w:kern w:val="2"/>
              <w14:ligatures w14:val="standardContextual"/>
            </w:rPr>
          </w:pPr>
          <w:hyperlink w:anchor="_Toc612940091">
            <w:r w:rsidR="7EEFCAA8" w:rsidRPr="38638030">
              <w:rPr>
                <w:rStyle w:val="Hyperlink"/>
              </w:rPr>
              <w:t>UNIT 0: Introduction to Module 4</w:t>
            </w:r>
            <w:r w:rsidR="7EEFCAA8">
              <w:tab/>
            </w:r>
            <w:r w:rsidR="7EEFCAA8">
              <w:fldChar w:fldCharType="begin"/>
            </w:r>
            <w:r w:rsidR="7EEFCAA8">
              <w:instrText>PAGEREF _Toc612940091 \h</w:instrText>
            </w:r>
            <w:r w:rsidR="7EEFCAA8">
              <w:fldChar w:fldCharType="separate"/>
            </w:r>
            <w:r w:rsidR="7EEFCAA8" w:rsidRPr="38638030">
              <w:rPr>
                <w:rStyle w:val="Hyperlink"/>
              </w:rPr>
              <w:t>3</w:t>
            </w:r>
            <w:r w:rsidR="7EEFCAA8">
              <w:fldChar w:fldCharType="end"/>
            </w:r>
          </w:hyperlink>
        </w:p>
        <w:p w14:paraId="1E24A494" w14:textId="07A0CB5E" w:rsidR="00D53209" w:rsidRPr="00BD22BC" w:rsidRDefault="00000000" w:rsidP="7EEFCAA8">
          <w:pPr>
            <w:pStyle w:val="TOC1"/>
            <w:tabs>
              <w:tab w:val="right" w:leader="dot" w:pos="10065"/>
            </w:tabs>
            <w:rPr>
              <w:rStyle w:val="Hyperlink"/>
              <w:noProof/>
              <w:kern w:val="2"/>
              <w14:ligatures w14:val="standardContextual"/>
            </w:rPr>
          </w:pPr>
          <w:hyperlink w:anchor="_Toc1810590221">
            <w:r w:rsidR="7EEFCAA8" w:rsidRPr="38638030">
              <w:rPr>
                <w:rStyle w:val="Hyperlink"/>
              </w:rPr>
              <w:t>SECTION 1: Effective communication strategy in practice</w:t>
            </w:r>
            <w:r w:rsidR="7EEFCAA8">
              <w:tab/>
            </w:r>
            <w:r w:rsidR="7EEFCAA8">
              <w:fldChar w:fldCharType="begin"/>
            </w:r>
            <w:r w:rsidR="7EEFCAA8">
              <w:instrText>PAGEREF _Toc1810590221 \h</w:instrText>
            </w:r>
            <w:r w:rsidR="7EEFCAA8">
              <w:fldChar w:fldCharType="separate"/>
            </w:r>
            <w:r w:rsidR="7EEFCAA8" w:rsidRPr="38638030">
              <w:rPr>
                <w:rStyle w:val="Hyperlink"/>
              </w:rPr>
              <w:t>3</w:t>
            </w:r>
            <w:r w:rsidR="7EEFCAA8">
              <w:fldChar w:fldCharType="end"/>
            </w:r>
          </w:hyperlink>
        </w:p>
        <w:p w14:paraId="7ECA8F63" w14:textId="63BBC36A" w:rsidR="00D53209" w:rsidRPr="00BD22BC" w:rsidRDefault="00000000" w:rsidP="7EEFCAA8">
          <w:pPr>
            <w:pStyle w:val="TOC2"/>
            <w:tabs>
              <w:tab w:val="right" w:leader="dot" w:pos="10065"/>
            </w:tabs>
            <w:rPr>
              <w:rStyle w:val="Hyperlink"/>
              <w:noProof/>
              <w:kern w:val="2"/>
              <w14:ligatures w14:val="standardContextual"/>
            </w:rPr>
          </w:pPr>
          <w:hyperlink w:anchor="_Toc544107406">
            <w:r w:rsidR="7EEFCAA8" w:rsidRPr="38638030">
              <w:rPr>
                <w:rStyle w:val="Hyperlink"/>
              </w:rPr>
              <w:t>UNIT 1.1: Main building blocks of a communication strategy</w:t>
            </w:r>
            <w:r w:rsidR="7EEFCAA8">
              <w:tab/>
            </w:r>
            <w:r w:rsidR="7EEFCAA8">
              <w:fldChar w:fldCharType="begin"/>
            </w:r>
            <w:r w:rsidR="7EEFCAA8">
              <w:instrText>PAGEREF _Toc544107406 \h</w:instrText>
            </w:r>
            <w:r w:rsidR="7EEFCAA8">
              <w:fldChar w:fldCharType="separate"/>
            </w:r>
            <w:r w:rsidR="7EEFCAA8" w:rsidRPr="38638030">
              <w:rPr>
                <w:rStyle w:val="Hyperlink"/>
              </w:rPr>
              <w:t>3</w:t>
            </w:r>
            <w:r w:rsidR="7EEFCAA8">
              <w:fldChar w:fldCharType="end"/>
            </w:r>
          </w:hyperlink>
        </w:p>
        <w:p w14:paraId="3BEBD010" w14:textId="2C050D45" w:rsidR="00D53209" w:rsidRPr="00BD22BC" w:rsidRDefault="00000000" w:rsidP="7EEFCAA8">
          <w:pPr>
            <w:pStyle w:val="TOC3"/>
            <w:tabs>
              <w:tab w:val="right" w:leader="dot" w:pos="10065"/>
            </w:tabs>
            <w:rPr>
              <w:rStyle w:val="Hyperlink"/>
              <w:noProof/>
              <w:kern w:val="2"/>
              <w14:ligatures w14:val="standardContextual"/>
            </w:rPr>
          </w:pPr>
          <w:hyperlink w:anchor="_Toc460159693">
            <w:r w:rsidR="7EEFCAA8" w:rsidRPr="38638030">
              <w:rPr>
                <w:rStyle w:val="Hyperlink"/>
              </w:rPr>
              <w:t>&lt;VIDEO 1.1&gt; "Designing an effective policy communication strategy” [word count: 402]</w:t>
            </w:r>
            <w:r w:rsidR="7EEFCAA8">
              <w:tab/>
            </w:r>
            <w:r w:rsidR="7EEFCAA8">
              <w:fldChar w:fldCharType="begin"/>
            </w:r>
            <w:r w:rsidR="7EEFCAA8">
              <w:instrText>PAGEREF _Toc460159693 \h</w:instrText>
            </w:r>
            <w:r w:rsidR="7EEFCAA8">
              <w:fldChar w:fldCharType="separate"/>
            </w:r>
            <w:r w:rsidR="7EEFCAA8" w:rsidRPr="38638030">
              <w:rPr>
                <w:rStyle w:val="Hyperlink"/>
              </w:rPr>
              <w:t>3</w:t>
            </w:r>
            <w:r w:rsidR="7EEFCAA8">
              <w:fldChar w:fldCharType="end"/>
            </w:r>
          </w:hyperlink>
        </w:p>
        <w:p w14:paraId="6099BC78" w14:textId="7D13052F" w:rsidR="00D53209" w:rsidRPr="00BD22BC" w:rsidRDefault="00000000" w:rsidP="7EEFCAA8">
          <w:pPr>
            <w:pStyle w:val="TOC2"/>
            <w:tabs>
              <w:tab w:val="right" w:leader="dot" w:pos="10065"/>
            </w:tabs>
            <w:rPr>
              <w:rStyle w:val="Hyperlink"/>
              <w:noProof/>
              <w:kern w:val="2"/>
              <w14:ligatures w14:val="standardContextual"/>
            </w:rPr>
          </w:pPr>
          <w:hyperlink w:anchor="_Toc2008032483">
            <w:r w:rsidR="7EEFCAA8" w:rsidRPr="38638030">
              <w:rPr>
                <w:rStyle w:val="Hyperlink"/>
              </w:rPr>
              <w:t>UNIT 1.2: Outline of a model communication strategy</w:t>
            </w:r>
            <w:r w:rsidR="7EEFCAA8">
              <w:tab/>
            </w:r>
            <w:r w:rsidR="7EEFCAA8">
              <w:fldChar w:fldCharType="begin"/>
            </w:r>
            <w:r w:rsidR="7EEFCAA8">
              <w:instrText>PAGEREF _Toc2008032483 \h</w:instrText>
            </w:r>
            <w:r w:rsidR="7EEFCAA8">
              <w:fldChar w:fldCharType="separate"/>
            </w:r>
            <w:r w:rsidR="7EEFCAA8" w:rsidRPr="38638030">
              <w:rPr>
                <w:rStyle w:val="Hyperlink"/>
              </w:rPr>
              <w:t>5</w:t>
            </w:r>
            <w:r w:rsidR="7EEFCAA8">
              <w:fldChar w:fldCharType="end"/>
            </w:r>
          </w:hyperlink>
        </w:p>
        <w:p w14:paraId="04E02C73" w14:textId="5DC0B599" w:rsidR="00D53209" w:rsidRPr="00BD22BC" w:rsidRDefault="00000000" w:rsidP="7EEFCAA8">
          <w:pPr>
            <w:pStyle w:val="TOC3"/>
            <w:tabs>
              <w:tab w:val="right" w:leader="dot" w:pos="10065"/>
            </w:tabs>
            <w:rPr>
              <w:rStyle w:val="Hyperlink"/>
              <w:noProof/>
              <w:kern w:val="2"/>
              <w14:ligatures w14:val="standardContextual"/>
            </w:rPr>
          </w:pPr>
          <w:hyperlink w:anchor="_Toc728529694">
            <w:r w:rsidR="7EEFCAA8" w:rsidRPr="38638030">
              <w:rPr>
                <w:rStyle w:val="Hyperlink"/>
              </w:rPr>
              <w:t>&lt;PDF #1 OR INTERACTIVE ACCORDION_DOCUMENTATION TOOL&gt;</w:t>
            </w:r>
            <w:r w:rsidR="7EEFCAA8">
              <w:tab/>
            </w:r>
            <w:r w:rsidR="7EEFCAA8">
              <w:fldChar w:fldCharType="begin"/>
            </w:r>
            <w:r w:rsidR="7EEFCAA8">
              <w:instrText>PAGEREF _Toc728529694 \h</w:instrText>
            </w:r>
            <w:r w:rsidR="7EEFCAA8">
              <w:fldChar w:fldCharType="separate"/>
            </w:r>
            <w:r w:rsidR="7EEFCAA8" w:rsidRPr="38638030">
              <w:rPr>
                <w:rStyle w:val="Hyperlink"/>
              </w:rPr>
              <w:t>5</w:t>
            </w:r>
            <w:r w:rsidR="7EEFCAA8">
              <w:fldChar w:fldCharType="end"/>
            </w:r>
          </w:hyperlink>
        </w:p>
        <w:p w14:paraId="2715FDFD" w14:textId="31EA6638" w:rsidR="00D53209" w:rsidRPr="00BD22BC" w:rsidRDefault="00000000" w:rsidP="7EEFCAA8">
          <w:pPr>
            <w:pStyle w:val="TOC2"/>
            <w:tabs>
              <w:tab w:val="right" w:leader="dot" w:pos="10065"/>
            </w:tabs>
            <w:rPr>
              <w:rStyle w:val="Hyperlink"/>
              <w:noProof/>
              <w:kern w:val="2"/>
              <w14:ligatures w14:val="standardContextual"/>
            </w:rPr>
          </w:pPr>
          <w:hyperlink w:anchor="_Toc1298556658">
            <w:r w:rsidR="7EEFCAA8" w:rsidRPr="38638030">
              <w:rPr>
                <w:rStyle w:val="Hyperlink"/>
              </w:rPr>
              <w:t>UNIT 1.3: Internal Guidelines Governing External Communication</w:t>
            </w:r>
            <w:r w:rsidR="7EEFCAA8">
              <w:tab/>
            </w:r>
            <w:r w:rsidR="7EEFCAA8">
              <w:fldChar w:fldCharType="begin"/>
            </w:r>
            <w:r w:rsidR="7EEFCAA8">
              <w:instrText>PAGEREF _Toc1298556658 \h</w:instrText>
            </w:r>
            <w:r w:rsidR="7EEFCAA8">
              <w:fldChar w:fldCharType="separate"/>
            </w:r>
            <w:r w:rsidR="7EEFCAA8" w:rsidRPr="38638030">
              <w:rPr>
                <w:rStyle w:val="Hyperlink"/>
              </w:rPr>
              <w:t>6</w:t>
            </w:r>
            <w:r w:rsidR="7EEFCAA8">
              <w:fldChar w:fldCharType="end"/>
            </w:r>
          </w:hyperlink>
        </w:p>
        <w:p w14:paraId="11BD8DF5" w14:textId="77C145FB" w:rsidR="00D53209" w:rsidRPr="00BD22BC" w:rsidRDefault="00000000" w:rsidP="7EEFCAA8">
          <w:pPr>
            <w:pStyle w:val="TOC3"/>
            <w:tabs>
              <w:tab w:val="right" w:leader="dot" w:pos="10065"/>
            </w:tabs>
            <w:rPr>
              <w:rStyle w:val="Hyperlink"/>
              <w:noProof/>
              <w:kern w:val="2"/>
              <w14:ligatures w14:val="standardContextual"/>
            </w:rPr>
          </w:pPr>
          <w:hyperlink w:anchor="_Toc267014161">
            <w:r w:rsidR="7EEFCAA8" w:rsidRPr="38638030">
              <w:rPr>
                <w:rStyle w:val="Hyperlink"/>
              </w:rPr>
              <w:t>&lt;VIDEO 1.2&gt; "Internal guidelines for external communication” [word count: 192]</w:t>
            </w:r>
            <w:r w:rsidR="7EEFCAA8">
              <w:tab/>
            </w:r>
            <w:r w:rsidR="7EEFCAA8">
              <w:fldChar w:fldCharType="begin"/>
            </w:r>
            <w:r w:rsidR="7EEFCAA8">
              <w:instrText>PAGEREF _Toc267014161 \h</w:instrText>
            </w:r>
            <w:r w:rsidR="7EEFCAA8">
              <w:fldChar w:fldCharType="separate"/>
            </w:r>
            <w:r w:rsidR="7EEFCAA8" w:rsidRPr="38638030">
              <w:rPr>
                <w:rStyle w:val="Hyperlink"/>
              </w:rPr>
              <w:t>6</w:t>
            </w:r>
            <w:r w:rsidR="7EEFCAA8">
              <w:fldChar w:fldCharType="end"/>
            </w:r>
          </w:hyperlink>
        </w:p>
        <w:p w14:paraId="2FFBA893" w14:textId="1C4811BE" w:rsidR="00D53209" w:rsidRPr="00BD22BC" w:rsidRDefault="00000000" w:rsidP="7EEFCAA8">
          <w:pPr>
            <w:pStyle w:val="TOC3"/>
            <w:tabs>
              <w:tab w:val="right" w:leader="dot" w:pos="10065"/>
            </w:tabs>
            <w:rPr>
              <w:rStyle w:val="Hyperlink"/>
              <w:noProof/>
              <w:kern w:val="2"/>
              <w14:ligatures w14:val="standardContextual"/>
            </w:rPr>
          </w:pPr>
          <w:hyperlink w:anchor="_Toc1947236238">
            <w:r w:rsidR="7EEFCAA8" w:rsidRPr="38638030">
              <w:rPr>
                <w:rStyle w:val="Hyperlink"/>
              </w:rPr>
              <w:t>&lt;PDF #3&gt;</w:t>
            </w:r>
            <w:r w:rsidR="7EEFCAA8">
              <w:tab/>
            </w:r>
            <w:r w:rsidR="7EEFCAA8">
              <w:fldChar w:fldCharType="begin"/>
            </w:r>
            <w:r w:rsidR="7EEFCAA8">
              <w:instrText>PAGEREF _Toc1947236238 \h</w:instrText>
            </w:r>
            <w:r w:rsidR="7EEFCAA8">
              <w:fldChar w:fldCharType="separate"/>
            </w:r>
            <w:r w:rsidR="7EEFCAA8" w:rsidRPr="38638030">
              <w:rPr>
                <w:rStyle w:val="Hyperlink"/>
              </w:rPr>
              <w:t>7</w:t>
            </w:r>
            <w:r w:rsidR="7EEFCAA8">
              <w:fldChar w:fldCharType="end"/>
            </w:r>
          </w:hyperlink>
        </w:p>
        <w:p w14:paraId="647EEE8F" w14:textId="2B36F912" w:rsidR="00D53209" w:rsidRPr="00BD22BC" w:rsidRDefault="00000000" w:rsidP="7EEFCAA8">
          <w:pPr>
            <w:pStyle w:val="TOC3"/>
            <w:tabs>
              <w:tab w:val="right" w:leader="dot" w:pos="10065"/>
            </w:tabs>
            <w:rPr>
              <w:rStyle w:val="Hyperlink"/>
              <w:noProof/>
              <w:kern w:val="2"/>
              <w14:ligatures w14:val="standardContextual"/>
            </w:rPr>
          </w:pPr>
          <w:hyperlink w:anchor="_Toc1183588297">
            <w:r w:rsidR="7EEFCAA8" w:rsidRPr="38638030">
              <w:rPr>
                <w:rStyle w:val="Hyperlink"/>
              </w:rPr>
              <w:t>&lt;PDF #4&gt;</w:t>
            </w:r>
            <w:r w:rsidR="7EEFCAA8">
              <w:tab/>
            </w:r>
            <w:r w:rsidR="7EEFCAA8">
              <w:fldChar w:fldCharType="begin"/>
            </w:r>
            <w:r w:rsidR="7EEFCAA8">
              <w:instrText>PAGEREF _Toc1183588297 \h</w:instrText>
            </w:r>
            <w:r w:rsidR="7EEFCAA8">
              <w:fldChar w:fldCharType="separate"/>
            </w:r>
            <w:r w:rsidR="7EEFCAA8" w:rsidRPr="38638030">
              <w:rPr>
                <w:rStyle w:val="Hyperlink"/>
              </w:rPr>
              <w:t>7</w:t>
            </w:r>
            <w:r w:rsidR="7EEFCAA8">
              <w:fldChar w:fldCharType="end"/>
            </w:r>
          </w:hyperlink>
        </w:p>
        <w:p w14:paraId="7492D803" w14:textId="25D5A47D" w:rsidR="00D53209" w:rsidRPr="00BD22BC" w:rsidRDefault="00000000" w:rsidP="7EEFCAA8">
          <w:pPr>
            <w:pStyle w:val="TOC1"/>
            <w:tabs>
              <w:tab w:val="right" w:leader="dot" w:pos="10065"/>
            </w:tabs>
            <w:rPr>
              <w:rStyle w:val="Hyperlink"/>
              <w:noProof/>
              <w:kern w:val="2"/>
              <w14:ligatures w14:val="standardContextual"/>
            </w:rPr>
          </w:pPr>
          <w:hyperlink w:anchor="_Toc2005001431">
            <w:r w:rsidR="7EEFCAA8" w:rsidRPr="38638030">
              <w:rPr>
                <w:rStyle w:val="Hyperlink"/>
              </w:rPr>
              <w:t>SECTION 2: Communicating decisions and forecasts</w:t>
            </w:r>
            <w:r w:rsidR="7EEFCAA8">
              <w:tab/>
            </w:r>
            <w:r w:rsidR="7EEFCAA8">
              <w:fldChar w:fldCharType="begin"/>
            </w:r>
            <w:r w:rsidR="7EEFCAA8">
              <w:instrText>PAGEREF _Toc2005001431 \h</w:instrText>
            </w:r>
            <w:r w:rsidR="7EEFCAA8">
              <w:fldChar w:fldCharType="separate"/>
            </w:r>
            <w:r w:rsidR="7EEFCAA8" w:rsidRPr="38638030">
              <w:rPr>
                <w:rStyle w:val="Hyperlink"/>
              </w:rPr>
              <w:t>10</w:t>
            </w:r>
            <w:r w:rsidR="7EEFCAA8">
              <w:fldChar w:fldCharType="end"/>
            </w:r>
          </w:hyperlink>
        </w:p>
        <w:p w14:paraId="4075D2CA" w14:textId="33020887" w:rsidR="00D53209" w:rsidRPr="00BD22BC" w:rsidRDefault="00000000" w:rsidP="7EEFCAA8">
          <w:pPr>
            <w:pStyle w:val="TOC2"/>
            <w:tabs>
              <w:tab w:val="right" w:leader="dot" w:pos="10065"/>
            </w:tabs>
            <w:rPr>
              <w:rStyle w:val="Hyperlink"/>
              <w:noProof/>
              <w:kern w:val="2"/>
              <w14:ligatures w14:val="standardContextual"/>
            </w:rPr>
          </w:pPr>
          <w:hyperlink w:anchor="_Toc1819647609">
            <w:r w:rsidR="7EEFCAA8" w:rsidRPr="38638030">
              <w:rPr>
                <w:rStyle w:val="Hyperlink"/>
              </w:rPr>
              <w:t>UNIT 2.1: Regular communication around policy</w:t>
            </w:r>
            <w:r w:rsidR="7EEFCAA8">
              <w:tab/>
            </w:r>
            <w:r w:rsidR="7EEFCAA8">
              <w:fldChar w:fldCharType="begin"/>
            </w:r>
            <w:r w:rsidR="7EEFCAA8">
              <w:instrText>PAGEREF _Toc1819647609 \h</w:instrText>
            </w:r>
            <w:r w:rsidR="7EEFCAA8">
              <w:fldChar w:fldCharType="separate"/>
            </w:r>
            <w:r w:rsidR="7EEFCAA8" w:rsidRPr="38638030">
              <w:rPr>
                <w:rStyle w:val="Hyperlink"/>
              </w:rPr>
              <w:t>11</w:t>
            </w:r>
            <w:r w:rsidR="7EEFCAA8">
              <w:fldChar w:fldCharType="end"/>
            </w:r>
          </w:hyperlink>
        </w:p>
        <w:p w14:paraId="03247836" w14:textId="3C59C672" w:rsidR="00D53209" w:rsidRPr="00BD22BC" w:rsidRDefault="00000000" w:rsidP="7EEFCAA8">
          <w:pPr>
            <w:pStyle w:val="TOC3"/>
            <w:tabs>
              <w:tab w:val="right" w:leader="dot" w:pos="10065"/>
            </w:tabs>
            <w:rPr>
              <w:rStyle w:val="Hyperlink"/>
              <w:noProof/>
              <w:kern w:val="2"/>
              <w14:ligatures w14:val="standardContextual"/>
            </w:rPr>
          </w:pPr>
          <w:hyperlink w:anchor="_Toc726640875">
            <w:r w:rsidR="7EEFCAA8" w:rsidRPr="38638030">
              <w:rPr>
                <w:rStyle w:val="Hyperlink"/>
              </w:rPr>
              <w:t>&lt;VIDEO 2.1&gt; "Elements of a Communication Routine” [word count: 405]</w:t>
            </w:r>
            <w:r w:rsidR="7EEFCAA8">
              <w:tab/>
            </w:r>
            <w:r w:rsidR="7EEFCAA8">
              <w:fldChar w:fldCharType="begin"/>
            </w:r>
            <w:r w:rsidR="7EEFCAA8">
              <w:instrText>PAGEREF _Toc726640875 \h</w:instrText>
            </w:r>
            <w:r w:rsidR="7EEFCAA8">
              <w:fldChar w:fldCharType="separate"/>
            </w:r>
            <w:r w:rsidR="7EEFCAA8" w:rsidRPr="38638030">
              <w:rPr>
                <w:rStyle w:val="Hyperlink"/>
              </w:rPr>
              <w:t>11</w:t>
            </w:r>
            <w:r w:rsidR="7EEFCAA8">
              <w:fldChar w:fldCharType="end"/>
            </w:r>
          </w:hyperlink>
        </w:p>
        <w:p w14:paraId="29246784" w14:textId="14F0FDE2" w:rsidR="00D53209" w:rsidRPr="00BD22BC" w:rsidRDefault="00000000" w:rsidP="7EEFCAA8">
          <w:pPr>
            <w:pStyle w:val="TOC2"/>
            <w:tabs>
              <w:tab w:val="right" w:leader="dot" w:pos="10065"/>
            </w:tabs>
            <w:rPr>
              <w:rStyle w:val="Hyperlink"/>
              <w:noProof/>
              <w:kern w:val="2"/>
              <w14:ligatures w14:val="standardContextual"/>
            </w:rPr>
          </w:pPr>
          <w:hyperlink w:anchor="_Toc561499768">
            <w:r w:rsidR="7EEFCAA8" w:rsidRPr="38638030">
              <w:rPr>
                <w:rStyle w:val="Hyperlink"/>
              </w:rPr>
              <w:t>UNIT 2.2: Macroeconomic forecasts: Publication and ownership</w:t>
            </w:r>
            <w:r w:rsidR="7EEFCAA8">
              <w:tab/>
            </w:r>
            <w:r w:rsidR="7EEFCAA8">
              <w:fldChar w:fldCharType="begin"/>
            </w:r>
            <w:r w:rsidR="7EEFCAA8">
              <w:instrText>PAGEREF _Toc561499768 \h</w:instrText>
            </w:r>
            <w:r w:rsidR="7EEFCAA8">
              <w:fldChar w:fldCharType="separate"/>
            </w:r>
            <w:r w:rsidR="7EEFCAA8" w:rsidRPr="38638030">
              <w:rPr>
                <w:rStyle w:val="Hyperlink"/>
              </w:rPr>
              <w:t>13</w:t>
            </w:r>
            <w:r w:rsidR="7EEFCAA8">
              <w:fldChar w:fldCharType="end"/>
            </w:r>
          </w:hyperlink>
        </w:p>
        <w:p w14:paraId="74A3F9C3" w14:textId="5BC4CB55" w:rsidR="00D53209" w:rsidRPr="00BD22BC" w:rsidRDefault="00000000" w:rsidP="7EEFCAA8">
          <w:pPr>
            <w:pStyle w:val="TOC3"/>
            <w:tabs>
              <w:tab w:val="right" w:leader="dot" w:pos="10065"/>
            </w:tabs>
            <w:rPr>
              <w:rStyle w:val="Hyperlink"/>
              <w:noProof/>
              <w:kern w:val="2"/>
              <w14:ligatures w14:val="standardContextual"/>
            </w:rPr>
          </w:pPr>
          <w:hyperlink w:anchor="_Toc663396942">
            <w:r w:rsidR="7EEFCAA8" w:rsidRPr="38638030">
              <w:rPr>
                <w:rStyle w:val="Hyperlink"/>
              </w:rPr>
              <w:t>&lt;PDF #5&gt;</w:t>
            </w:r>
            <w:r w:rsidR="7EEFCAA8">
              <w:tab/>
            </w:r>
            <w:r w:rsidR="7EEFCAA8">
              <w:fldChar w:fldCharType="begin"/>
            </w:r>
            <w:r w:rsidR="7EEFCAA8">
              <w:instrText>PAGEREF _Toc663396942 \h</w:instrText>
            </w:r>
            <w:r w:rsidR="7EEFCAA8">
              <w:fldChar w:fldCharType="separate"/>
            </w:r>
            <w:r w:rsidR="7EEFCAA8" w:rsidRPr="38638030">
              <w:rPr>
                <w:rStyle w:val="Hyperlink"/>
              </w:rPr>
              <w:t>14</w:t>
            </w:r>
            <w:r w:rsidR="7EEFCAA8">
              <w:fldChar w:fldCharType="end"/>
            </w:r>
          </w:hyperlink>
        </w:p>
        <w:p w14:paraId="51B19145" w14:textId="537E406C" w:rsidR="00D53209" w:rsidRPr="00BD22BC" w:rsidRDefault="00000000" w:rsidP="7EEFCAA8">
          <w:pPr>
            <w:pStyle w:val="TOC2"/>
            <w:tabs>
              <w:tab w:val="right" w:leader="dot" w:pos="10065"/>
            </w:tabs>
            <w:rPr>
              <w:rStyle w:val="Hyperlink"/>
              <w:noProof/>
              <w:kern w:val="2"/>
              <w14:ligatures w14:val="standardContextual"/>
            </w:rPr>
          </w:pPr>
          <w:hyperlink w:anchor="_Toc1743901479">
            <w:r w:rsidR="7EEFCAA8" w:rsidRPr="38638030">
              <w:rPr>
                <w:rStyle w:val="Hyperlink"/>
              </w:rPr>
              <w:t>UNIT 2.3: Communication Routines: “Drip feed” vs “Dump all”</w:t>
            </w:r>
            <w:r w:rsidR="7EEFCAA8">
              <w:tab/>
            </w:r>
            <w:r w:rsidR="7EEFCAA8">
              <w:fldChar w:fldCharType="begin"/>
            </w:r>
            <w:r w:rsidR="7EEFCAA8">
              <w:instrText>PAGEREF _Toc1743901479 \h</w:instrText>
            </w:r>
            <w:r w:rsidR="7EEFCAA8">
              <w:fldChar w:fldCharType="separate"/>
            </w:r>
            <w:r w:rsidR="7EEFCAA8" w:rsidRPr="38638030">
              <w:rPr>
                <w:rStyle w:val="Hyperlink"/>
              </w:rPr>
              <w:t>16</w:t>
            </w:r>
            <w:r w:rsidR="7EEFCAA8">
              <w:fldChar w:fldCharType="end"/>
            </w:r>
          </w:hyperlink>
        </w:p>
        <w:p w14:paraId="241EDF68" w14:textId="5B8A2EC0" w:rsidR="00D53209" w:rsidRPr="00BD22BC" w:rsidRDefault="00000000" w:rsidP="7EEFCAA8">
          <w:pPr>
            <w:pStyle w:val="TOC3"/>
            <w:tabs>
              <w:tab w:val="right" w:leader="dot" w:pos="10065"/>
            </w:tabs>
            <w:rPr>
              <w:rStyle w:val="Hyperlink"/>
              <w:noProof/>
              <w:kern w:val="2"/>
              <w14:ligatures w14:val="standardContextual"/>
            </w:rPr>
          </w:pPr>
          <w:hyperlink w:anchor="_Toc655133495">
            <w:r w:rsidR="7EEFCAA8" w:rsidRPr="38638030">
              <w:rPr>
                <w:rStyle w:val="Hyperlink"/>
              </w:rPr>
              <w:t>&lt;PDF #6&gt;</w:t>
            </w:r>
            <w:r w:rsidR="7EEFCAA8">
              <w:tab/>
            </w:r>
            <w:r w:rsidR="7EEFCAA8">
              <w:fldChar w:fldCharType="begin"/>
            </w:r>
            <w:r w:rsidR="7EEFCAA8">
              <w:instrText>PAGEREF _Toc655133495 \h</w:instrText>
            </w:r>
            <w:r w:rsidR="7EEFCAA8">
              <w:fldChar w:fldCharType="separate"/>
            </w:r>
            <w:r w:rsidR="7EEFCAA8" w:rsidRPr="38638030">
              <w:rPr>
                <w:rStyle w:val="Hyperlink"/>
              </w:rPr>
              <w:t>17</w:t>
            </w:r>
            <w:r w:rsidR="7EEFCAA8">
              <w:fldChar w:fldCharType="end"/>
            </w:r>
          </w:hyperlink>
        </w:p>
        <w:p w14:paraId="4F6D5C5E" w14:textId="5FFADDF5" w:rsidR="00D53209" w:rsidRPr="00BD22BC" w:rsidRDefault="00000000" w:rsidP="7EEFCAA8">
          <w:pPr>
            <w:pStyle w:val="TOC2"/>
            <w:tabs>
              <w:tab w:val="right" w:leader="dot" w:pos="10065"/>
            </w:tabs>
            <w:rPr>
              <w:rStyle w:val="Hyperlink"/>
              <w:noProof/>
              <w:kern w:val="2"/>
              <w14:ligatures w14:val="standardContextual"/>
            </w:rPr>
          </w:pPr>
          <w:hyperlink w:anchor="_Toc1499086476">
            <w:r w:rsidR="7EEFCAA8" w:rsidRPr="38638030">
              <w:rPr>
                <w:rStyle w:val="Hyperlink"/>
              </w:rPr>
              <w:t>UNIT 2.4: Standard Policy Communication Toolkit</w:t>
            </w:r>
            <w:r w:rsidR="7EEFCAA8">
              <w:tab/>
            </w:r>
            <w:r w:rsidR="7EEFCAA8">
              <w:fldChar w:fldCharType="begin"/>
            </w:r>
            <w:r w:rsidR="7EEFCAA8">
              <w:instrText>PAGEREF _Toc1499086476 \h</w:instrText>
            </w:r>
            <w:r w:rsidR="7EEFCAA8">
              <w:fldChar w:fldCharType="separate"/>
            </w:r>
            <w:r w:rsidR="7EEFCAA8" w:rsidRPr="38638030">
              <w:rPr>
                <w:rStyle w:val="Hyperlink"/>
              </w:rPr>
              <w:t>21</w:t>
            </w:r>
            <w:r w:rsidR="7EEFCAA8">
              <w:fldChar w:fldCharType="end"/>
            </w:r>
          </w:hyperlink>
        </w:p>
        <w:p w14:paraId="317D55D8" w14:textId="5A3D680B" w:rsidR="00D53209" w:rsidRPr="00BD22BC" w:rsidRDefault="00000000" w:rsidP="7EEFCAA8">
          <w:pPr>
            <w:pStyle w:val="TOC3"/>
            <w:tabs>
              <w:tab w:val="right" w:leader="dot" w:pos="10065"/>
            </w:tabs>
            <w:rPr>
              <w:rStyle w:val="Hyperlink"/>
              <w:noProof/>
              <w:kern w:val="2"/>
              <w14:ligatures w14:val="standardContextual"/>
            </w:rPr>
          </w:pPr>
          <w:hyperlink w:anchor="_Toc518879077">
            <w:r w:rsidR="7EEFCAA8" w:rsidRPr="38638030">
              <w:rPr>
                <w:rStyle w:val="Hyperlink"/>
              </w:rPr>
              <w:t>&lt;VIDEO 2.4&gt; "Tools and techniques for policy communication” [word count: 326]</w:t>
            </w:r>
            <w:r w:rsidR="7EEFCAA8">
              <w:tab/>
            </w:r>
            <w:r w:rsidR="7EEFCAA8">
              <w:fldChar w:fldCharType="begin"/>
            </w:r>
            <w:r w:rsidR="7EEFCAA8">
              <w:instrText>PAGEREF _Toc518879077 \h</w:instrText>
            </w:r>
            <w:r w:rsidR="7EEFCAA8">
              <w:fldChar w:fldCharType="separate"/>
            </w:r>
            <w:r w:rsidR="7EEFCAA8" w:rsidRPr="38638030">
              <w:rPr>
                <w:rStyle w:val="Hyperlink"/>
              </w:rPr>
              <w:t>22</w:t>
            </w:r>
            <w:r w:rsidR="7EEFCAA8">
              <w:fldChar w:fldCharType="end"/>
            </w:r>
          </w:hyperlink>
        </w:p>
        <w:p w14:paraId="30531530" w14:textId="4AEE8FD5" w:rsidR="00D53209" w:rsidRPr="00BD22BC" w:rsidRDefault="00000000" w:rsidP="7EEFCAA8">
          <w:pPr>
            <w:pStyle w:val="TOC3"/>
            <w:tabs>
              <w:tab w:val="right" w:leader="dot" w:pos="10065"/>
            </w:tabs>
            <w:rPr>
              <w:rStyle w:val="Hyperlink"/>
              <w:noProof/>
              <w:kern w:val="2"/>
              <w14:ligatures w14:val="standardContextual"/>
            </w:rPr>
          </w:pPr>
          <w:hyperlink w:anchor="_Toc982414065">
            <w:r w:rsidR="7EEFCAA8" w:rsidRPr="38638030">
              <w:rPr>
                <w:rStyle w:val="Hyperlink"/>
              </w:rPr>
              <w:t>&lt;PDF #7&gt;</w:t>
            </w:r>
            <w:r w:rsidR="7EEFCAA8">
              <w:tab/>
            </w:r>
            <w:r w:rsidR="7EEFCAA8">
              <w:fldChar w:fldCharType="begin"/>
            </w:r>
            <w:r w:rsidR="7EEFCAA8">
              <w:instrText>PAGEREF _Toc982414065 \h</w:instrText>
            </w:r>
            <w:r w:rsidR="7EEFCAA8">
              <w:fldChar w:fldCharType="separate"/>
            </w:r>
            <w:r w:rsidR="7EEFCAA8" w:rsidRPr="38638030">
              <w:rPr>
                <w:rStyle w:val="Hyperlink"/>
              </w:rPr>
              <w:t>24</w:t>
            </w:r>
            <w:r w:rsidR="7EEFCAA8">
              <w:fldChar w:fldCharType="end"/>
            </w:r>
          </w:hyperlink>
        </w:p>
        <w:p w14:paraId="7E60A47B" w14:textId="68934A85" w:rsidR="00D53209" w:rsidRPr="00BD22BC" w:rsidRDefault="00000000" w:rsidP="7EEFCAA8">
          <w:pPr>
            <w:pStyle w:val="TOC1"/>
            <w:tabs>
              <w:tab w:val="right" w:leader="dot" w:pos="10065"/>
            </w:tabs>
            <w:rPr>
              <w:rStyle w:val="Hyperlink"/>
              <w:noProof/>
              <w:kern w:val="2"/>
              <w14:ligatures w14:val="standardContextual"/>
            </w:rPr>
          </w:pPr>
          <w:hyperlink w:anchor="_Toc798627358">
            <w:r w:rsidR="7EEFCAA8" w:rsidRPr="38638030">
              <w:rPr>
                <w:rStyle w:val="Hyperlink"/>
              </w:rPr>
              <w:t>SECTION 3: Who communicates and to whom?</w:t>
            </w:r>
            <w:r w:rsidR="7EEFCAA8">
              <w:tab/>
            </w:r>
            <w:r w:rsidR="7EEFCAA8">
              <w:fldChar w:fldCharType="begin"/>
            </w:r>
            <w:r w:rsidR="7EEFCAA8">
              <w:instrText>PAGEREF _Toc798627358 \h</w:instrText>
            </w:r>
            <w:r w:rsidR="7EEFCAA8">
              <w:fldChar w:fldCharType="separate"/>
            </w:r>
            <w:r w:rsidR="7EEFCAA8" w:rsidRPr="38638030">
              <w:rPr>
                <w:rStyle w:val="Hyperlink"/>
              </w:rPr>
              <w:t>26</w:t>
            </w:r>
            <w:r w:rsidR="7EEFCAA8">
              <w:fldChar w:fldCharType="end"/>
            </w:r>
          </w:hyperlink>
        </w:p>
        <w:p w14:paraId="5C92FEEA" w14:textId="71B9737F" w:rsidR="00D53209" w:rsidRPr="00BD22BC" w:rsidRDefault="00000000" w:rsidP="7EEFCAA8">
          <w:pPr>
            <w:pStyle w:val="TOC2"/>
            <w:tabs>
              <w:tab w:val="right" w:leader="dot" w:pos="10065"/>
            </w:tabs>
            <w:rPr>
              <w:rStyle w:val="Hyperlink"/>
              <w:noProof/>
              <w:kern w:val="2"/>
              <w14:ligatures w14:val="standardContextual"/>
            </w:rPr>
          </w:pPr>
          <w:hyperlink w:anchor="_Toc1212325810">
            <w:r w:rsidR="7EEFCAA8" w:rsidRPr="38638030">
              <w:rPr>
                <w:rStyle w:val="Hyperlink"/>
              </w:rPr>
              <w:t>UNIT 3.1: Foundations of a communication function</w:t>
            </w:r>
            <w:r w:rsidR="7EEFCAA8">
              <w:tab/>
            </w:r>
            <w:r w:rsidR="7EEFCAA8">
              <w:fldChar w:fldCharType="begin"/>
            </w:r>
            <w:r w:rsidR="7EEFCAA8">
              <w:instrText>PAGEREF _Toc1212325810 \h</w:instrText>
            </w:r>
            <w:r w:rsidR="7EEFCAA8">
              <w:fldChar w:fldCharType="separate"/>
            </w:r>
            <w:r w:rsidR="7EEFCAA8" w:rsidRPr="38638030">
              <w:rPr>
                <w:rStyle w:val="Hyperlink"/>
              </w:rPr>
              <w:t>27</w:t>
            </w:r>
            <w:r w:rsidR="7EEFCAA8">
              <w:fldChar w:fldCharType="end"/>
            </w:r>
          </w:hyperlink>
        </w:p>
        <w:p w14:paraId="0E4A36FF" w14:textId="5D314CEC" w:rsidR="00D53209" w:rsidRPr="00BD22BC" w:rsidRDefault="00000000" w:rsidP="7EEFCAA8">
          <w:pPr>
            <w:pStyle w:val="TOC3"/>
            <w:tabs>
              <w:tab w:val="right" w:leader="dot" w:pos="10065"/>
            </w:tabs>
            <w:rPr>
              <w:rStyle w:val="Hyperlink"/>
              <w:noProof/>
              <w:kern w:val="2"/>
              <w14:ligatures w14:val="standardContextual"/>
            </w:rPr>
          </w:pPr>
          <w:hyperlink w:anchor="_Toc1664164982">
            <w:r w:rsidR="7EEFCAA8" w:rsidRPr="38638030">
              <w:rPr>
                <w:rStyle w:val="Hyperlink"/>
              </w:rPr>
              <w:t>&lt;PDF #8&gt;</w:t>
            </w:r>
            <w:r w:rsidR="7EEFCAA8">
              <w:tab/>
            </w:r>
            <w:r w:rsidR="7EEFCAA8">
              <w:fldChar w:fldCharType="begin"/>
            </w:r>
            <w:r w:rsidR="7EEFCAA8">
              <w:instrText>PAGEREF _Toc1664164982 \h</w:instrText>
            </w:r>
            <w:r w:rsidR="7EEFCAA8">
              <w:fldChar w:fldCharType="separate"/>
            </w:r>
            <w:r w:rsidR="7EEFCAA8" w:rsidRPr="38638030">
              <w:rPr>
                <w:rStyle w:val="Hyperlink"/>
              </w:rPr>
              <w:t>27</w:t>
            </w:r>
            <w:r w:rsidR="7EEFCAA8">
              <w:fldChar w:fldCharType="end"/>
            </w:r>
          </w:hyperlink>
        </w:p>
        <w:p w14:paraId="502C7BE6" w14:textId="4FE4C9A7" w:rsidR="00D53209" w:rsidRPr="00BD22BC" w:rsidRDefault="00000000" w:rsidP="7EEFCAA8">
          <w:pPr>
            <w:pStyle w:val="TOC2"/>
            <w:tabs>
              <w:tab w:val="right" w:leader="dot" w:pos="10065"/>
            </w:tabs>
            <w:rPr>
              <w:rStyle w:val="Hyperlink"/>
              <w:noProof/>
              <w:kern w:val="2"/>
              <w14:ligatures w14:val="standardContextual"/>
            </w:rPr>
          </w:pPr>
          <w:hyperlink w:anchor="_Toc1046054624">
            <w:r w:rsidR="7EEFCAA8" w:rsidRPr="38638030">
              <w:rPr>
                <w:rStyle w:val="Hyperlink"/>
              </w:rPr>
              <w:t>UNIT 3.2: Organization of a communication function</w:t>
            </w:r>
            <w:r w:rsidR="7EEFCAA8">
              <w:tab/>
            </w:r>
            <w:r w:rsidR="7EEFCAA8">
              <w:fldChar w:fldCharType="begin"/>
            </w:r>
            <w:r w:rsidR="7EEFCAA8">
              <w:instrText>PAGEREF _Toc1046054624 \h</w:instrText>
            </w:r>
            <w:r w:rsidR="7EEFCAA8">
              <w:fldChar w:fldCharType="separate"/>
            </w:r>
            <w:r w:rsidR="7EEFCAA8" w:rsidRPr="38638030">
              <w:rPr>
                <w:rStyle w:val="Hyperlink"/>
              </w:rPr>
              <w:t>28</w:t>
            </w:r>
            <w:r w:rsidR="7EEFCAA8">
              <w:fldChar w:fldCharType="end"/>
            </w:r>
          </w:hyperlink>
        </w:p>
        <w:p w14:paraId="559A0749" w14:textId="34918CA6" w:rsidR="00D53209" w:rsidRPr="00BD22BC" w:rsidRDefault="00000000" w:rsidP="7EEFCAA8">
          <w:pPr>
            <w:pStyle w:val="TOC2"/>
            <w:tabs>
              <w:tab w:val="right" w:leader="dot" w:pos="10065"/>
            </w:tabs>
            <w:rPr>
              <w:rStyle w:val="Hyperlink"/>
              <w:noProof/>
              <w:kern w:val="2"/>
              <w14:ligatures w14:val="standardContextual"/>
            </w:rPr>
          </w:pPr>
          <w:hyperlink w:anchor="_Toc2106199318">
            <w:r w:rsidR="7EEFCAA8" w:rsidRPr="38638030">
              <w:rPr>
                <w:rStyle w:val="Hyperlink"/>
              </w:rPr>
              <w:t>Key target audiences of central bank communication</w:t>
            </w:r>
            <w:r w:rsidR="7EEFCAA8">
              <w:tab/>
            </w:r>
            <w:r w:rsidR="7EEFCAA8">
              <w:fldChar w:fldCharType="begin"/>
            </w:r>
            <w:r w:rsidR="7EEFCAA8">
              <w:instrText>PAGEREF _Toc2106199318 \h</w:instrText>
            </w:r>
            <w:r w:rsidR="7EEFCAA8">
              <w:fldChar w:fldCharType="separate"/>
            </w:r>
            <w:r w:rsidR="7EEFCAA8" w:rsidRPr="38638030">
              <w:rPr>
                <w:rStyle w:val="Hyperlink"/>
              </w:rPr>
              <w:t>29</w:t>
            </w:r>
            <w:r w:rsidR="7EEFCAA8">
              <w:fldChar w:fldCharType="end"/>
            </w:r>
          </w:hyperlink>
        </w:p>
        <w:p w14:paraId="11166878" w14:textId="3DC14A9D" w:rsidR="00D53209" w:rsidRPr="00BD22BC" w:rsidRDefault="00000000" w:rsidP="7EEFCAA8">
          <w:pPr>
            <w:pStyle w:val="TOC1"/>
            <w:tabs>
              <w:tab w:val="right" w:leader="dot" w:pos="10065"/>
            </w:tabs>
            <w:rPr>
              <w:rStyle w:val="Hyperlink"/>
              <w:noProof/>
              <w:kern w:val="2"/>
              <w14:ligatures w14:val="standardContextual"/>
            </w:rPr>
          </w:pPr>
          <w:hyperlink w:anchor="_Toc1136138781">
            <w:r w:rsidR="7EEFCAA8" w:rsidRPr="38638030">
              <w:rPr>
                <w:rStyle w:val="Hyperlink"/>
              </w:rPr>
              <w:t>SECTION 4: Assessing effectiveness of policy communication</w:t>
            </w:r>
            <w:r w:rsidR="7EEFCAA8">
              <w:tab/>
            </w:r>
            <w:r w:rsidR="7EEFCAA8">
              <w:fldChar w:fldCharType="begin"/>
            </w:r>
            <w:r w:rsidR="7EEFCAA8">
              <w:instrText>PAGEREF _Toc1136138781 \h</w:instrText>
            </w:r>
            <w:r w:rsidR="7EEFCAA8">
              <w:fldChar w:fldCharType="separate"/>
            </w:r>
            <w:r w:rsidR="7EEFCAA8" w:rsidRPr="38638030">
              <w:rPr>
                <w:rStyle w:val="Hyperlink"/>
              </w:rPr>
              <w:t>30</w:t>
            </w:r>
            <w:r w:rsidR="7EEFCAA8">
              <w:fldChar w:fldCharType="end"/>
            </w:r>
          </w:hyperlink>
        </w:p>
        <w:p w14:paraId="23B27B1E" w14:textId="1B01488E" w:rsidR="00D53209" w:rsidRPr="00BD22BC" w:rsidRDefault="00000000" w:rsidP="7EEFCAA8">
          <w:pPr>
            <w:pStyle w:val="TOC2"/>
            <w:tabs>
              <w:tab w:val="right" w:leader="dot" w:pos="10065"/>
            </w:tabs>
            <w:rPr>
              <w:rStyle w:val="Hyperlink"/>
              <w:noProof/>
              <w:kern w:val="2"/>
              <w14:ligatures w14:val="standardContextual"/>
            </w:rPr>
          </w:pPr>
          <w:hyperlink w:anchor="_Toc2017214745">
            <w:r w:rsidR="7EEFCAA8" w:rsidRPr="38638030">
              <w:rPr>
                <w:rStyle w:val="Hyperlink"/>
              </w:rPr>
              <w:t xml:space="preserve">UNIT 4.1: Impact assessment: Why and </w:t>
            </w:r>
            <w:r w:rsidR="00911251" w:rsidRPr="38638030">
              <w:rPr>
                <w:rStyle w:val="Hyperlink"/>
              </w:rPr>
              <w:t>how</w:t>
            </w:r>
            <w:r w:rsidR="7EEFCAA8">
              <w:tab/>
            </w:r>
            <w:r w:rsidR="7EEFCAA8">
              <w:fldChar w:fldCharType="begin"/>
            </w:r>
            <w:r w:rsidR="7EEFCAA8">
              <w:instrText>PAGEREF _Toc2017214745 \h</w:instrText>
            </w:r>
            <w:r w:rsidR="7EEFCAA8">
              <w:fldChar w:fldCharType="separate"/>
            </w:r>
            <w:r w:rsidR="7EEFCAA8" w:rsidRPr="38638030">
              <w:rPr>
                <w:rStyle w:val="Hyperlink"/>
              </w:rPr>
              <w:t>31</w:t>
            </w:r>
            <w:r w:rsidR="7EEFCAA8">
              <w:fldChar w:fldCharType="end"/>
            </w:r>
          </w:hyperlink>
        </w:p>
        <w:p w14:paraId="1129F83B" w14:textId="6DDDA5CD" w:rsidR="00D53209" w:rsidRPr="00BD22BC" w:rsidRDefault="00000000" w:rsidP="7EEFCAA8">
          <w:pPr>
            <w:pStyle w:val="TOC2"/>
            <w:tabs>
              <w:tab w:val="right" w:leader="dot" w:pos="10065"/>
            </w:tabs>
            <w:rPr>
              <w:rStyle w:val="Hyperlink"/>
              <w:noProof/>
              <w:kern w:val="2"/>
              <w14:ligatures w14:val="standardContextual"/>
            </w:rPr>
          </w:pPr>
          <w:hyperlink w:anchor="_Toc268453222">
            <w:r w:rsidR="7EEFCAA8" w:rsidRPr="38638030">
              <w:rPr>
                <w:rStyle w:val="Hyperlink"/>
              </w:rPr>
              <w:t xml:space="preserve">UNIT 4.2: Setting </w:t>
            </w:r>
            <w:r w:rsidR="00911251" w:rsidRPr="38638030">
              <w:rPr>
                <w:rStyle w:val="Hyperlink"/>
              </w:rPr>
              <w:t>clear objectives</w:t>
            </w:r>
            <w:r w:rsidR="7EEFCAA8">
              <w:tab/>
            </w:r>
            <w:r w:rsidR="7EEFCAA8">
              <w:fldChar w:fldCharType="begin"/>
            </w:r>
            <w:r w:rsidR="7EEFCAA8">
              <w:instrText>PAGEREF _Toc268453222 \h</w:instrText>
            </w:r>
            <w:r w:rsidR="7EEFCAA8">
              <w:fldChar w:fldCharType="separate"/>
            </w:r>
            <w:r w:rsidR="7EEFCAA8" w:rsidRPr="38638030">
              <w:rPr>
                <w:rStyle w:val="Hyperlink"/>
              </w:rPr>
              <w:t>32</w:t>
            </w:r>
            <w:r w:rsidR="7EEFCAA8">
              <w:fldChar w:fldCharType="end"/>
            </w:r>
          </w:hyperlink>
        </w:p>
        <w:p w14:paraId="1224AA1B" w14:textId="4EAE1A6E" w:rsidR="00D53209" w:rsidRPr="00BD22BC" w:rsidRDefault="00000000" w:rsidP="7EEFCAA8">
          <w:pPr>
            <w:pStyle w:val="TOC2"/>
            <w:tabs>
              <w:tab w:val="right" w:leader="dot" w:pos="10065"/>
            </w:tabs>
            <w:rPr>
              <w:rStyle w:val="Hyperlink"/>
              <w:noProof/>
              <w:kern w:val="2"/>
              <w14:ligatures w14:val="standardContextual"/>
            </w:rPr>
          </w:pPr>
          <w:hyperlink w:anchor="_Toc1294014395">
            <w:r w:rsidR="7EEFCAA8" w:rsidRPr="38638030">
              <w:rPr>
                <w:rStyle w:val="Hyperlink"/>
              </w:rPr>
              <w:t>UNIT 4.2: K</w:t>
            </w:r>
            <w:r w:rsidR="00911251" w:rsidRPr="38638030">
              <w:rPr>
                <w:rStyle w:val="Hyperlink"/>
              </w:rPr>
              <w:t>ey performance indicators</w:t>
            </w:r>
            <w:r w:rsidR="7EEFCAA8" w:rsidRPr="38638030">
              <w:rPr>
                <w:rStyle w:val="Hyperlink"/>
              </w:rPr>
              <w:t xml:space="preserve"> and </w:t>
            </w:r>
            <w:r w:rsidR="00911251" w:rsidRPr="38638030">
              <w:rPr>
                <w:rStyle w:val="Hyperlink"/>
              </w:rPr>
              <w:t>metrics</w:t>
            </w:r>
            <w:r w:rsidR="7EEFCAA8">
              <w:tab/>
            </w:r>
            <w:r w:rsidR="7EEFCAA8">
              <w:fldChar w:fldCharType="begin"/>
            </w:r>
            <w:r w:rsidR="7EEFCAA8">
              <w:instrText>PAGEREF _Toc1294014395 \h</w:instrText>
            </w:r>
            <w:r w:rsidR="7EEFCAA8">
              <w:fldChar w:fldCharType="separate"/>
            </w:r>
            <w:r w:rsidR="7EEFCAA8" w:rsidRPr="38638030">
              <w:rPr>
                <w:rStyle w:val="Hyperlink"/>
              </w:rPr>
              <w:t>32</w:t>
            </w:r>
            <w:r w:rsidR="7EEFCAA8">
              <w:fldChar w:fldCharType="end"/>
            </w:r>
          </w:hyperlink>
        </w:p>
        <w:p w14:paraId="4CEBE616" w14:textId="7A199929" w:rsidR="00D53209" w:rsidRPr="00BD22BC" w:rsidRDefault="00000000" w:rsidP="7EEFCAA8">
          <w:pPr>
            <w:pStyle w:val="TOC2"/>
            <w:tabs>
              <w:tab w:val="right" w:leader="dot" w:pos="10065"/>
            </w:tabs>
            <w:rPr>
              <w:rStyle w:val="Hyperlink"/>
              <w:noProof/>
              <w:kern w:val="2"/>
              <w14:ligatures w14:val="standardContextual"/>
            </w:rPr>
          </w:pPr>
          <w:hyperlink w:anchor="_Toc1793913464">
            <w:r w:rsidR="7EEFCAA8" w:rsidRPr="38638030">
              <w:rPr>
                <w:rStyle w:val="Hyperlink"/>
              </w:rPr>
              <w:t xml:space="preserve">UNIT 4.3: Monitoring </w:t>
            </w:r>
            <w:r w:rsidR="00911251" w:rsidRPr="38638030">
              <w:rPr>
                <w:rStyle w:val="Hyperlink"/>
              </w:rPr>
              <w:t>tools</w:t>
            </w:r>
            <w:r w:rsidR="7EEFCAA8">
              <w:tab/>
            </w:r>
            <w:r w:rsidR="7EEFCAA8">
              <w:fldChar w:fldCharType="begin"/>
            </w:r>
            <w:r w:rsidR="7EEFCAA8">
              <w:instrText>PAGEREF _Toc1793913464 \h</w:instrText>
            </w:r>
            <w:r w:rsidR="7EEFCAA8">
              <w:fldChar w:fldCharType="separate"/>
            </w:r>
            <w:r w:rsidR="7EEFCAA8" w:rsidRPr="38638030">
              <w:rPr>
                <w:rStyle w:val="Hyperlink"/>
              </w:rPr>
              <w:t>35</w:t>
            </w:r>
            <w:r w:rsidR="7EEFCAA8">
              <w:fldChar w:fldCharType="end"/>
            </w:r>
          </w:hyperlink>
        </w:p>
        <w:p w14:paraId="5837709C" w14:textId="322C41A1" w:rsidR="7EEFCAA8" w:rsidRDefault="00000000" w:rsidP="7EEFCAA8">
          <w:pPr>
            <w:pStyle w:val="TOC2"/>
            <w:tabs>
              <w:tab w:val="right" w:leader="dot" w:pos="10065"/>
            </w:tabs>
            <w:rPr>
              <w:rStyle w:val="Hyperlink"/>
            </w:rPr>
          </w:pPr>
          <w:hyperlink w:anchor="_Toc97074064">
            <w:r w:rsidR="7EEFCAA8" w:rsidRPr="38638030">
              <w:rPr>
                <w:rStyle w:val="Hyperlink"/>
              </w:rPr>
              <w:t xml:space="preserve">UNIT 4.4: Benchmarks and </w:t>
            </w:r>
            <w:r w:rsidR="00911251" w:rsidRPr="38638030">
              <w:rPr>
                <w:rStyle w:val="Hyperlink"/>
              </w:rPr>
              <w:t>timeframe</w:t>
            </w:r>
            <w:r w:rsidR="7EEFCAA8">
              <w:tab/>
            </w:r>
            <w:r w:rsidR="7EEFCAA8">
              <w:fldChar w:fldCharType="begin"/>
            </w:r>
            <w:r w:rsidR="7EEFCAA8">
              <w:instrText>PAGEREF _Toc97074064 \h</w:instrText>
            </w:r>
            <w:r w:rsidR="7EEFCAA8">
              <w:fldChar w:fldCharType="separate"/>
            </w:r>
            <w:r w:rsidR="7EEFCAA8" w:rsidRPr="38638030">
              <w:rPr>
                <w:rStyle w:val="Hyperlink"/>
              </w:rPr>
              <w:t>36</w:t>
            </w:r>
            <w:r w:rsidR="7EEFCAA8">
              <w:fldChar w:fldCharType="end"/>
            </w:r>
          </w:hyperlink>
        </w:p>
        <w:p w14:paraId="5DA01308" w14:textId="3D01CF89" w:rsidR="7EEFCAA8" w:rsidRDefault="00000000" w:rsidP="7EEFCAA8">
          <w:pPr>
            <w:pStyle w:val="TOC1"/>
            <w:tabs>
              <w:tab w:val="right" w:leader="dot" w:pos="10065"/>
            </w:tabs>
            <w:rPr>
              <w:rStyle w:val="Hyperlink"/>
            </w:rPr>
          </w:pPr>
          <w:hyperlink w:anchor="_Toc1772223295">
            <w:r w:rsidR="7EEFCAA8" w:rsidRPr="38638030">
              <w:rPr>
                <w:rStyle w:val="Hyperlink"/>
              </w:rPr>
              <w:t>SECTION 4:</w:t>
            </w:r>
            <w:r w:rsidR="7EEFCAA8">
              <w:tab/>
            </w:r>
            <w:r w:rsidR="7EEFCAA8">
              <w:fldChar w:fldCharType="begin"/>
            </w:r>
            <w:r w:rsidR="7EEFCAA8">
              <w:instrText>PAGEREF _Toc1772223295 \h</w:instrText>
            </w:r>
            <w:r w:rsidR="7EEFCAA8">
              <w:fldChar w:fldCharType="separate"/>
            </w:r>
            <w:r w:rsidR="7EEFCAA8" w:rsidRPr="38638030">
              <w:rPr>
                <w:rStyle w:val="Hyperlink"/>
              </w:rPr>
              <w:t>36</w:t>
            </w:r>
            <w:r w:rsidR="7EEFCAA8">
              <w:fldChar w:fldCharType="end"/>
            </w:r>
          </w:hyperlink>
        </w:p>
        <w:p w14:paraId="3F55D8A5" w14:textId="13F0C95F" w:rsidR="7EEFCAA8" w:rsidRDefault="00000000" w:rsidP="7EEFCAA8">
          <w:pPr>
            <w:pStyle w:val="TOC1"/>
            <w:tabs>
              <w:tab w:val="right" w:leader="dot" w:pos="10065"/>
            </w:tabs>
            <w:rPr>
              <w:rStyle w:val="Hyperlink"/>
            </w:rPr>
          </w:pPr>
          <w:hyperlink w:anchor="_Toc1872404870">
            <w:r w:rsidR="7EEFCAA8" w:rsidRPr="38638030">
              <w:rPr>
                <w:rStyle w:val="Hyperlink"/>
              </w:rPr>
              <w:t xml:space="preserve">Unit 4.5 Module 4 </w:t>
            </w:r>
            <w:r w:rsidR="00911251" w:rsidRPr="38638030">
              <w:rPr>
                <w:rStyle w:val="Hyperlink"/>
              </w:rPr>
              <w:t>takeaways</w:t>
            </w:r>
            <w:r w:rsidR="7EEFCAA8">
              <w:tab/>
            </w:r>
            <w:r w:rsidR="7EEFCAA8">
              <w:fldChar w:fldCharType="begin"/>
            </w:r>
            <w:r w:rsidR="7EEFCAA8">
              <w:instrText>PAGEREF _Toc1872404870 \h</w:instrText>
            </w:r>
            <w:r w:rsidR="7EEFCAA8">
              <w:fldChar w:fldCharType="separate"/>
            </w:r>
            <w:r w:rsidR="7EEFCAA8" w:rsidRPr="38638030">
              <w:rPr>
                <w:rStyle w:val="Hyperlink"/>
              </w:rPr>
              <w:t>36</w:t>
            </w:r>
            <w:r w:rsidR="7EEFCAA8">
              <w:fldChar w:fldCharType="end"/>
            </w:r>
          </w:hyperlink>
        </w:p>
        <w:p w14:paraId="27912DFF" w14:textId="60FDFA86" w:rsidR="7EEFCAA8" w:rsidRDefault="00000000" w:rsidP="7EEFCAA8">
          <w:pPr>
            <w:pStyle w:val="TOC2"/>
            <w:tabs>
              <w:tab w:val="right" w:leader="dot" w:pos="10065"/>
            </w:tabs>
            <w:rPr>
              <w:rStyle w:val="Hyperlink"/>
            </w:rPr>
          </w:pPr>
          <w:hyperlink w:anchor="_Toc1773315689">
            <w:r w:rsidR="7EEFCAA8" w:rsidRPr="38638030">
              <w:rPr>
                <w:rStyle w:val="Hyperlink"/>
              </w:rPr>
              <w:t>Knowledge Check</w:t>
            </w:r>
            <w:r w:rsidR="7EEFCAA8">
              <w:tab/>
            </w:r>
            <w:r w:rsidR="7EEFCAA8">
              <w:fldChar w:fldCharType="begin"/>
            </w:r>
            <w:r w:rsidR="7EEFCAA8">
              <w:instrText>PAGEREF _Toc1773315689 \h</w:instrText>
            </w:r>
            <w:r w:rsidR="7EEFCAA8">
              <w:fldChar w:fldCharType="separate"/>
            </w:r>
            <w:r w:rsidR="7EEFCAA8" w:rsidRPr="38638030">
              <w:rPr>
                <w:rStyle w:val="Hyperlink"/>
              </w:rPr>
              <w:t>37</w:t>
            </w:r>
            <w:r w:rsidR="7EEFCAA8">
              <w:fldChar w:fldCharType="end"/>
            </w:r>
          </w:hyperlink>
          <w:r w:rsidR="7EEFCAA8">
            <w:fldChar w:fldCharType="end"/>
          </w:r>
        </w:p>
      </w:sdtContent>
    </w:sdt>
    <w:p w14:paraId="607A2C26" w14:textId="10E6A7FF" w:rsidR="6EEC262A" w:rsidRPr="00BD22BC" w:rsidRDefault="6EEC262A" w:rsidP="6EEC262A">
      <w:pPr>
        <w:pStyle w:val="TOC2"/>
        <w:tabs>
          <w:tab w:val="right" w:leader="dot" w:pos="10080"/>
        </w:tabs>
        <w:rPr>
          <w:rStyle w:val="Hyperlink"/>
        </w:rPr>
      </w:pPr>
    </w:p>
    <w:p w14:paraId="007AC979" w14:textId="708CAC73" w:rsidR="0098789F" w:rsidRPr="00BD22BC" w:rsidRDefault="0098789F" w:rsidP="6EEC262A">
      <w:pPr>
        <w:rPr>
          <w:rFonts w:asciiTheme="minorBidi" w:hAnsiTheme="minorBidi" w:cstheme="minorBidi"/>
        </w:rPr>
      </w:pPr>
    </w:p>
    <w:p w14:paraId="23EA8F43" w14:textId="445BF86B" w:rsidR="00457720" w:rsidRPr="00BD22BC" w:rsidRDefault="00457720" w:rsidP="7EEFCAA8">
      <w:pPr>
        <w:pStyle w:val="ListBullet"/>
        <w:numPr>
          <w:ilvl w:val="0"/>
          <w:numId w:val="0"/>
        </w:numPr>
        <w:spacing w:after="0" w:line="276" w:lineRule="auto"/>
        <w:ind w:left="720" w:hanging="360"/>
        <w:rPr>
          <w:rFonts w:asciiTheme="minorBidi" w:hAnsiTheme="minorBidi" w:cstheme="minorBidi"/>
        </w:rPr>
      </w:pPr>
    </w:p>
    <w:p w14:paraId="5AD4BAD2" w14:textId="049D47A4" w:rsidR="7EEFCAA8" w:rsidRDefault="7EEFCAA8">
      <w:r>
        <w:br w:type="page"/>
      </w:r>
    </w:p>
    <w:p w14:paraId="46934143" w14:textId="06B0A396" w:rsidR="7EEFCAA8" w:rsidRDefault="7EEFCAA8" w:rsidP="7EEFCAA8">
      <w:pPr>
        <w:pStyle w:val="ListBullet"/>
        <w:numPr>
          <w:ilvl w:val="0"/>
          <w:numId w:val="0"/>
        </w:numPr>
        <w:spacing w:after="0" w:line="276" w:lineRule="auto"/>
        <w:ind w:left="720" w:hanging="360"/>
        <w:rPr>
          <w:rFonts w:asciiTheme="minorBidi" w:hAnsiTheme="minorBidi" w:cstheme="minorBidi"/>
        </w:rPr>
      </w:pPr>
    </w:p>
    <w:p w14:paraId="2CBAB674" w14:textId="59463032" w:rsidR="00933D6D" w:rsidRPr="00BD22BC" w:rsidRDefault="3BC57E33" w:rsidP="00964D10">
      <w:pPr>
        <w:pStyle w:val="Heading1"/>
      </w:pPr>
      <w:bookmarkStart w:id="1" w:name="_Toc240634916"/>
      <w:bookmarkStart w:id="2" w:name="_Toc59463022"/>
      <w:r>
        <w:t xml:space="preserve">MODULE </w:t>
      </w:r>
      <w:r w:rsidR="00741837">
        <w:t>4</w:t>
      </w:r>
      <w:r>
        <w:t xml:space="preserve">: </w:t>
      </w:r>
      <w:bookmarkStart w:id="3" w:name="_Hlk183034136"/>
      <w:r w:rsidR="521FC2C6">
        <w:t xml:space="preserve">Policy Communication: Approaches, Techniques, and </w:t>
      </w:r>
      <w:bookmarkEnd w:id="3"/>
      <w:r w:rsidR="521FC2C6">
        <w:t>Tools</w:t>
      </w:r>
      <w:bookmarkEnd w:id="1"/>
    </w:p>
    <w:p w14:paraId="7E465B96" w14:textId="77777777" w:rsidR="00741837" w:rsidRPr="00BD22BC" w:rsidRDefault="00741837" w:rsidP="00007F42"/>
    <w:p w14:paraId="78D23258" w14:textId="63884831" w:rsidR="00933D6D" w:rsidRPr="00BD22BC" w:rsidRDefault="24C4DF91" w:rsidP="00E94583">
      <w:pPr>
        <w:pStyle w:val="Heading2"/>
      </w:pPr>
      <w:bookmarkStart w:id="4" w:name="_Toc612940091"/>
      <w:r>
        <w:t xml:space="preserve">UNIT </w:t>
      </w:r>
      <w:r w:rsidR="39C6A587">
        <w:t>0</w:t>
      </w:r>
      <w:r>
        <w:t xml:space="preserve">: </w:t>
      </w:r>
      <w:r w:rsidR="10225CC8">
        <w:t xml:space="preserve">Introduction to Module </w:t>
      </w:r>
      <w:r w:rsidR="00741837">
        <w:t>4</w:t>
      </w:r>
      <w:bookmarkEnd w:id="4"/>
    </w:p>
    <w:p w14:paraId="391881A8" w14:textId="15FAD7CC" w:rsidR="007F61A7" w:rsidRPr="00BD22BC" w:rsidRDefault="007F61A7" w:rsidP="007F61A7">
      <w:r>
        <w:t>Let's focus on policy communication in practice, where theory meets real-world application. In this module, we'll guide you through the essential</w:t>
      </w:r>
      <w:r w:rsidR="00516AD1">
        <w:t xml:space="preserve"> behavioral approaches,</w:t>
      </w:r>
      <w:r>
        <w:t xml:space="preserve"> techniques</w:t>
      </w:r>
      <w:r w:rsidR="00FC43AF">
        <w:t>,</w:t>
      </w:r>
      <w:r>
        <w:t xml:space="preserve"> and tools</w:t>
      </w:r>
      <w:r w:rsidR="0037271A">
        <w:t xml:space="preserve"> in policy communication</w:t>
      </w:r>
      <w:r>
        <w:t>.</w:t>
      </w:r>
    </w:p>
    <w:p w14:paraId="7C32EBCF" w14:textId="77777777" w:rsidR="007F61A7" w:rsidRPr="00BD22BC" w:rsidRDefault="007F61A7" w:rsidP="007F61A7"/>
    <w:p w14:paraId="6BFE0F3D" w14:textId="73D2A0FF" w:rsidR="007F61A7" w:rsidRPr="00BD22BC" w:rsidRDefault="007F61A7" w:rsidP="007F61A7">
      <w:r>
        <w:t>A</w:t>
      </w:r>
      <w:r w:rsidR="00FC43AF">
        <w:t xml:space="preserve">ny public agency, </w:t>
      </w:r>
      <w:r w:rsidR="00CA1347">
        <w:t xml:space="preserve">such as a </w:t>
      </w:r>
      <w:r>
        <w:t>central bank</w:t>
      </w:r>
      <w:r w:rsidR="00CA1347">
        <w:t xml:space="preserve"> or treasury</w:t>
      </w:r>
      <w:r>
        <w:t xml:space="preserve">, should define a strategic framework for policy communication. First, we'll explore the main building blocks of such a strategy. We'll look at the institutional </w:t>
      </w:r>
      <w:r w:rsidR="00516AD1">
        <w:t>guidelines</w:t>
      </w:r>
      <w:r>
        <w:t xml:space="preserve"> needed to operate a strategy.</w:t>
      </w:r>
      <w:r w:rsidR="00516AD1">
        <w:t xml:space="preserve"> </w:t>
      </w:r>
      <w:r>
        <w:t>Next, we'll detail the communication cycle around policy decisions.</w:t>
      </w:r>
      <w:r w:rsidR="00516AD1">
        <w:t xml:space="preserve"> </w:t>
      </w:r>
      <w:r>
        <w:t>We'll also cover the standard features of a communication toolkit.</w:t>
      </w:r>
      <w:r w:rsidR="00516AD1">
        <w:t xml:space="preserve"> </w:t>
      </w:r>
      <w:r>
        <w:t>Then, we'll discuss the organizational foundations of policy communication.</w:t>
      </w:r>
      <w:r w:rsidR="00516AD1">
        <w:t xml:space="preserve"> </w:t>
      </w:r>
      <w:r>
        <w:t>Finally, we'll specify approaches to segmenting target audiences.</w:t>
      </w:r>
    </w:p>
    <w:p w14:paraId="1A6E1207" w14:textId="0B76B7C8" w:rsidR="67F68071" w:rsidRPr="00BD22BC" w:rsidRDefault="67F68071"/>
    <w:p w14:paraId="44FBC0AB" w14:textId="77777777" w:rsidR="00741837" w:rsidRPr="00BD22BC" w:rsidRDefault="00741837" w:rsidP="00741837">
      <w:pPr>
        <w:rPr>
          <w:b/>
          <w:bCs/>
        </w:rPr>
      </w:pPr>
      <w:r w:rsidRPr="00BD22BC">
        <w:rPr>
          <w:b/>
          <w:bCs/>
        </w:rPr>
        <w:t>By the end of this module, participants will be able to:</w:t>
      </w:r>
    </w:p>
    <w:p w14:paraId="091B38D7" w14:textId="293384EF" w:rsidR="00741837" w:rsidRPr="00BD22BC" w:rsidRDefault="00741837" w:rsidP="1BB63DC4">
      <w:pPr>
        <w:pStyle w:val="ListParagraph"/>
        <w:numPr>
          <w:ilvl w:val="0"/>
          <w:numId w:val="26"/>
        </w:numPr>
        <w:spacing w:after="160" w:line="259" w:lineRule="auto"/>
        <w:rPr>
          <w:i/>
          <w:iCs/>
        </w:rPr>
      </w:pPr>
      <w:r w:rsidRPr="1BB63DC4">
        <w:rPr>
          <w:i/>
          <w:iCs/>
        </w:rPr>
        <w:t>Explain effective communication and dissemination strategies for different audiences</w:t>
      </w:r>
      <w:r w:rsidR="76C160FB" w:rsidRPr="1BB63DC4">
        <w:rPr>
          <w:i/>
          <w:iCs/>
        </w:rPr>
        <w:t>.</w:t>
      </w:r>
    </w:p>
    <w:p w14:paraId="746045FA" w14:textId="5299DA9C" w:rsidR="00741837" w:rsidRPr="00BD22BC" w:rsidRDefault="00741837" w:rsidP="38638030">
      <w:pPr>
        <w:pStyle w:val="ListParagraph"/>
        <w:numPr>
          <w:ilvl w:val="0"/>
          <w:numId w:val="26"/>
        </w:numPr>
        <w:spacing w:after="160" w:line="259" w:lineRule="auto"/>
        <w:rPr>
          <w:i/>
          <w:iCs/>
        </w:rPr>
      </w:pPr>
      <w:r w:rsidRPr="38638030">
        <w:rPr>
          <w:i/>
          <w:iCs/>
        </w:rPr>
        <w:t xml:space="preserve">Identify the benefits of establishing clear </w:t>
      </w:r>
      <w:bookmarkStart w:id="5" w:name="_Hlk169534613"/>
      <w:r w:rsidRPr="38638030">
        <w:rPr>
          <w:i/>
          <w:iCs/>
        </w:rPr>
        <w:t>internal communication guidelines</w:t>
      </w:r>
      <w:r w:rsidR="1BD96500" w:rsidRPr="38638030">
        <w:rPr>
          <w:i/>
          <w:iCs/>
        </w:rPr>
        <w:t>.</w:t>
      </w:r>
      <w:bookmarkEnd w:id="5"/>
    </w:p>
    <w:p w14:paraId="2C6978AA" w14:textId="066C5608" w:rsidR="00741837" w:rsidRPr="00BD22BC" w:rsidRDefault="00741837" w:rsidP="1BB63DC4">
      <w:pPr>
        <w:pStyle w:val="ListParagraph"/>
        <w:numPr>
          <w:ilvl w:val="0"/>
          <w:numId w:val="26"/>
        </w:numPr>
        <w:spacing w:after="160" w:line="259" w:lineRule="auto"/>
        <w:rPr>
          <w:i/>
          <w:iCs/>
        </w:rPr>
      </w:pPr>
      <w:r w:rsidRPr="1BB63DC4">
        <w:rPr>
          <w:i/>
          <w:iCs/>
        </w:rPr>
        <w:t>Organize a standard toolkit for policy communication</w:t>
      </w:r>
      <w:r w:rsidR="1BD96500" w:rsidRPr="1BB63DC4">
        <w:rPr>
          <w:i/>
          <w:iCs/>
        </w:rPr>
        <w:t>.</w:t>
      </w:r>
    </w:p>
    <w:p w14:paraId="6546DA5D" w14:textId="2D0CA7A8" w:rsidR="00741837" w:rsidRPr="00BD22BC" w:rsidRDefault="00A20043" w:rsidP="1BB63DC4">
      <w:pPr>
        <w:pStyle w:val="ListParagraph"/>
        <w:numPr>
          <w:ilvl w:val="0"/>
          <w:numId w:val="26"/>
        </w:numPr>
        <w:spacing w:after="160" w:line="259" w:lineRule="auto"/>
        <w:rPr>
          <w:i/>
          <w:iCs/>
        </w:rPr>
      </w:pPr>
      <w:r w:rsidRPr="1BB63DC4">
        <w:rPr>
          <w:i/>
          <w:iCs/>
        </w:rPr>
        <w:t>S</w:t>
      </w:r>
      <w:r w:rsidR="00741837" w:rsidRPr="1BB63DC4">
        <w:rPr>
          <w:i/>
          <w:iCs/>
        </w:rPr>
        <w:t>egment stakeholders and target audiences</w:t>
      </w:r>
      <w:r w:rsidR="00A87F79" w:rsidRPr="1BB63DC4">
        <w:rPr>
          <w:i/>
          <w:iCs/>
        </w:rPr>
        <w:t xml:space="preserve"> into </w:t>
      </w:r>
      <w:r w:rsidR="00BA30F2" w:rsidRPr="1BB63DC4">
        <w:rPr>
          <w:i/>
          <w:iCs/>
        </w:rPr>
        <w:t>key groups</w:t>
      </w:r>
      <w:r w:rsidR="17400964" w:rsidRPr="1BB63DC4">
        <w:rPr>
          <w:i/>
          <w:iCs/>
        </w:rPr>
        <w:t>.</w:t>
      </w:r>
    </w:p>
    <w:p w14:paraId="7AB7B40C" w14:textId="518853EE" w:rsidR="6EEC262A" w:rsidRPr="00BD22BC" w:rsidRDefault="43049398" w:rsidP="38638030">
      <w:pPr>
        <w:pStyle w:val="ListParagraph"/>
        <w:numPr>
          <w:ilvl w:val="0"/>
          <w:numId w:val="26"/>
        </w:numPr>
        <w:spacing w:after="160" w:line="259" w:lineRule="auto"/>
        <w:rPr>
          <w:i/>
          <w:iCs/>
        </w:rPr>
      </w:pPr>
      <w:bookmarkStart w:id="6" w:name="_Hlk180929169"/>
      <w:r w:rsidRPr="38638030">
        <w:rPr>
          <w:i/>
          <w:iCs/>
        </w:rPr>
        <w:t xml:space="preserve">Identify the main components </w:t>
      </w:r>
      <w:r w:rsidR="6E0E4C30" w:rsidRPr="38638030">
        <w:rPr>
          <w:i/>
          <w:iCs/>
        </w:rPr>
        <w:t>required to conduct a</w:t>
      </w:r>
      <w:r w:rsidR="66C5958A" w:rsidRPr="38638030">
        <w:rPr>
          <w:i/>
          <w:iCs/>
        </w:rPr>
        <w:t xml:space="preserve"> communication</w:t>
      </w:r>
      <w:r w:rsidR="6E0E4C30" w:rsidRPr="38638030">
        <w:rPr>
          <w:i/>
          <w:iCs/>
        </w:rPr>
        <w:t xml:space="preserve"> </w:t>
      </w:r>
      <w:r w:rsidR="1EE50B69" w:rsidRPr="38638030">
        <w:rPr>
          <w:i/>
          <w:iCs/>
        </w:rPr>
        <w:t>impact</w:t>
      </w:r>
      <w:r w:rsidR="76EB538B" w:rsidRPr="38638030">
        <w:rPr>
          <w:i/>
          <w:iCs/>
        </w:rPr>
        <w:t xml:space="preserve"> assessment</w:t>
      </w:r>
      <w:r w:rsidR="7DA0265C" w:rsidRPr="38638030">
        <w:rPr>
          <w:i/>
          <w:iCs/>
        </w:rPr>
        <w:t>.</w:t>
      </w:r>
      <w:bookmarkEnd w:id="2"/>
      <w:bookmarkEnd w:id="6"/>
    </w:p>
    <w:p w14:paraId="11902B23" w14:textId="77777777" w:rsidR="00D53209" w:rsidRPr="00BD22BC" w:rsidRDefault="00D53209" w:rsidP="00D53209">
      <w:pPr>
        <w:spacing w:after="160" w:line="259" w:lineRule="auto"/>
      </w:pPr>
    </w:p>
    <w:p w14:paraId="7271A1A1" w14:textId="26FBA9E3" w:rsidR="1CEB6CB6" w:rsidRPr="00BD22BC" w:rsidRDefault="35D4A68C" w:rsidP="6EEC262A">
      <w:pPr>
        <w:pStyle w:val="Heading1"/>
      </w:pPr>
      <w:bookmarkStart w:id="7" w:name="_Toc1810590221"/>
      <w:r w:rsidRPr="7EEFCAA8">
        <w:rPr>
          <w:highlight w:val="yellow"/>
        </w:rPr>
        <w:t>SECTION 1:</w:t>
      </w:r>
      <w:r>
        <w:t xml:space="preserve"> </w:t>
      </w:r>
      <w:r w:rsidR="48024223">
        <w:t>E</w:t>
      </w:r>
      <w:r w:rsidR="6A8F2733">
        <w:t>ffective communication strategy in practice</w:t>
      </w:r>
      <w:bookmarkEnd w:id="7"/>
    </w:p>
    <w:p w14:paraId="1D519C3F" w14:textId="77777777" w:rsidR="0091028E" w:rsidRPr="00BD22BC" w:rsidRDefault="0091028E" w:rsidP="0090062A">
      <w:pPr>
        <w:rPr>
          <w:highlight w:val="yellow"/>
        </w:rPr>
      </w:pPr>
    </w:p>
    <w:p w14:paraId="71209B81" w14:textId="09EC5648" w:rsidR="00091506" w:rsidRPr="00BD22BC" w:rsidRDefault="465C72A3" w:rsidP="00091506">
      <w:pPr>
        <w:pStyle w:val="Heading2"/>
      </w:pPr>
      <w:bookmarkStart w:id="8" w:name="_Hlk172386817"/>
      <w:bookmarkStart w:id="9" w:name="_Toc544107406"/>
      <w:r w:rsidRPr="7EEFCAA8">
        <w:rPr>
          <w:highlight w:val="yellow"/>
        </w:rPr>
        <w:t>UNIT 1.1:</w:t>
      </w:r>
      <w:r>
        <w:t xml:space="preserve"> </w:t>
      </w:r>
      <w:bookmarkEnd w:id="8"/>
      <w:r>
        <w:t xml:space="preserve">Main building blocks </w:t>
      </w:r>
      <w:r w:rsidR="55EC62B6">
        <w:t>of a communication strategy</w:t>
      </w:r>
      <w:bookmarkEnd w:id="9"/>
    </w:p>
    <w:p w14:paraId="4E9E728E" w14:textId="77777777" w:rsidR="000E5372" w:rsidRPr="00BD22BC" w:rsidRDefault="000E5372" w:rsidP="00D16D9A"/>
    <w:p w14:paraId="5BEDA242" w14:textId="4B8A3195" w:rsidR="00D16D9A" w:rsidRPr="00BD22BC" w:rsidRDefault="00516AD1" w:rsidP="00D16D9A">
      <w:r w:rsidRPr="00BD22BC">
        <w:t xml:space="preserve">There is no one-size-fits-all approach </w:t>
      </w:r>
      <w:bookmarkStart w:id="10" w:name="_Hlk169532835"/>
      <w:r w:rsidR="00EA66A1" w:rsidRPr="00BD22BC">
        <w:t xml:space="preserve">to designing a policy communication strategy. </w:t>
      </w:r>
      <w:bookmarkEnd w:id="10"/>
      <w:r w:rsidR="00EA66A1" w:rsidRPr="00BD22BC">
        <w:t xml:space="preserve">Different central banks </w:t>
      </w:r>
      <w:r w:rsidR="080FC1B2" w:rsidRPr="00BD22BC">
        <w:t>and treasuries</w:t>
      </w:r>
      <w:r w:rsidR="00E7074C" w:rsidRPr="00BD22BC">
        <w:t xml:space="preserve"> (ministries of finance)</w:t>
      </w:r>
      <w:r w:rsidR="080FC1B2" w:rsidRPr="00BD22BC">
        <w:t xml:space="preserve"> </w:t>
      </w:r>
      <w:r w:rsidR="00EA66A1" w:rsidRPr="00BD22BC">
        <w:t xml:space="preserve">use different </w:t>
      </w:r>
      <w:r w:rsidR="00E564F0" w:rsidRPr="00BD22BC">
        <w:t>approaches</w:t>
      </w:r>
      <w:r w:rsidR="00EA66A1" w:rsidRPr="00BD22BC">
        <w:t>.</w:t>
      </w:r>
      <w:r w:rsidR="0080268E" w:rsidRPr="00BD22BC">
        <w:t xml:space="preserve"> </w:t>
      </w:r>
    </w:p>
    <w:p w14:paraId="4DE78764" w14:textId="77777777" w:rsidR="00D16D9A" w:rsidRPr="00BD22BC" w:rsidRDefault="00D16D9A" w:rsidP="00D16D9A"/>
    <w:p w14:paraId="73E09375" w14:textId="584E8792" w:rsidR="00D16D9A" w:rsidRPr="00BD22BC" w:rsidRDefault="00EA66A1" w:rsidP="00D16D9A">
      <w:r>
        <w:t>Why? Because each must adapt to its unique policy regime</w:t>
      </w:r>
      <w:r w:rsidR="003A0875">
        <w:t xml:space="preserve"> and the </w:t>
      </w:r>
      <w:r w:rsidR="00B927C2">
        <w:t xml:space="preserve">political and </w:t>
      </w:r>
      <w:r w:rsidR="000D418A">
        <w:t>cultura</w:t>
      </w:r>
      <w:r w:rsidR="00B927C2">
        <w:t xml:space="preserve">l </w:t>
      </w:r>
      <w:r w:rsidR="003A0875">
        <w:t xml:space="preserve">environment in which </w:t>
      </w:r>
      <w:r w:rsidR="00B927C2">
        <w:t>it operates</w:t>
      </w:r>
      <w:r>
        <w:t>.</w:t>
      </w:r>
      <w:r w:rsidR="0080268E">
        <w:t xml:space="preserve"> </w:t>
      </w:r>
      <w:r w:rsidR="00CA6E06">
        <w:t>Focusing on the policy regime</w:t>
      </w:r>
      <w:r w:rsidR="00D16D9A">
        <w:t>, an exchange rate targeting central bank would aim to promote the benefits of exchange rate stability, while an inflation targeting one would highlight its price stability objective, defined as a numerical inflation target.</w:t>
      </w:r>
      <w:r w:rsidR="397409F8">
        <w:t xml:space="preserve"> A treasury with an explicit fiscal rule specified in terms of a debt ceiling </w:t>
      </w:r>
      <w:r w:rsidR="60333ABF">
        <w:t xml:space="preserve">would </w:t>
      </w:r>
      <w:r w:rsidR="397409F8">
        <w:t xml:space="preserve">communicate differently </w:t>
      </w:r>
      <w:r w:rsidR="4AD0CF1E">
        <w:t>from a treasury without any such a rule.</w:t>
      </w:r>
    </w:p>
    <w:p w14:paraId="585C9C2F" w14:textId="77777777" w:rsidR="00D16D9A" w:rsidRPr="00BD22BC" w:rsidRDefault="00D16D9A" w:rsidP="00007F42"/>
    <w:p w14:paraId="6159AC46" w14:textId="6C578C0F" w:rsidR="00EA66A1" w:rsidRPr="00BD22BC" w:rsidRDefault="00C24567" w:rsidP="00A31924">
      <w:r>
        <w:t xml:space="preserve">There </w:t>
      </w:r>
      <w:r w:rsidR="00621F2A">
        <w:t>is a range of other</w:t>
      </w:r>
      <w:r w:rsidR="00063A89">
        <w:t xml:space="preserve"> factors </w:t>
      </w:r>
      <w:r w:rsidR="00621F2A">
        <w:t>that feed into</w:t>
      </w:r>
      <w:r w:rsidR="00CA7FD1">
        <w:t xml:space="preserve"> design</w:t>
      </w:r>
      <w:r w:rsidR="000C319C">
        <w:t>ing</w:t>
      </w:r>
      <w:r w:rsidR="00CA7FD1">
        <w:t xml:space="preserve"> a communication strategy.</w:t>
      </w:r>
      <w:r w:rsidR="00063A89">
        <w:t xml:space="preserve"> </w:t>
      </w:r>
      <w:r w:rsidR="00EA66A1">
        <w:t>Operational details play a role.</w:t>
      </w:r>
      <w:r w:rsidR="0080268E">
        <w:t xml:space="preserve"> </w:t>
      </w:r>
      <w:r w:rsidR="00EA66A1">
        <w:t>Cultural environment matters</w:t>
      </w:r>
      <w:r w:rsidR="000C319C">
        <w:t xml:space="preserve">, as </w:t>
      </w:r>
      <w:r w:rsidR="00811ECE">
        <w:t>doe</w:t>
      </w:r>
      <w:r w:rsidR="000C319C">
        <w:t xml:space="preserve">s </w:t>
      </w:r>
      <w:r w:rsidR="0080268E">
        <w:t xml:space="preserve">the economic and financial literacy of the population. Finally, </w:t>
      </w:r>
      <w:r w:rsidR="00D56569">
        <w:t xml:space="preserve">to make a strategy </w:t>
      </w:r>
      <w:r w:rsidR="00E574FB">
        <w:t>well</w:t>
      </w:r>
      <w:r w:rsidR="00B12697">
        <w:t>-</w:t>
      </w:r>
      <w:r w:rsidR="00E574FB">
        <w:t>focused</w:t>
      </w:r>
      <w:r w:rsidR="5769A2BF">
        <w:t xml:space="preserve"> and tailored</w:t>
      </w:r>
      <w:r w:rsidR="00D56569">
        <w:t xml:space="preserve">, </w:t>
      </w:r>
      <w:r w:rsidR="002E4F90">
        <w:t>the</w:t>
      </w:r>
      <w:r w:rsidR="0080268E">
        <w:t xml:space="preserve"> economic situation and the </w:t>
      </w:r>
      <w:r w:rsidR="131F4E48">
        <w:t>agency</w:t>
      </w:r>
      <w:r w:rsidR="0080268E">
        <w:t xml:space="preserve">’s </w:t>
      </w:r>
      <w:r w:rsidR="00E574FB">
        <w:t>reputation among</w:t>
      </w:r>
      <w:r w:rsidR="0080268E">
        <w:t xml:space="preserve"> the public need to be </w:t>
      </w:r>
      <w:r w:rsidR="00B2384B">
        <w:t>considered</w:t>
      </w:r>
      <w:r w:rsidR="00E574FB">
        <w:t xml:space="preserve">. </w:t>
      </w:r>
      <w:r w:rsidR="00EA66A1">
        <w:t xml:space="preserve">For example, </w:t>
      </w:r>
      <w:r w:rsidR="005465ED">
        <w:t xml:space="preserve">is the central bank trusted or not </w:t>
      </w:r>
      <w:r w:rsidR="00E574FB">
        <w:t xml:space="preserve">at </w:t>
      </w:r>
      <w:r w:rsidR="005465ED">
        <w:t>this</w:t>
      </w:r>
      <w:r w:rsidR="00E574FB">
        <w:t xml:space="preserve"> moment</w:t>
      </w:r>
      <w:r w:rsidR="00EA66A1">
        <w:t>?</w:t>
      </w:r>
      <w:r w:rsidR="0080268E">
        <w:t xml:space="preserve"> </w:t>
      </w:r>
      <w:r w:rsidR="27333983">
        <w:t>Has the fiscal rule been enforced in the past?</w:t>
      </w:r>
    </w:p>
    <w:p w14:paraId="4832D597" w14:textId="77777777" w:rsidR="00EA66A1" w:rsidRPr="00BD22BC" w:rsidRDefault="00EA66A1" w:rsidP="00EA66A1"/>
    <w:p w14:paraId="0538BE7F" w14:textId="1A5EF88C" w:rsidR="00C811C1" w:rsidRPr="00BD22BC" w:rsidRDefault="00120891" w:rsidP="6EEC262A">
      <w:r w:rsidRPr="00BD22BC">
        <w:t>While e</w:t>
      </w:r>
      <w:r w:rsidR="00EA66A1" w:rsidRPr="00BD22BC">
        <w:t>ach factor shapes the communication strategy</w:t>
      </w:r>
      <w:r w:rsidRPr="00BD22BC">
        <w:t xml:space="preserve">, </w:t>
      </w:r>
      <w:r w:rsidR="00AC6618" w:rsidRPr="00BD22BC">
        <w:t xml:space="preserve">the </w:t>
      </w:r>
      <w:r w:rsidR="00C811C1" w:rsidRPr="00BD22BC">
        <w:t>strateg</w:t>
      </w:r>
      <w:r w:rsidR="00AC6618" w:rsidRPr="00BD22BC">
        <w:t>y</w:t>
      </w:r>
      <w:r w:rsidR="00C811C1" w:rsidRPr="00BD22BC">
        <w:t xml:space="preserve"> </w:t>
      </w:r>
      <w:r w:rsidR="00AC6618" w:rsidRPr="00BD22BC">
        <w:t>is</w:t>
      </w:r>
      <w:r w:rsidR="00C811C1" w:rsidRPr="00BD22BC">
        <w:t xml:space="preserve"> usually based on the same principles or building blocks</w:t>
      </w:r>
      <w:r w:rsidR="00D16D9A" w:rsidRPr="00BD22BC">
        <w:t xml:space="preserve">. These </w:t>
      </w:r>
      <w:r w:rsidR="0014410F" w:rsidRPr="00BD22BC">
        <w:t xml:space="preserve">principles </w:t>
      </w:r>
      <w:r w:rsidR="00D16D9A" w:rsidRPr="00BD22BC">
        <w:t>revolve around three questions:</w:t>
      </w:r>
    </w:p>
    <w:p w14:paraId="0A12F48E" w14:textId="6F3B5F4C" w:rsidR="00D16D9A" w:rsidRPr="00BD22BC" w:rsidRDefault="00D16D9A" w:rsidP="6EEC262A"/>
    <w:p w14:paraId="1AD9E993" w14:textId="798A4EE7" w:rsidR="00D16D9A" w:rsidRPr="00BD22BC" w:rsidRDefault="00D16D9A" w:rsidP="6EEC262A">
      <w:r>
        <w:t xml:space="preserve">First it is “Why”, the second is </w:t>
      </w:r>
      <w:r w:rsidR="00EB4281">
        <w:t>“How”</w:t>
      </w:r>
      <w:r>
        <w:t>, and the third is</w:t>
      </w:r>
      <w:r w:rsidR="00EB4281">
        <w:t xml:space="preserve"> “What”</w:t>
      </w:r>
      <w:r>
        <w:t>.</w:t>
      </w:r>
    </w:p>
    <w:p w14:paraId="47A91572" w14:textId="77777777" w:rsidR="00D16D9A" w:rsidRPr="00BD22BC" w:rsidRDefault="00D16D9A" w:rsidP="6EEC262A"/>
    <w:p w14:paraId="2B1D0EFE" w14:textId="277433FE" w:rsidR="00D16D9A" w:rsidRPr="00BD22BC" w:rsidRDefault="00D16D9A" w:rsidP="6EEC262A">
      <w:r>
        <w:t>Let’s look at these questions, and the answers, in greater detail in th</w:t>
      </w:r>
      <w:r w:rsidR="008B1694">
        <w:t>e following</w:t>
      </w:r>
      <w:r>
        <w:t xml:space="preserve"> video.</w:t>
      </w:r>
    </w:p>
    <w:p w14:paraId="687666CD" w14:textId="114E5D48" w:rsidR="6EEC262A" w:rsidRPr="00BD22BC" w:rsidRDefault="6EEC262A" w:rsidP="6EEC262A">
      <w:bookmarkStart w:id="11" w:name="_Hlk169535913"/>
    </w:p>
    <w:p w14:paraId="030C4DC3" w14:textId="57A7CEC0" w:rsidR="7D74DCFC" w:rsidRPr="003D6D64" w:rsidRDefault="04AA803A" w:rsidP="6EEC262A">
      <w:pPr>
        <w:pStyle w:val="Heading3"/>
        <w:rPr>
          <w:highlight w:val="cyan"/>
        </w:rPr>
      </w:pPr>
      <w:bookmarkStart w:id="12" w:name="_Toc460159693"/>
      <w:bookmarkStart w:id="13" w:name="_Hlk177218575"/>
      <w:r w:rsidRPr="003D6D64">
        <w:rPr>
          <w:highlight w:val="cyan"/>
        </w:rPr>
        <w:lastRenderedPageBreak/>
        <w:t>&lt;VIDEO 1.1&gt; "</w:t>
      </w:r>
      <w:r w:rsidR="483DC1D5" w:rsidRPr="003D6D64">
        <w:rPr>
          <w:highlight w:val="cyan"/>
        </w:rPr>
        <w:t>Designing an effective policy communication strategy</w:t>
      </w:r>
      <w:r w:rsidRPr="003D6D64">
        <w:rPr>
          <w:highlight w:val="cyan"/>
        </w:rPr>
        <w:t xml:space="preserve">” [word count: </w:t>
      </w:r>
      <w:r w:rsidR="5F24F418" w:rsidRPr="003D6D64">
        <w:rPr>
          <w:highlight w:val="cyan"/>
        </w:rPr>
        <w:t>4</w:t>
      </w:r>
      <w:r w:rsidR="003D6D64">
        <w:rPr>
          <w:highlight w:val="cyan"/>
        </w:rPr>
        <w:t>7</w:t>
      </w:r>
      <w:r w:rsidR="5F24F418" w:rsidRPr="003D6D64">
        <w:rPr>
          <w:highlight w:val="cyan"/>
        </w:rPr>
        <w:t>2</w:t>
      </w:r>
      <w:r w:rsidRPr="003D6D64">
        <w:rPr>
          <w:highlight w:val="cyan"/>
        </w:rPr>
        <w:t>]</w:t>
      </w:r>
      <w:bookmarkEnd w:id="12"/>
    </w:p>
    <w:bookmarkEnd w:id="13"/>
    <w:p w14:paraId="7974D874" w14:textId="77777777" w:rsidR="003D6D64" w:rsidRPr="003D6D64" w:rsidRDefault="003D6D64" w:rsidP="003D6D64">
      <w:pPr>
        <w:pStyle w:val="paragraph"/>
        <w:spacing w:before="0" w:beforeAutospacing="0" w:after="0" w:afterAutospacing="0"/>
        <w:textAlignment w:val="baseline"/>
        <w:rPr>
          <w:rFonts w:ascii="Segoe UI" w:hAnsi="Segoe UI" w:cs="Segoe UI"/>
          <w:sz w:val="18"/>
          <w:szCs w:val="18"/>
          <w:highlight w:val="cyan"/>
        </w:rPr>
      </w:pPr>
      <w:r w:rsidRPr="003D6D64">
        <w:rPr>
          <w:rStyle w:val="normaltextrun"/>
          <w:rFonts w:ascii="Arial" w:hAnsi="Arial" w:cs="Arial"/>
          <w:color w:val="000000"/>
          <w:sz w:val="22"/>
          <w:szCs w:val="22"/>
          <w:highlight w:val="cyan"/>
        </w:rPr>
        <w:t>We can borrow the “Start with Why” paradigm from author Simon Sinek.</w:t>
      </w:r>
      <w:r w:rsidRPr="003D6D64">
        <w:rPr>
          <w:rStyle w:val="eop"/>
          <w:rFonts w:ascii="Arial" w:hAnsi="Arial" w:cs="Arial"/>
          <w:color w:val="000000"/>
          <w:sz w:val="22"/>
          <w:szCs w:val="22"/>
          <w:highlight w:val="cyan"/>
        </w:rPr>
        <w:t> </w:t>
      </w:r>
    </w:p>
    <w:p w14:paraId="12A0D9E5" w14:textId="77777777" w:rsidR="003D6D64" w:rsidRPr="003D6D64" w:rsidRDefault="003D6D64" w:rsidP="003D6D64">
      <w:pPr>
        <w:pStyle w:val="paragraph"/>
        <w:spacing w:before="0" w:beforeAutospacing="0" w:after="0" w:afterAutospacing="0"/>
        <w:textAlignment w:val="baseline"/>
        <w:rPr>
          <w:rFonts w:ascii="Segoe UI" w:hAnsi="Segoe UI" w:cs="Segoe UI"/>
          <w:sz w:val="18"/>
          <w:szCs w:val="18"/>
          <w:highlight w:val="cyan"/>
        </w:rPr>
      </w:pPr>
      <w:r w:rsidRPr="003D6D64">
        <w:rPr>
          <w:rStyle w:val="eop"/>
          <w:rFonts w:ascii="Arial" w:hAnsi="Arial" w:cs="Arial"/>
          <w:color w:val="000000"/>
          <w:sz w:val="22"/>
          <w:szCs w:val="22"/>
          <w:highlight w:val="cyan"/>
        </w:rPr>
        <w:t> </w:t>
      </w:r>
    </w:p>
    <w:p w14:paraId="3FD3F47E" w14:textId="77777777" w:rsidR="003D6D64" w:rsidRPr="003D6D64" w:rsidRDefault="003D6D64" w:rsidP="003D6D64">
      <w:pPr>
        <w:pStyle w:val="paragraph"/>
        <w:spacing w:before="0" w:beforeAutospacing="0" w:after="0" w:afterAutospacing="0"/>
        <w:textAlignment w:val="baseline"/>
        <w:rPr>
          <w:rFonts w:ascii="Segoe UI" w:hAnsi="Segoe UI" w:cs="Segoe UI"/>
          <w:sz w:val="18"/>
          <w:szCs w:val="18"/>
          <w:highlight w:val="cyan"/>
        </w:rPr>
      </w:pPr>
      <w:r w:rsidRPr="003D6D64">
        <w:rPr>
          <w:rStyle w:val="normaltextrun"/>
          <w:rFonts w:ascii="Arial" w:hAnsi="Arial" w:cs="Arial"/>
          <w:color w:val="000000"/>
          <w:sz w:val="22"/>
          <w:szCs w:val="22"/>
          <w:highlight w:val="cyan"/>
        </w:rPr>
        <w:t>Before answering “How” and “What”, we must define “Why”. The “why” defines policy communication goals. These need to be set in a way that allows the central bank to measure communication’s success.</w:t>
      </w:r>
      <w:r w:rsidRPr="003D6D64">
        <w:rPr>
          <w:rStyle w:val="eop"/>
          <w:rFonts w:ascii="Arial" w:hAnsi="Arial" w:cs="Arial"/>
          <w:color w:val="000000"/>
          <w:sz w:val="22"/>
          <w:szCs w:val="22"/>
          <w:highlight w:val="cyan"/>
        </w:rPr>
        <w:t> </w:t>
      </w:r>
    </w:p>
    <w:p w14:paraId="4157587F" w14:textId="77777777" w:rsidR="003D6D64" w:rsidRPr="003D6D64" w:rsidRDefault="003D6D64" w:rsidP="003D6D64">
      <w:pPr>
        <w:pStyle w:val="paragraph"/>
        <w:spacing w:before="0" w:beforeAutospacing="0" w:after="0" w:afterAutospacing="0"/>
        <w:textAlignment w:val="baseline"/>
        <w:rPr>
          <w:rFonts w:ascii="Segoe UI" w:hAnsi="Segoe UI" w:cs="Segoe UI"/>
          <w:sz w:val="18"/>
          <w:szCs w:val="18"/>
          <w:highlight w:val="cyan"/>
        </w:rPr>
      </w:pPr>
      <w:r w:rsidRPr="003D6D64">
        <w:rPr>
          <w:rStyle w:val="eop"/>
          <w:rFonts w:ascii="Arial" w:hAnsi="Arial" w:cs="Arial"/>
          <w:color w:val="000000"/>
          <w:sz w:val="22"/>
          <w:szCs w:val="22"/>
          <w:highlight w:val="cyan"/>
        </w:rPr>
        <w:t> </w:t>
      </w:r>
    </w:p>
    <w:p w14:paraId="4EEAC7FE" w14:textId="77777777" w:rsidR="003D6D64" w:rsidRPr="003D6D64" w:rsidRDefault="003D6D64" w:rsidP="003D6D64">
      <w:pPr>
        <w:pStyle w:val="paragraph"/>
        <w:spacing w:before="0" w:beforeAutospacing="0" w:after="0" w:afterAutospacing="0"/>
        <w:textAlignment w:val="baseline"/>
        <w:rPr>
          <w:rFonts w:ascii="Segoe UI" w:hAnsi="Segoe UI" w:cs="Segoe UI"/>
          <w:sz w:val="18"/>
          <w:szCs w:val="18"/>
          <w:highlight w:val="cyan"/>
        </w:rPr>
      </w:pPr>
      <w:r w:rsidRPr="003D6D64">
        <w:rPr>
          <w:rStyle w:val="normaltextrun"/>
          <w:rFonts w:ascii="Arial" w:hAnsi="Arial" w:cs="Arial"/>
          <w:color w:val="000000"/>
          <w:sz w:val="22"/>
          <w:szCs w:val="22"/>
          <w:highlight w:val="cyan"/>
        </w:rPr>
        <w:t>Defining policy communication’s main goals is paramount: Why does a central bank communicate and what does it want to achieve?</w:t>
      </w:r>
      <w:r w:rsidRPr="003D6D64">
        <w:rPr>
          <w:rStyle w:val="eop"/>
          <w:rFonts w:ascii="Arial" w:hAnsi="Arial" w:cs="Arial"/>
          <w:color w:val="000000"/>
          <w:sz w:val="22"/>
          <w:szCs w:val="22"/>
          <w:highlight w:val="cyan"/>
        </w:rPr>
        <w:t> </w:t>
      </w:r>
    </w:p>
    <w:p w14:paraId="20073C88" w14:textId="77777777" w:rsidR="003D6D64" w:rsidRPr="003D6D64" w:rsidRDefault="003D6D64" w:rsidP="003D6D64">
      <w:pPr>
        <w:pStyle w:val="paragraph"/>
        <w:spacing w:before="0" w:beforeAutospacing="0" w:after="0" w:afterAutospacing="0"/>
        <w:textAlignment w:val="baseline"/>
        <w:rPr>
          <w:rFonts w:ascii="Segoe UI" w:hAnsi="Segoe UI" w:cs="Segoe UI"/>
          <w:sz w:val="18"/>
          <w:szCs w:val="18"/>
          <w:highlight w:val="cyan"/>
        </w:rPr>
      </w:pPr>
      <w:r w:rsidRPr="003D6D64">
        <w:rPr>
          <w:rStyle w:val="eop"/>
          <w:rFonts w:ascii="Arial" w:hAnsi="Arial" w:cs="Arial"/>
          <w:color w:val="000000"/>
          <w:sz w:val="22"/>
          <w:szCs w:val="22"/>
          <w:highlight w:val="cyan"/>
        </w:rPr>
        <w:t> </w:t>
      </w:r>
    </w:p>
    <w:p w14:paraId="50A9FE67" w14:textId="77777777" w:rsidR="003D6D64" w:rsidRPr="003D6D64" w:rsidRDefault="003D6D64" w:rsidP="003D6D64">
      <w:pPr>
        <w:pStyle w:val="paragraph"/>
        <w:spacing w:before="0" w:beforeAutospacing="0" w:after="0" w:afterAutospacing="0"/>
        <w:textAlignment w:val="baseline"/>
        <w:rPr>
          <w:rFonts w:ascii="Segoe UI" w:hAnsi="Segoe UI" w:cs="Segoe UI"/>
          <w:sz w:val="18"/>
          <w:szCs w:val="18"/>
          <w:highlight w:val="cyan"/>
        </w:rPr>
      </w:pPr>
      <w:r w:rsidRPr="003D6D64">
        <w:rPr>
          <w:rStyle w:val="normaltextrun"/>
          <w:rFonts w:ascii="Arial" w:hAnsi="Arial" w:cs="Arial"/>
          <w:color w:val="000000"/>
          <w:sz w:val="22"/>
          <w:szCs w:val="22"/>
          <w:highlight w:val="cyan"/>
        </w:rPr>
        <w:t>For any central bank, regardless of regime, the primary strategic goal of communication is to broaden the understanding of its status, mandate, and monetary policy objective.</w:t>
      </w:r>
      <w:r w:rsidRPr="003D6D64">
        <w:rPr>
          <w:rStyle w:val="eop"/>
          <w:rFonts w:ascii="Arial" w:hAnsi="Arial" w:cs="Arial"/>
          <w:color w:val="000000"/>
          <w:sz w:val="22"/>
          <w:szCs w:val="22"/>
          <w:highlight w:val="cyan"/>
        </w:rPr>
        <w:t> </w:t>
      </w:r>
    </w:p>
    <w:p w14:paraId="24919CD2" w14:textId="77777777" w:rsidR="003D6D64" w:rsidRPr="003D6D64" w:rsidRDefault="003D6D64" w:rsidP="003D6D64">
      <w:pPr>
        <w:pStyle w:val="paragraph"/>
        <w:spacing w:before="0" w:beforeAutospacing="0" w:after="0" w:afterAutospacing="0"/>
        <w:textAlignment w:val="baseline"/>
        <w:rPr>
          <w:rFonts w:ascii="Segoe UI" w:hAnsi="Segoe UI" w:cs="Segoe UI"/>
          <w:sz w:val="18"/>
          <w:szCs w:val="18"/>
          <w:highlight w:val="cyan"/>
        </w:rPr>
      </w:pPr>
      <w:r w:rsidRPr="003D6D64">
        <w:rPr>
          <w:rStyle w:val="eop"/>
          <w:rFonts w:ascii="Arial" w:hAnsi="Arial" w:cs="Arial"/>
          <w:color w:val="000000"/>
          <w:sz w:val="22"/>
          <w:szCs w:val="22"/>
          <w:highlight w:val="cyan"/>
        </w:rPr>
        <w:t> </w:t>
      </w:r>
    </w:p>
    <w:p w14:paraId="0139F13F" w14:textId="77777777" w:rsidR="003D6D64" w:rsidRPr="003D6D64" w:rsidRDefault="003D6D64" w:rsidP="003D6D64">
      <w:pPr>
        <w:pStyle w:val="paragraph"/>
        <w:spacing w:before="0" w:beforeAutospacing="0" w:after="0" w:afterAutospacing="0"/>
        <w:textAlignment w:val="baseline"/>
        <w:rPr>
          <w:rFonts w:ascii="Segoe UI" w:hAnsi="Segoe UI" w:cs="Segoe UI"/>
          <w:sz w:val="18"/>
          <w:szCs w:val="18"/>
          <w:highlight w:val="cyan"/>
        </w:rPr>
      </w:pPr>
      <w:r w:rsidRPr="003D6D64">
        <w:rPr>
          <w:rStyle w:val="normaltextrun"/>
          <w:rFonts w:ascii="Arial" w:hAnsi="Arial" w:cs="Arial"/>
          <w:color w:val="000000"/>
          <w:sz w:val="22"/>
          <w:szCs w:val="22"/>
          <w:highlight w:val="cyan"/>
        </w:rPr>
        <w:t>An inflation-oriented central bank aims to inform the public about the primacy of the price stability objective, inflation target, and the importance of low inflation for long-term growth and prosperity. Equally important is to speak about the value of a transparent and operationally autonomous central bank. </w:t>
      </w:r>
      <w:r w:rsidRPr="003D6D64">
        <w:rPr>
          <w:rStyle w:val="eop"/>
          <w:rFonts w:ascii="Arial" w:hAnsi="Arial" w:cs="Arial"/>
          <w:color w:val="000000"/>
          <w:sz w:val="22"/>
          <w:szCs w:val="22"/>
          <w:highlight w:val="cyan"/>
        </w:rPr>
        <w:t> </w:t>
      </w:r>
    </w:p>
    <w:p w14:paraId="26E89FE8" w14:textId="77777777" w:rsidR="003D6D64" w:rsidRPr="003D6D64" w:rsidRDefault="003D6D64" w:rsidP="003D6D64">
      <w:pPr>
        <w:pStyle w:val="paragraph"/>
        <w:spacing w:before="0" w:beforeAutospacing="0" w:after="0" w:afterAutospacing="0"/>
        <w:textAlignment w:val="baseline"/>
        <w:rPr>
          <w:rFonts w:ascii="Segoe UI" w:hAnsi="Segoe UI" w:cs="Segoe UI"/>
          <w:sz w:val="18"/>
          <w:szCs w:val="18"/>
          <w:highlight w:val="cyan"/>
        </w:rPr>
      </w:pPr>
      <w:r w:rsidRPr="003D6D64">
        <w:rPr>
          <w:rStyle w:val="eop"/>
          <w:rFonts w:ascii="Arial" w:hAnsi="Arial" w:cs="Arial"/>
          <w:color w:val="000000"/>
          <w:sz w:val="22"/>
          <w:szCs w:val="22"/>
          <w:highlight w:val="cyan"/>
        </w:rPr>
        <w:t> </w:t>
      </w:r>
    </w:p>
    <w:p w14:paraId="454B4C97" w14:textId="77777777" w:rsidR="003D6D64" w:rsidRPr="003D6D64" w:rsidRDefault="003D6D64" w:rsidP="003D6D64">
      <w:pPr>
        <w:pStyle w:val="paragraph"/>
        <w:spacing w:before="0" w:beforeAutospacing="0" w:after="0" w:afterAutospacing="0"/>
        <w:textAlignment w:val="baseline"/>
        <w:rPr>
          <w:rFonts w:ascii="Segoe UI" w:hAnsi="Segoe UI" w:cs="Segoe UI"/>
          <w:sz w:val="18"/>
          <w:szCs w:val="18"/>
          <w:highlight w:val="cyan"/>
        </w:rPr>
      </w:pPr>
      <w:r w:rsidRPr="003D6D64">
        <w:rPr>
          <w:rStyle w:val="normaltextrun"/>
          <w:rFonts w:ascii="Arial" w:hAnsi="Arial" w:cs="Arial"/>
          <w:color w:val="000000"/>
          <w:sz w:val="22"/>
          <w:szCs w:val="22"/>
          <w:highlight w:val="cyan"/>
        </w:rPr>
        <w:t>A central bank operating under an exchange rate peg has similar objectives, as expectations play a crucial role in any regime.</w:t>
      </w:r>
      <w:r w:rsidRPr="003D6D64">
        <w:rPr>
          <w:rStyle w:val="eop"/>
          <w:rFonts w:ascii="Arial" w:hAnsi="Arial" w:cs="Arial"/>
          <w:color w:val="000000"/>
          <w:sz w:val="22"/>
          <w:szCs w:val="22"/>
          <w:highlight w:val="cyan"/>
        </w:rPr>
        <w:t> </w:t>
      </w:r>
    </w:p>
    <w:p w14:paraId="74C622DE" w14:textId="77777777" w:rsidR="003D6D64" w:rsidRPr="003D6D64" w:rsidRDefault="003D6D64" w:rsidP="003D6D64">
      <w:pPr>
        <w:pStyle w:val="paragraph"/>
        <w:spacing w:before="0" w:beforeAutospacing="0" w:after="0" w:afterAutospacing="0"/>
        <w:textAlignment w:val="baseline"/>
        <w:rPr>
          <w:rFonts w:ascii="Segoe UI" w:hAnsi="Segoe UI" w:cs="Segoe UI"/>
          <w:sz w:val="18"/>
          <w:szCs w:val="18"/>
          <w:highlight w:val="cyan"/>
        </w:rPr>
      </w:pPr>
      <w:r w:rsidRPr="003D6D64">
        <w:rPr>
          <w:rStyle w:val="eop"/>
          <w:rFonts w:ascii="Arial" w:hAnsi="Arial" w:cs="Arial"/>
          <w:color w:val="000000"/>
          <w:sz w:val="22"/>
          <w:szCs w:val="22"/>
          <w:highlight w:val="cyan"/>
        </w:rPr>
        <w:t> </w:t>
      </w:r>
    </w:p>
    <w:p w14:paraId="70349748" w14:textId="77777777" w:rsidR="003D6D64" w:rsidRPr="003D6D64" w:rsidRDefault="003D6D64" w:rsidP="003D6D64">
      <w:pPr>
        <w:pStyle w:val="paragraph"/>
        <w:spacing w:before="0" w:beforeAutospacing="0" w:after="0" w:afterAutospacing="0"/>
        <w:textAlignment w:val="baseline"/>
        <w:rPr>
          <w:rFonts w:ascii="Segoe UI" w:hAnsi="Segoe UI" w:cs="Segoe UI"/>
          <w:sz w:val="18"/>
          <w:szCs w:val="18"/>
          <w:highlight w:val="cyan"/>
        </w:rPr>
      </w:pPr>
      <w:r w:rsidRPr="003D6D64">
        <w:rPr>
          <w:rStyle w:val="normaltextrun"/>
          <w:rFonts w:ascii="Arial" w:hAnsi="Arial" w:cs="Arial"/>
          <w:color w:val="000000"/>
          <w:sz w:val="22"/>
          <w:szCs w:val="22"/>
          <w:highlight w:val="cyan"/>
        </w:rPr>
        <w:t>An exchange-rate pegging central bank aims to reassure the public of its efforts to achieve a stable exchange rate over the medium term. This is achieved through its international reserves. To sustain the credibility of a peg and anchor inflation expectations, a central bank must credibly communicate its foreign exchange position.</w:t>
      </w:r>
      <w:r w:rsidRPr="003D6D64">
        <w:rPr>
          <w:rStyle w:val="eop"/>
          <w:rFonts w:ascii="Arial" w:hAnsi="Arial" w:cs="Arial"/>
          <w:color w:val="000000"/>
          <w:sz w:val="22"/>
          <w:szCs w:val="22"/>
          <w:highlight w:val="cyan"/>
        </w:rPr>
        <w:t> </w:t>
      </w:r>
    </w:p>
    <w:p w14:paraId="2C9C9015" w14:textId="77777777" w:rsidR="003D6D64" w:rsidRPr="003D6D64" w:rsidRDefault="003D6D64" w:rsidP="003D6D64">
      <w:pPr>
        <w:pStyle w:val="paragraph"/>
        <w:spacing w:before="0" w:beforeAutospacing="0" w:after="0" w:afterAutospacing="0"/>
        <w:textAlignment w:val="baseline"/>
        <w:rPr>
          <w:rFonts w:ascii="Segoe UI" w:hAnsi="Segoe UI" w:cs="Segoe UI"/>
          <w:sz w:val="18"/>
          <w:szCs w:val="18"/>
          <w:highlight w:val="cyan"/>
        </w:rPr>
      </w:pPr>
      <w:r w:rsidRPr="003D6D64">
        <w:rPr>
          <w:rStyle w:val="eop"/>
          <w:rFonts w:ascii="Arial" w:hAnsi="Arial" w:cs="Arial"/>
          <w:color w:val="000000"/>
          <w:sz w:val="22"/>
          <w:szCs w:val="22"/>
          <w:highlight w:val="cyan"/>
        </w:rPr>
        <w:t> </w:t>
      </w:r>
    </w:p>
    <w:p w14:paraId="0D5030E7" w14:textId="77777777" w:rsidR="003D6D64" w:rsidRPr="003D6D64" w:rsidRDefault="003D6D64" w:rsidP="003D6D64">
      <w:pPr>
        <w:pStyle w:val="paragraph"/>
        <w:spacing w:before="0" w:beforeAutospacing="0" w:after="0" w:afterAutospacing="0"/>
        <w:textAlignment w:val="baseline"/>
        <w:rPr>
          <w:rFonts w:ascii="Segoe UI" w:hAnsi="Segoe UI" w:cs="Segoe UI"/>
          <w:sz w:val="18"/>
          <w:szCs w:val="18"/>
          <w:highlight w:val="cyan"/>
        </w:rPr>
      </w:pPr>
      <w:r w:rsidRPr="003D6D64">
        <w:rPr>
          <w:rStyle w:val="normaltextrun"/>
          <w:rFonts w:ascii="Arial" w:hAnsi="Arial" w:cs="Arial"/>
          <w:color w:val="000000"/>
          <w:sz w:val="22"/>
          <w:szCs w:val="22"/>
          <w:highlight w:val="cyan"/>
        </w:rPr>
        <w:t>The “How” question is addressed by the central bank’s institutional foundations and communication tools and techniques. </w:t>
      </w:r>
      <w:r w:rsidRPr="003D6D64">
        <w:rPr>
          <w:rStyle w:val="eop"/>
          <w:rFonts w:ascii="Arial" w:hAnsi="Arial" w:cs="Arial"/>
          <w:color w:val="000000"/>
          <w:sz w:val="22"/>
          <w:szCs w:val="22"/>
          <w:highlight w:val="cyan"/>
        </w:rPr>
        <w:t> </w:t>
      </w:r>
    </w:p>
    <w:p w14:paraId="5870B508" w14:textId="77777777" w:rsidR="003D6D64" w:rsidRPr="003D6D64" w:rsidRDefault="003D6D64" w:rsidP="003D6D64">
      <w:pPr>
        <w:pStyle w:val="paragraph"/>
        <w:spacing w:before="0" w:beforeAutospacing="0" w:after="0" w:afterAutospacing="0"/>
        <w:textAlignment w:val="baseline"/>
        <w:rPr>
          <w:rFonts w:ascii="Segoe UI" w:hAnsi="Segoe UI" w:cs="Segoe UI"/>
          <w:sz w:val="18"/>
          <w:szCs w:val="18"/>
          <w:highlight w:val="cyan"/>
        </w:rPr>
      </w:pPr>
      <w:r w:rsidRPr="003D6D64">
        <w:rPr>
          <w:rStyle w:val="eop"/>
          <w:rFonts w:ascii="Arial" w:hAnsi="Arial" w:cs="Arial"/>
          <w:color w:val="000000"/>
          <w:sz w:val="22"/>
          <w:szCs w:val="22"/>
          <w:highlight w:val="cyan"/>
        </w:rPr>
        <w:t> </w:t>
      </w:r>
    </w:p>
    <w:p w14:paraId="76DDC6B3" w14:textId="77777777" w:rsidR="003D6D64" w:rsidRPr="003D6D64" w:rsidRDefault="003D6D64" w:rsidP="003D6D64">
      <w:pPr>
        <w:pStyle w:val="paragraph"/>
        <w:spacing w:before="0" w:beforeAutospacing="0" w:after="0" w:afterAutospacing="0"/>
        <w:textAlignment w:val="baseline"/>
        <w:rPr>
          <w:rFonts w:ascii="Segoe UI" w:hAnsi="Segoe UI" w:cs="Segoe UI"/>
          <w:sz w:val="18"/>
          <w:szCs w:val="18"/>
          <w:highlight w:val="cyan"/>
        </w:rPr>
      </w:pPr>
      <w:r w:rsidRPr="003D6D64">
        <w:rPr>
          <w:rStyle w:val="normaltextrun"/>
          <w:rFonts w:ascii="Arial" w:hAnsi="Arial" w:cs="Arial"/>
          <w:color w:val="000000"/>
          <w:sz w:val="22"/>
          <w:szCs w:val="22"/>
          <w:highlight w:val="cyan"/>
        </w:rPr>
        <w:t>How a central bank communicates depends on the institutional setup: What is the policymakers’ appointment process and the policymaking body’s decision-making typology? This can be either individualistic, with a single decision maker or decision makers who have individual votes and speak for themselves; or collegial. A collegial body arrives at decisions by consensus, and each member takes ownership of those decisions. This decision-making typology influences the central bank’s communication style. The institution then speaks with either a single voice or multiple voices. </w:t>
      </w:r>
      <w:r w:rsidRPr="003D6D64">
        <w:rPr>
          <w:rStyle w:val="eop"/>
          <w:rFonts w:ascii="Arial" w:hAnsi="Arial" w:cs="Arial"/>
          <w:color w:val="000000"/>
          <w:sz w:val="22"/>
          <w:szCs w:val="22"/>
          <w:highlight w:val="cyan"/>
        </w:rPr>
        <w:t> </w:t>
      </w:r>
    </w:p>
    <w:p w14:paraId="351CB637" w14:textId="77777777" w:rsidR="003D6D64" w:rsidRPr="003D6D64" w:rsidRDefault="003D6D64" w:rsidP="003D6D64">
      <w:pPr>
        <w:pStyle w:val="paragraph"/>
        <w:spacing w:before="0" w:beforeAutospacing="0" w:after="0" w:afterAutospacing="0"/>
        <w:textAlignment w:val="baseline"/>
        <w:rPr>
          <w:rFonts w:ascii="Segoe UI" w:hAnsi="Segoe UI" w:cs="Segoe UI"/>
          <w:sz w:val="18"/>
          <w:szCs w:val="18"/>
          <w:highlight w:val="cyan"/>
        </w:rPr>
      </w:pPr>
      <w:r w:rsidRPr="003D6D64">
        <w:rPr>
          <w:rStyle w:val="eop"/>
          <w:rFonts w:ascii="Arial" w:hAnsi="Arial" w:cs="Arial"/>
          <w:color w:val="000000"/>
          <w:sz w:val="22"/>
          <w:szCs w:val="22"/>
          <w:highlight w:val="cyan"/>
        </w:rPr>
        <w:t> </w:t>
      </w:r>
    </w:p>
    <w:p w14:paraId="2987391E" w14:textId="77777777" w:rsidR="003D6D64" w:rsidRPr="003D6D64" w:rsidRDefault="003D6D64" w:rsidP="003D6D64">
      <w:pPr>
        <w:pStyle w:val="paragraph"/>
        <w:spacing w:before="0" w:beforeAutospacing="0" w:after="0" w:afterAutospacing="0"/>
        <w:textAlignment w:val="baseline"/>
        <w:rPr>
          <w:rFonts w:ascii="Segoe UI" w:hAnsi="Segoe UI" w:cs="Segoe UI"/>
          <w:sz w:val="18"/>
          <w:szCs w:val="18"/>
          <w:highlight w:val="cyan"/>
        </w:rPr>
      </w:pPr>
      <w:r w:rsidRPr="003D6D64">
        <w:rPr>
          <w:rStyle w:val="normaltextrun"/>
          <w:rFonts w:ascii="Arial" w:hAnsi="Arial" w:cs="Arial"/>
          <w:color w:val="000000"/>
          <w:sz w:val="22"/>
          <w:szCs w:val="22"/>
          <w:highlight w:val="cyan"/>
        </w:rPr>
        <w:t>The answer to the “What” question is a set of two messages. First, what is the institution’s status and mandate? Second, what is the reasoning behind their policy decisions and forecasts?</w:t>
      </w:r>
      <w:r w:rsidRPr="003D6D64">
        <w:rPr>
          <w:rStyle w:val="eop"/>
          <w:rFonts w:ascii="Arial" w:hAnsi="Arial" w:cs="Arial"/>
          <w:color w:val="000000"/>
          <w:sz w:val="22"/>
          <w:szCs w:val="22"/>
          <w:highlight w:val="cyan"/>
        </w:rPr>
        <w:t> </w:t>
      </w:r>
    </w:p>
    <w:p w14:paraId="43A70545" w14:textId="77777777" w:rsidR="003D6D64" w:rsidRPr="003D6D64" w:rsidRDefault="003D6D64" w:rsidP="003D6D64">
      <w:pPr>
        <w:pStyle w:val="paragraph"/>
        <w:spacing w:before="0" w:beforeAutospacing="0" w:after="0" w:afterAutospacing="0"/>
        <w:textAlignment w:val="baseline"/>
        <w:rPr>
          <w:rFonts w:ascii="Segoe UI" w:hAnsi="Segoe UI" w:cs="Segoe UI"/>
          <w:sz w:val="18"/>
          <w:szCs w:val="18"/>
          <w:highlight w:val="cyan"/>
        </w:rPr>
      </w:pPr>
      <w:r w:rsidRPr="003D6D64">
        <w:rPr>
          <w:rStyle w:val="eop"/>
          <w:rFonts w:ascii="Arial" w:hAnsi="Arial" w:cs="Arial"/>
          <w:color w:val="000000"/>
          <w:sz w:val="22"/>
          <w:szCs w:val="22"/>
          <w:highlight w:val="cyan"/>
        </w:rPr>
        <w:t> </w:t>
      </w:r>
    </w:p>
    <w:p w14:paraId="79820BF1" w14:textId="77777777" w:rsidR="003D6D64" w:rsidRPr="003D6D64" w:rsidRDefault="003D6D64" w:rsidP="003D6D64">
      <w:pPr>
        <w:pStyle w:val="paragraph"/>
        <w:spacing w:before="0" w:beforeAutospacing="0" w:after="0" w:afterAutospacing="0"/>
        <w:textAlignment w:val="baseline"/>
        <w:rPr>
          <w:rFonts w:ascii="Segoe UI" w:hAnsi="Segoe UI" w:cs="Segoe UI"/>
          <w:sz w:val="18"/>
          <w:szCs w:val="18"/>
          <w:highlight w:val="cyan"/>
        </w:rPr>
      </w:pPr>
      <w:r w:rsidRPr="003D6D64">
        <w:rPr>
          <w:rStyle w:val="normaltextrun"/>
          <w:rFonts w:ascii="Arial" w:hAnsi="Arial" w:cs="Arial"/>
          <w:color w:val="000000"/>
          <w:sz w:val="22"/>
          <w:szCs w:val="22"/>
          <w:highlight w:val="cyan"/>
        </w:rPr>
        <w:t>Let’s start with messages on status and mandate: At an inflation-oriented central bank, messages should reinforce the price stability mandate and the inflation target level. Every public engagement by central bank officials must explicitly mention the inflation target and its horizon.</w:t>
      </w:r>
      <w:r w:rsidRPr="003D6D64">
        <w:rPr>
          <w:rStyle w:val="eop"/>
          <w:rFonts w:ascii="Arial" w:hAnsi="Arial" w:cs="Arial"/>
          <w:color w:val="000000"/>
          <w:sz w:val="22"/>
          <w:szCs w:val="22"/>
          <w:highlight w:val="cyan"/>
        </w:rPr>
        <w:t> </w:t>
      </w:r>
    </w:p>
    <w:p w14:paraId="0D1121A0" w14:textId="77777777" w:rsidR="003D6D64" w:rsidRPr="003D6D64" w:rsidRDefault="003D6D64" w:rsidP="003D6D64">
      <w:pPr>
        <w:pStyle w:val="paragraph"/>
        <w:spacing w:before="0" w:beforeAutospacing="0" w:after="0" w:afterAutospacing="0"/>
        <w:textAlignment w:val="baseline"/>
        <w:rPr>
          <w:rFonts w:ascii="Segoe UI" w:hAnsi="Segoe UI" w:cs="Segoe UI"/>
          <w:sz w:val="18"/>
          <w:szCs w:val="18"/>
          <w:highlight w:val="cyan"/>
        </w:rPr>
      </w:pPr>
      <w:r w:rsidRPr="003D6D64">
        <w:rPr>
          <w:rStyle w:val="eop"/>
          <w:rFonts w:ascii="Arial" w:hAnsi="Arial" w:cs="Arial"/>
          <w:color w:val="000000"/>
          <w:sz w:val="22"/>
          <w:szCs w:val="22"/>
          <w:highlight w:val="cyan"/>
        </w:rPr>
        <w:t> </w:t>
      </w:r>
    </w:p>
    <w:p w14:paraId="6543C161" w14:textId="77777777" w:rsidR="003D6D64" w:rsidRPr="003D6D64" w:rsidRDefault="003D6D64" w:rsidP="003D6D64">
      <w:pPr>
        <w:pStyle w:val="paragraph"/>
        <w:spacing w:before="0" w:beforeAutospacing="0" w:after="0" w:afterAutospacing="0"/>
        <w:textAlignment w:val="baseline"/>
        <w:rPr>
          <w:rFonts w:ascii="Segoe UI" w:hAnsi="Segoe UI" w:cs="Segoe UI"/>
          <w:sz w:val="18"/>
          <w:szCs w:val="18"/>
          <w:highlight w:val="cyan"/>
        </w:rPr>
      </w:pPr>
      <w:r w:rsidRPr="003D6D64">
        <w:rPr>
          <w:rStyle w:val="normaltextrun"/>
          <w:rFonts w:ascii="Arial" w:hAnsi="Arial" w:cs="Arial"/>
          <w:color w:val="000000"/>
          <w:sz w:val="22"/>
          <w:szCs w:val="22"/>
          <w:highlight w:val="cyan"/>
        </w:rPr>
        <w:t>For central banks operating exchange rate pegs, the focus is on foreign exchange reserves, import coverage, and capital flows (if they are relevant for a given country). For example, the widely recognized international norm for sufficient ‘import coverage’ is 3 months. There are similar benchmarks for appropriate reserve levels vis-à-vis capital flows.</w:t>
      </w:r>
      <w:r w:rsidRPr="003D6D64">
        <w:rPr>
          <w:rStyle w:val="eop"/>
          <w:rFonts w:ascii="Arial" w:hAnsi="Arial" w:cs="Arial"/>
          <w:color w:val="000000"/>
          <w:sz w:val="22"/>
          <w:szCs w:val="22"/>
          <w:highlight w:val="cyan"/>
        </w:rPr>
        <w:t> </w:t>
      </w:r>
    </w:p>
    <w:p w14:paraId="735E804D" w14:textId="77777777" w:rsidR="003D6D64" w:rsidRPr="003D6D64" w:rsidRDefault="003D6D64" w:rsidP="003D6D64">
      <w:pPr>
        <w:pStyle w:val="paragraph"/>
        <w:spacing w:before="0" w:beforeAutospacing="0" w:after="0" w:afterAutospacing="0"/>
        <w:textAlignment w:val="baseline"/>
        <w:rPr>
          <w:rFonts w:ascii="Segoe UI" w:hAnsi="Segoe UI" w:cs="Segoe UI"/>
          <w:sz w:val="18"/>
          <w:szCs w:val="18"/>
          <w:highlight w:val="cyan"/>
        </w:rPr>
      </w:pPr>
      <w:r w:rsidRPr="003D6D64">
        <w:rPr>
          <w:rStyle w:val="eop"/>
          <w:rFonts w:ascii="Arial" w:hAnsi="Arial" w:cs="Arial"/>
          <w:color w:val="000000"/>
          <w:sz w:val="22"/>
          <w:szCs w:val="22"/>
          <w:highlight w:val="cyan"/>
        </w:rPr>
        <w:t> </w:t>
      </w:r>
    </w:p>
    <w:p w14:paraId="0B6CF08E" w14:textId="77777777" w:rsidR="003D6D64" w:rsidRPr="003D6D64" w:rsidRDefault="003D6D64" w:rsidP="003D6D64">
      <w:pPr>
        <w:pStyle w:val="paragraph"/>
        <w:spacing w:before="0" w:beforeAutospacing="0" w:after="0" w:afterAutospacing="0"/>
        <w:textAlignment w:val="baseline"/>
        <w:rPr>
          <w:rFonts w:ascii="Segoe UI" w:hAnsi="Segoe UI" w:cs="Segoe UI"/>
          <w:sz w:val="18"/>
          <w:szCs w:val="18"/>
          <w:highlight w:val="cyan"/>
        </w:rPr>
      </w:pPr>
      <w:r w:rsidRPr="003D6D64">
        <w:rPr>
          <w:rStyle w:val="normaltextrun"/>
          <w:rFonts w:ascii="Arial" w:hAnsi="Arial" w:cs="Arial"/>
          <w:color w:val="000000"/>
          <w:sz w:val="22"/>
          <w:szCs w:val="22"/>
          <w:highlight w:val="cyan"/>
        </w:rPr>
        <w:t>Besides status and mandate, it’s essential to explain the reasoning behind the agency’s policy decisions and forecasts. Inflation-oriented central banks focus on key messages about macroeconomic forecasts and the economic analysis behind them. Explaining past forecast errors promotes trust in the institution.</w:t>
      </w:r>
      <w:r w:rsidRPr="003D6D64">
        <w:rPr>
          <w:rStyle w:val="eop"/>
          <w:rFonts w:ascii="Arial" w:hAnsi="Arial" w:cs="Arial"/>
          <w:color w:val="000000"/>
          <w:sz w:val="22"/>
          <w:szCs w:val="22"/>
          <w:highlight w:val="cyan"/>
        </w:rPr>
        <w:t> </w:t>
      </w:r>
    </w:p>
    <w:p w14:paraId="6D551E52" w14:textId="77777777" w:rsidR="003D6D64" w:rsidRPr="003D6D64" w:rsidRDefault="003D6D64" w:rsidP="003D6D64">
      <w:pPr>
        <w:pStyle w:val="paragraph"/>
        <w:spacing w:before="0" w:beforeAutospacing="0" w:after="0" w:afterAutospacing="0"/>
        <w:textAlignment w:val="baseline"/>
        <w:rPr>
          <w:rFonts w:ascii="Segoe UI" w:hAnsi="Segoe UI" w:cs="Segoe UI"/>
          <w:sz w:val="18"/>
          <w:szCs w:val="18"/>
          <w:highlight w:val="cyan"/>
        </w:rPr>
      </w:pPr>
      <w:r w:rsidRPr="003D6D64">
        <w:rPr>
          <w:rStyle w:val="eop"/>
          <w:rFonts w:ascii="Arial" w:hAnsi="Arial" w:cs="Arial"/>
          <w:color w:val="000000"/>
          <w:sz w:val="22"/>
          <w:szCs w:val="22"/>
          <w:highlight w:val="cyan"/>
        </w:rPr>
        <w:t> </w:t>
      </w:r>
    </w:p>
    <w:p w14:paraId="70EE3333" w14:textId="5C8DD92A" w:rsidR="6EEC262A" w:rsidRPr="003D6D64" w:rsidRDefault="6EEC262A" w:rsidP="6EEC262A">
      <w:pPr>
        <w:rPr>
          <w:highlight w:val="cyan"/>
        </w:rPr>
      </w:pPr>
    </w:p>
    <w:p w14:paraId="775874F0" w14:textId="1E37FEB4" w:rsidR="7D74DCFC" w:rsidRPr="00BD22BC" w:rsidRDefault="7D74DCFC" w:rsidP="6EEC262A">
      <w:pPr>
        <w:rPr>
          <w:b/>
          <w:bCs/>
        </w:rPr>
      </w:pPr>
      <w:r w:rsidRPr="003D6D64">
        <w:rPr>
          <w:b/>
          <w:bCs/>
          <w:highlight w:val="cyan"/>
        </w:rPr>
        <w:t>&lt;END OF VIDEO &gt;</w:t>
      </w:r>
    </w:p>
    <w:bookmarkEnd w:id="11"/>
    <w:p w14:paraId="382FBB7D" w14:textId="5FE78427" w:rsidR="6EEC262A" w:rsidRPr="00BD22BC" w:rsidRDefault="6EEC262A" w:rsidP="6EEC262A">
      <w:pPr>
        <w:pBdr>
          <w:bottom w:val="single" w:sz="6" w:space="1" w:color="auto"/>
        </w:pBdr>
      </w:pPr>
    </w:p>
    <w:p w14:paraId="2E4313AB" w14:textId="77777777" w:rsidR="00F25D8C" w:rsidRPr="00BD22BC" w:rsidRDefault="00F25D8C" w:rsidP="101184B2">
      <w:pPr>
        <w:rPr>
          <w:b/>
          <w:bCs/>
          <w:highlight w:val="yellow"/>
        </w:rPr>
      </w:pPr>
    </w:p>
    <w:p w14:paraId="51C780E9" w14:textId="4D722004" w:rsidR="00F54B20" w:rsidRPr="00BD22BC" w:rsidRDefault="6C322546" w:rsidP="0090062A">
      <w:pPr>
        <w:pStyle w:val="Heading2"/>
      </w:pPr>
      <w:bookmarkStart w:id="14" w:name="_Toc2008032483"/>
      <w:r w:rsidRPr="7EEFCAA8">
        <w:rPr>
          <w:highlight w:val="yellow"/>
        </w:rPr>
        <w:t>UNIT 1.2:</w:t>
      </w:r>
      <w:r w:rsidRPr="7EEFCAA8">
        <w:rPr>
          <w:rFonts w:eastAsia="Arial"/>
          <w:color w:val="000000" w:themeColor="text1"/>
        </w:rPr>
        <w:t xml:space="preserve"> </w:t>
      </w:r>
      <w:bookmarkStart w:id="15" w:name="_Hlk172487255"/>
      <w:bookmarkStart w:id="16" w:name="_Hlk171404561"/>
      <w:r w:rsidR="0A92E97B">
        <w:t xml:space="preserve">Outline of a model communication </w:t>
      </w:r>
      <w:bookmarkEnd w:id="15"/>
      <w:r w:rsidR="0A92E97B">
        <w:t>strategy</w:t>
      </w:r>
      <w:bookmarkEnd w:id="14"/>
    </w:p>
    <w:bookmarkEnd w:id="16"/>
    <w:p w14:paraId="10D204F0" w14:textId="77777777" w:rsidR="00F54B20" w:rsidRPr="00BD22BC" w:rsidRDefault="00F54B20" w:rsidP="101184B2"/>
    <w:p w14:paraId="4F44CBB3" w14:textId="77777777" w:rsidR="005E2049" w:rsidRPr="00BD22BC" w:rsidRDefault="00A5682B" w:rsidP="101184B2">
      <w:r w:rsidRPr="00BD22BC">
        <w:t xml:space="preserve">A monetary policy communication strategy is usually adopted as an internal document approved by a central bank’s top decision-making body. </w:t>
      </w:r>
    </w:p>
    <w:p w14:paraId="58F36A75" w14:textId="77777777" w:rsidR="005E2049" w:rsidRPr="00BD22BC" w:rsidRDefault="005E2049" w:rsidP="101184B2"/>
    <w:p w14:paraId="2B905BF0" w14:textId="341268C8" w:rsidR="005E2049" w:rsidRPr="00BD22BC" w:rsidRDefault="005E2049" w:rsidP="005E2049">
      <w:r>
        <w:t xml:space="preserve">Apart from setting the strategic communication goals, the document would </w:t>
      </w:r>
      <w:r w:rsidR="00A42FA2">
        <w:t>include</w:t>
      </w:r>
      <w:r>
        <w:t xml:space="preserve"> the main strategic communication messages, </w:t>
      </w:r>
      <w:r w:rsidR="000938E0">
        <w:t xml:space="preserve">segment </w:t>
      </w:r>
      <w:r>
        <w:t xml:space="preserve">target stakeholder groups, and </w:t>
      </w:r>
      <w:r w:rsidR="00105C32">
        <w:t xml:space="preserve">propose </w:t>
      </w:r>
      <w:r>
        <w:t xml:space="preserve">tactics, tools, and techniques for reaching out to each target group individually. </w:t>
      </w:r>
      <w:r w:rsidR="00E24219">
        <w:t>In sum</w:t>
      </w:r>
      <w:r w:rsidR="004B17FB">
        <w:t>mary</w:t>
      </w:r>
      <w:r w:rsidR="00E24219">
        <w:t>, th</w:t>
      </w:r>
      <w:r w:rsidR="004B17FB">
        <w:t>e</w:t>
      </w:r>
      <w:r w:rsidR="00E24219">
        <w:t xml:space="preserve"> </w:t>
      </w:r>
      <w:r>
        <w:t xml:space="preserve">strategy </w:t>
      </w:r>
      <w:r w:rsidR="008E7DE4">
        <w:t>document outlines</w:t>
      </w:r>
      <w:r w:rsidR="00D81189">
        <w:t xml:space="preserve"> how </w:t>
      </w:r>
      <w:r>
        <w:t xml:space="preserve">a central bank </w:t>
      </w:r>
      <w:r w:rsidR="00F775AF">
        <w:t xml:space="preserve">can </w:t>
      </w:r>
      <w:r>
        <w:t>systematically employ a wide variety of communication tools to effectively transmit its messages to a wide array of audiences.</w:t>
      </w:r>
    </w:p>
    <w:p w14:paraId="19DC17F9" w14:textId="77777777" w:rsidR="005E2049" w:rsidRPr="00BD22BC" w:rsidRDefault="005E2049" w:rsidP="101184B2"/>
    <w:p w14:paraId="1810C3E8" w14:textId="414A9A1F" w:rsidR="00A5682B" w:rsidRPr="00BD22BC" w:rsidRDefault="00A5682B" w:rsidP="101184B2">
      <w:bookmarkStart w:id="17" w:name="_Hlk172472449"/>
      <w:r>
        <w:t xml:space="preserve">A typical strategy is formulated along </w:t>
      </w:r>
      <w:r w:rsidR="00761EAF">
        <w:t xml:space="preserve">a </w:t>
      </w:r>
      <w:r w:rsidR="002E78B7">
        <w:t xml:space="preserve">model </w:t>
      </w:r>
      <w:r>
        <w:t>outline</w:t>
      </w:r>
      <w:r w:rsidR="00FC63D6">
        <w:t xml:space="preserve"> </w:t>
      </w:r>
      <w:bookmarkStart w:id="18" w:name="_Hlk172388351"/>
      <w:r w:rsidR="00FC63D6" w:rsidRPr="38638030">
        <w:rPr>
          <w:highlight w:val="yellow"/>
        </w:rPr>
        <w:t xml:space="preserve">&lt;INSERT </w:t>
      </w:r>
      <w:r w:rsidR="00182B98" w:rsidRPr="38638030">
        <w:rPr>
          <w:highlight w:val="yellow"/>
        </w:rPr>
        <w:t>HYPERLINK TO PDF #1&gt;</w:t>
      </w:r>
      <w:r w:rsidR="00007F42">
        <w:t>.</w:t>
      </w:r>
      <w:r w:rsidR="009F7829">
        <w:t xml:space="preserve"> </w:t>
      </w:r>
      <w:bookmarkEnd w:id="17"/>
      <w:bookmarkEnd w:id="18"/>
      <w:r w:rsidR="009F7829">
        <w:t>(</w:t>
      </w:r>
      <w:r w:rsidR="009F7829" w:rsidRPr="38638030">
        <w:rPr>
          <w:b/>
          <w:bCs/>
          <w:i/>
          <w:iCs/>
        </w:rPr>
        <w:t>NOTE:</w:t>
      </w:r>
      <w:r w:rsidR="009F7829" w:rsidRPr="38638030">
        <w:rPr>
          <w:i/>
          <w:iCs/>
        </w:rPr>
        <w:t xml:space="preserve"> </w:t>
      </w:r>
      <w:r w:rsidR="00BB0E4D" w:rsidRPr="38638030">
        <w:rPr>
          <w:i/>
          <w:iCs/>
        </w:rPr>
        <w:t>This is a</w:t>
      </w:r>
      <w:r w:rsidR="009F7829" w:rsidRPr="38638030">
        <w:rPr>
          <w:i/>
          <w:iCs/>
        </w:rPr>
        <w:t xml:space="preserve"> general template </w:t>
      </w:r>
      <w:r w:rsidR="00BB0E4D" w:rsidRPr="38638030">
        <w:rPr>
          <w:i/>
          <w:iCs/>
        </w:rPr>
        <w:t>that does not</w:t>
      </w:r>
      <w:r w:rsidR="009F7829" w:rsidRPr="38638030">
        <w:rPr>
          <w:i/>
          <w:iCs/>
        </w:rPr>
        <w:t xml:space="preserve"> refer to any particular central bank</w:t>
      </w:r>
      <w:r w:rsidR="00915347" w:rsidRPr="38638030">
        <w:rPr>
          <w:i/>
          <w:iCs/>
        </w:rPr>
        <w:t xml:space="preserve">, </w:t>
      </w:r>
      <w:r w:rsidR="000D1011" w:rsidRPr="38638030">
        <w:rPr>
          <w:i/>
          <w:iCs/>
        </w:rPr>
        <w:t xml:space="preserve">however, it </w:t>
      </w:r>
      <w:r w:rsidR="00915347" w:rsidRPr="38638030">
        <w:rPr>
          <w:i/>
          <w:iCs/>
        </w:rPr>
        <w:t>is tailored to an inflation-oriented central bank</w:t>
      </w:r>
      <w:r w:rsidR="00007F42" w:rsidRPr="38638030">
        <w:rPr>
          <w:i/>
          <w:iCs/>
        </w:rPr>
        <w:t>.</w:t>
      </w:r>
      <w:r w:rsidR="009F7829">
        <w:t>)</w:t>
      </w:r>
    </w:p>
    <w:p w14:paraId="0F654FC7" w14:textId="77777777" w:rsidR="00182B98" w:rsidRPr="00BD22BC" w:rsidRDefault="00182B98" w:rsidP="00182B98">
      <w:pPr>
        <w:rPr>
          <w:highlight w:val="yellow"/>
        </w:rPr>
      </w:pPr>
    </w:p>
    <w:p w14:paraId="6EB9737D" w14:textId="419D8EF2" w:rsidR="00FC63D6" w:rsidRPr="00BD22BC" w:rsidRDefault="123F57E2" w:rsidP="00FC63D6">
      <w:pPr>
        <w:pStyle w:val="Heading3"/>
        <w:rPr>
          <w:rFonts w:eastAsia="Arial"/>
        </w:rPr>
      </w:pPr>
      <w:bookmarkStart w:id="19" w:name="_Toc728529694"/>
      <w:bookmarkStart w:id="20" w:name="_Hlk172385122"/>
      <w:r w:rsidRPr="7EEFCAA8">
        <w:rPr>
          <w:rFonts w:eastAsia="Arial"/>
          <w:color w:val="000000" w:themeColor="text1"/>
          <w:highlight w:val="yellow"/>
        </w:rPr>
        <w:t>&lt;</w:t>
      </w:r>
      <w:r w:rsidR="1100C2D9" w:rsidRPr="7EEFCAA8">
        <w:rPr>
          <w:rFonts w:eastAsia="Arial"/>
          <w:color w:val="000000" w:themeColor="text1"/>
          <w:highlight w:val="yellow"/>
        </w:rPr>
        <w:t>INTERACTIVE ACCORDION_DOCUMENTATION TOOL</w:t>
      </w:r>
      <w:r w:rsidRPr="7EEFCAA8">
        <w:rPr>
          <w:rFonts w:eastAsia="Arial"/>
          <w:color w:val="000000" w:themeColor="text1"/>
          <w:highlight w:val="yellow"/>
        </w:rPr>
        <w:t>&gt;</w:t>
      </w:r>
      <w:bookmarkEnd w:id="19"/>
    </w:p>
    <w:p w14:paraId="6AB6DF8E" w14:textId="1B4BECE3" w:rsidR="00CB1E1D" w:rsidRPr="00BD22BC" w:rsidRDefault="6664610D" w:rsidP="101184B2">
      <w:bookmarkStart w:id="21" w:name="_Hlk172388235"/>
      <w:bookmarkEnd w:id="20"/>
      <w:r w:rsidRPr="1BB63DC4">
        <w:rPr>
          <w:b/>
          <w:bCs/>
        </w:rPr>
        <w:t>Outline of a strategic framework for monetary policy communications</w:t>
      </w:r>
    </w:p>
    <w:p w14:paraId="76148A7A" w14:textId="77777777" w:rsidR="00E50EF1" w:rsidRPr="00BD22BC" w:rsidRDefault="00E50EF1" w:rsidP="101184B2">
      <w:pPr>
        <w:rPr>
          <w:i/>
          <w:iCs/>
        </w:rPr>
      </w:pPr>
    </w:p>
    <w:p w14:paraId="74BD9DFC" w14:textId="5E55AB99" w:rsidR="00F54B20" w:rsidRPr="00BD22BC" w:rsidRDefault="008D5031" w:rsidP="007A68B1">
      <w:r w:rsidRPr="00BD22BC">
        <w:rPr>
          <w:i/>
          <w:iCs/>
        </w:rPr>
        <w:t>(</w:t>
      </w:r>
      <w:r w:rsidR="0EBBD689" w:rsidRPr="00BD22BC">
        <w:rPr>
          <w:i/>
          <w:iCs/>
        </w:rPr>
        <w:t>C</w:t>
      </w:r>
      <w:r w:rsidRPr="00BD22BC">
        <w:rPr>
          <w:i/>
          <w:iCs/>
        </w:rPr>
        <w:t xml:space="preserve">ontent </w:t>
      </w:r>
      <w:r w:rsidR="577DBAEE" w:rsidRPr="00BD22BC">
        <w:rPr>
          <w:i/>
          <w:iCs/>
        </w:rPr>
        <w:t xml:space="preserve">also available </w:t>
      </w:r>
      <w:r w:rsidRPr="00BD22BC">
        <w:rPr>
          <w:i/>
          <w:iCs/>
        </w:rPr>
        <w:t xml:space="preserve">in a separate </w:t>
      </w:r>
      <w:commentRangeStart w:id="22"/>
      <w:r w:rsidR="32A68080" w:rsidRPr="00BD22BC">
        <w:rPr>
          <w:i/>
          <w:iCs/>
        </w:rPr>
        <w:t>PDF</w:t>
      </w:r>
      <w:r w:rsidRPr="00BD22BC">
        <w:rPr>
          <w:i/>
          <w:iCs/>
        </w:rPr>
        <w:t xml:space="preserve"> </w:t>
      </w:r>
      <w:commentRangeEnd w:id="22"/>
      <w:r w:rsidR="00D14EC4" w:rsidRPr="00BD22BC">
        <w:rPr>
          <w:rStyle w:val="CommentReference"/>
        </w:rPr>
        <w:commentReference w:id="22"/>
      </w:r>
      <w:r w:rsidRPr="00BD22BC">
        <w:rPr>
          <w:i/>
          <w:iCs/>
        </w:rPr>
        <w:t xml:space="preserve">titled “Outline </w:t>
      </w:r>
      <w:bookmarkStart w:id="23" w:name="_Hlk172487294"/>
      <w:r w:rsidRPr="00BD22BC">
        <w:rPr>
          <w:i/>
          <w:iCs/>
        </w:rPr>
        <w:t>of a strategic framework for monetary policy communications</w:t>
      </w:r>
      <w:bookmarkEnd w:id="23"/>
      <w:r w:rsidRPr="00BD22BC">
        <w:rPr>
          <w:i/>
          <w:iCs/>
        </w:rPr>
        <w:t>”)</w:t>
      </w:r>
      <w:r w:rsidR="007A68B1" w:rsidRPr="00BD22BC" w:rsidDel="007A68B1">
        <w:rPr>
          <w:i/>
          <w:iCs/>
        </w:rPr>
        <w:t xml:space="preserve"> </w:t>
      </w:r>
      <w:bookmarkEnd w:id="21"/>
    </w:p>
    <w:p w14:paraId="637ACDEE" w14:textId="77777777" w:rsidR="001C6121" w:rsidRPr="00BD22BC" w:rsidRDefault="001C6121" w:rsidP="101184B2"/>
    <w:p w14:paraId="11E22F96" w14:textId="2EF7DCCB" w:rsidR="20BC910C" w:rsidRPr="00BD22BC" w:rsidRDefault="20BC910C" w:rsidP="6EEC262A">
      <w:pPr>
        <w:rPr>
          <w:rFonts w:eastAsia="Arial" w:cs="Arial"/>
          <w:szCs w:val="22"/>
        </w:rPr>
      </w:pPr>
      <w:r w:rsidRPr="00BD22BC">
        <w:rPr>
          <w:rFonts w:eastAsia="Arial" w:cs="Arial"/>
          <w:b/>
          <w:bCs/>
          <w:color w:val="000000" w:themeColor="text1"/>
          <w:szCs w:val="22"/>
          <w:highlight w:val="yellow"/>
        </w:rPr>
        <w:t>&lt;</w:t>
      </w:r>
      <w:r w:rsidR="009F306B">
        <w:rPr>
          <w:rFonts w:eastAsia="Arial" w:cs="Arial"/>
          <w:b/>
          <w:bCs/>
          <w:color w:val="000000" w:themeColor="text1"/>
          <w:szCs w:val="22"/>
          <w:highlight w:val="yellow"/>
        </w:rPr>
        <w:t>INTERACTIVE OUTLINE_</w:t>
      </w:r>
      <w:r w:rsidRPr="00BD22BC">
        <w:rPr>
          <w:rFonts w:eastAsia="Arial" w:cs="Arial"/>
          <w:b/>
          <w:bCs/>
          <w:color w:val="000000" w:themeColor="text1"/>
          <w:szCs w:val="22"/>
          <w:highlight w:val="yellow"/>
        </w:rPr>
        <w:t>END&gt;</w:t>
      </w:r>
    </w:p>
    <w:p w14:paraId="5D3782BF" w14:textId="77777777" w:rsidR="00124F74" w:rsidRPr="00BD22BC" w:rsidRDefault="00124F74" w:rsidP="005D629C"/>
    <w:p w14:paraId="2E1FD859" w14:textId="5DAAF296" w:rsidR="005D629C" w:rsidRPr="00BD22BC" w:rsidRDefault="005D629C" w:rsidP="005D629C">
      <w:r>
        <w:t xml:space="preserve">Developed countries’ central banks prepare and pursue specific and elaborate monetary policy communication strategies as part of their overall communications, such as Sweden’s </w:t>
      </w:r>
      <w:proofErr w:type="spellStart"/>
      <w:r>
        <w:t>Rik</w:t>
      </w:r>
      <w:r w:rsidR="000458AB">
        <w:t>s</w:t>
      </w:r>
      <w:r>
        <w:t>bank</w:t>
      </w:r>
      <w:proofErr w:type="spellEnd"/>
      <w:r w:rsidR="00E879EA">
        <w:t>.</w:t>
      </w:r>
      <w:r w:rsidR="007B319B">
        <w:t xml:space="preserve"> </w:t>
      </w:r>
      <w:r w:rsidR="00E879EA">
        <w:t xml:space="preserve">This central bank even </w:t>
      </w:r>
      <w:r>
        <w:t xml:space="preserve">makes </w:t>
      </w:r>
      <w:r w:rsidR="000458AB">
        <w:t xml:space="preserve">its </w:t>
      </w:r>
      <w:r w:rsidR="00124F74">
        <w:t>strategic</w:t>
      </w:r>
      <w:r>
        <w:t xml:space="preserve"> </w:t>
      </w:r>
      <w:commentRangeStart w:id="24"/>
      <w:r w:rsidR="00B84ADF">
        <w:t xml:space="preserve">Communication Policy </w:t>
      </w:r>
      <w:commentRangeEnd w:id="24"/>
      <w:r>
        <w:rPr>
          <w:rStyle w:val="CommentReference"/>
        </w:rPr>
        <w:commentReference w:id="24"/>
      </w:r>
      <w:r>
        <w:t xml:space="preserve">document public. </w:t>
      </w:r>
    </w:p>
    <w:p w14:paraId="059409A3" w14:textId="77777777" w:rsidR="00841AFA" w:rsidRPr="00BD22BC" w:rsidRDefault="00841AFA" w:rsidP="00D42CA1"/>
    <w:p w14:paraId="0B3B565C" w14:textId="4B4C9FBD" w:rsidR="0036CFF0" w:rsidRPr="00BD22BC" w:rsidRDefault="748E70BC" w:rsidP="6EEC262A">
      <w:pPr>
        <w:pStyle w:val="Heading2"/>
      </w:pPr>
      <w:bookmarkStart w:id="25" w:name="_Toc1298556658"/>
      <w:r w:rsidRPr="7EEFCAA8">
        <w:rPr>
          <w:highlight w:val="yellow"/>
        </w:rPr>
        <w:t>UNIT 1.</w:t>
      </w:r>
      <w:r w:rsidR="6C322546" w:rsidRPr="7EEFCAA8">
        <w:rPr>
          <w:highlight w:val="yellow"/>
        </w:rPr>
        <w:t>3</w:t>
      </w:r>
      <w:r w:rsidRPr="7EEFCAA8">
        <w:rPr>
          <w:highlight w:val="yellow"/>
        </w:rPr>
        <w:t>:</w:t>
      </w:r>
      <w:r>
        <w:t xml:space="preserve"> </w:t>
      </w:r>
      <w:r w:rsidR="0A92E97B">
        <w:t>Internal Guidelines</w:t>
      </w:r>
      <w:r w:rsidR="19FE8862">
        <w:t xml:space="preserve"> Governing External Communication</w:t>
      </w:r>
      <w:bookmarkEnd w:id="25"/>
    </w:p>
    <w:p w14:paraId="7499845B" w14:textId="6B149299" w:rsidR="00F54B20" w:rsidRPr="00BD22BC" w:rsidRDefault="00F54B20" w:rsidP="6EEC262A">
      <w:pPr>
        <w:rPr>
          <w:b/>
          <w:bCs/>
        </w:rPr>
      </w:pPr>
    </w:p>
    <w:p w14:paraId="7DDDE06F" w14:textId="5753DF21" w:rsidR="0072173B" w:rsidRPr="00BD22BC" w:rsidRDefault="00C13248" w:rsidP="6EEC262A">
      <w:r>
        <w:t xml:space="preserve">As part of </w:t>
      </w:r>
      <w:r w:rsidR="00455696">
        <w:t>their</w:t>
      </w:r>
      <w:r w:rsidR="008C01D6">
        <w:t xml:space="preserve"> communication</w:t>
      </w:r>
      <w:r w:rsidR="00455696">
        <w:t xml:space="preserve"> </w:t>
      </w:r>
      <w:r w:rsidR="005765C3">
        <w:t>strateg</w:t>
      </w:r>
      <w:r w:rsidR="000458AB">
        <w:t>ies</w:t>
      </w:r>
      <w:r w:rsidR="00455696">
        <w:t xml:space="preserve">, a growing number of central banks set </w:t>
      </w:r>
      <w:r w:rsidR="00140CE7">
        <w:t xml:space="preserve">strict </w:t>
      </w:r>
      <w:r w:rsidR="00455696">
        <w:t xml:space="preserve">internal rules for </w:t>
      </w:r>
      <w:r w:rsidR="008F7D37">
        <w:t xml:space="preserve">their </w:t>
      </w:r>
      <w:r w:rsidR="00455696">
        <w:t xml:space="preserve">staff on public and media engagement. </w:t>
      </w:r>
    </w:p>
    <w:p w14:paraId="1B9FD123" w14:textId="77777777" w:rsidR="0072173B" w:rsidRPr="00BD22BC" w:rsidRDefault="0072173B" w:rsidP="6EEC262A"/>
    <w:p w14:paraId="3981C189" w14:textId="149D6BCC" w:rsidR="008F7D37" w:rsidRPr="00BD22BC" w:rsidRDefault="000458AB" w:rsidP="6EEC262A">
      <w:r>
        <w:t>They</w:t>
      </w:r>
      <w:r w:rsidR="008F7D37">
        <w:t xml:space="preserve"> adopt and implement internal principles </w:t>
      </w:r>
      <w:r w:rsidR="00250C68">
        <w:t xml:space="preserve">for </w:t>
      </w:r>
      <w:r w:rsidR="008F7D37">
        <w:t xml:space="preserve">governing a central bank’s external communications on policy issues </w:t>
      </w:r>
      <w:r>
        <w:t>for two reasons</w:t>
      </w:r>
      <w:r w:rsidR="00455696">
        <w:t xml:space="preserve">: </w:t>
      </w:r>
    </w:p>
    <w:p w14:paraId="619EF31C" w14:textId="77777777" w:rsidR="008F7D37" w:rsidRPr="00BD22BC" w:rsidRDefault="008F7D37" w:rsidP="6EEC262A"/>
    <w:p w14:paraId="05A22783" w14:textId="769790E5" w:rsidR="0095640C" w:rsidRPr="00BD22BC" w:rsidRDefault="00455696" w:rsidP="6EEC262A">
      <w:r>
        <w:t xml:space="preserve">One is to maintain and reinforce communication discipline and ensure </w:t>
      </w:r>
      <w:r w:rsidR="00844363">
        <w:t xml:space="preserve">all </w:t>
      </w:r>
      <w:r>
        <w:t xml:space="preserve">public speakers stay on message. </w:t>
      </w:r>
    </w:p>
    <w:p w14:paraId="4D3D9905" w14:textId="77777777" w:rsidR="0095640C" w:rsidRPr="00BD22BC" w:rsidRDefault="0095640C" w:rsidP="6EEC262A"/>
    <w:p w14:paraId="097F91E9" w14:textId="77AAF502" w:rsidR="00455696" w:rsidRPr="00BD22BC" w:rsidRDefault="00455696" w:rsidP="6EEC262A">
      <w:r>
        <w:t xml:space="preserve">Another </w:t>
      </w:r>
      <w:r w:rsidR="0038433E">
        <w:t xml:space="preserve">is to </w:t>
      </w:r>
      <w:r>
        <w:t xml:space="preserve">help prevent noise </w:t>
      </w:r>
      <w:r w:rsidR="008F7D37">
        <w:t>in financial markets</w:t>
      </w:r>
      <w:r>
        <w:t xml:space="preserve"> and in the</w:t>
      </w:r>
      <w:r w:rsidR="0095640C">
        <w:t xml:space="preserve"> wider</w:t>
      </w:r>
      <w:r>
        <w:t xml:space="preserve"> public around </w:t>
      </w:r>
      <w:r w:rsidR="000458AB">
        <w:t xml:space="preserve">central bank </w:t>
      </w:r>
      <w:r>
        <w:t>actions and policy leanings</w:t>
      </w:r>
      <w:r w:rsidR="0072173B">
        <w:t>.</w:t>
      </w:r>
      <w:r w:rsidR="008F7D37">
        <w:t xml:space="preserve"> </w:t>
      </w:r>
      <w:r w:rsidR="0095640C">
        <w:t>Such "noise" can arise, for example, when a central bank policymaker is quoted in the media reiterating the current policy stance. If this statement is made a few days before a</w:t>
      </w:r>
      <w:r w:rsidR="00D43B57">
        <w:t xml:space="preserve">n upcoming </w:t>
      </w:r>
      <w:r w:rsidR="0095640C">
        <w:t>policy meeting, it may be interpreted as having new</w:t>
      </w:r>
      <w:r w:rsidR="00B06C84">
        <w:t>, forward-looking</w:t>
      </w:r>
      <w:r w:rsidR="0095640C">
        <w:t xml:space="preserve"> significance, even though it conveys little new additional information.</w:t>
      </w:r>
    </w:p>
    <w:p w14:paraId="143BB299" w14:textId="77777777" w:rsidR="0072173B" w:rsidRPr="00BD22BC" w:rsidRDefault="0072173B" w:rsidP="6EEC262A"/>
    <w:p w14:paraId="07262DFC" w14:textId="0887A309" w:rsidR="0072173B" w:rsidRPr="00BD22BC" w:rsidRDefault="0072173B" w:rsidP="6EEC262A">
      <w:r>
        <w:lastRenderedPageBreak/>
        <w:t xml:space="preserve">In some central banks, regulations </w:t>
      </w:r>
      <w:r w:rsidR="00BA369A">
        <w:t xml:space="preserve">governing external communication on policy </w:t>
      </w:r>
      <w:r>
        <w:t xml:space="preserve">are referred to as </w:t>
      </w:r>
      <w:r w:rsidR="00BA369A">
        <w:t>“</w:t>
      </w:r>
      <w:r>
        <w:t>Communications Policy</w:t>
      </w:r>
      <w:r w:rsidR="00BA369A">
        <w:t>”</w:t>
      </w:r>
      <w:r>
        <w:t>.</w:t>
      </w:r>
      <w:r w:rsidR="008F7D37">
        <w:t xml:space="preserve"> </w:t>
      </w:r>
    </w:p>
    <w:p w14:paraId="435536AC" w14:textId="77777777" w:rsidR="00B75B1E" w:rsidRPr="00BD22BC" w:rsidRDefault="00B75B1E" w:rsidP="6EEC262A"/>
    <w:p w14:paraId="1AC87243" w14:textId="21EB22F5" w:rsidR="00E55864" w:rsidRPr="00BD22BC" w:rsidRDefault="00E55864" w:rsidP="00E55864">
      <w:r>
        <w:t xml:space="preserve">Let's dive into how these </w:t>
      </w:r>
      <w:r w:rsidR="00BA369A">
        <w:t>guidelines and regulations</w:t>
      </w:r>
      <w:r>
        <w:t xml:space="preserve"> function in practice.</w:t>
      </w:r>
    </w:p>
    <w:p w14:paraId="79620E7E" w14:textId="77777777" w:rsidR="0072173B" w:rsidRPr="00BD22BC" w:rsidRDefault="0072173B" w:rsidP="0072173B"/>
    <w:p w14:paraId="41D2F2A8" w14:textId="52F995DC" w:rsidR="0072173B" w:rsidRPr="00DC54D0" w:rsidRDefault="5919EF36" w:rsidP="0072173B">
      <w:pPr>
        <w:pStyle w:val="Heading3"/>
        <w:rPr>
          <w:highlight w:val="cyan"/>
        </w:rPr>
      </w:pPr>
      <w:bookmarkStart w:id="26" w:name="_Toc267014161"/>
      <w:bookmarkStart w:id="27" w:name="_Hlk177218878"/>
      <w:r w:rsidRPr="00DC54D0">
        <w:rPr>
          <w:highlight w:val="cyan"/>
        </w:rPr>
        <w:t>&lt;VIDEO 1.2&gt; "</w:t>
      </w:r>
      <w:r w:rsidR="02EA0861" w:rsidRPr="00DC54D0">
        <w:rPr>
          <w:highlight w:val="cyan"/>
        </w:rPr>
        <w:t>I</w:t>
      </w:r>
      <w:r w:rsidR="0B05BA74" w:rsidRPr="00DC54D0">
        <w:rPr>
          <w:highlight w:val="cyan"/>
        </w:rPr>
        <w:t xml:space="preserve">nternal </w:t>
      </w:r>
      <w:r w:rsidRPr="00DC54D0">
        <w:rPr>
          <w:highlight w:val="cyan"/>
        </w:rPr>
        <w:t xml:space="preserve">guidelines for </w:t>
      </w:r>
      <w:r w:rsidR="0B05BA74" w:rsidRPr="00DC54D0">
        <w:rPr>
          <w:highlight w:val="cyan"/>
        </w:rPr>
        <w:t xml:space="preserve">external </w:t>
      </w:r>
      <w:r w:rsidRPr="00DC54D0">
        <w:rPr>
          <w:highlight w:val="cyan"/>
        </w:rPr>
        <w:t xml:space="preserve">communication” [word count: </w:t>
      </w:r>
      <w:r w:rsidR="00DC54D0" w:rsidRPr="00DC54D0">
        <w:rPr>
          <w:highlight w:val="cyan"/>
        </w:rPr>
        <w:t>218</w:t>
      </w:r>
      <w:r w:rsidRPr="00DC54D0">
        <w:rPr>
          <w:highlight w:val="cyan"/>
        </w:rPr>
        <w:t>]</w:t>
      </w:r>
      <w:bookmarkEnd w:id="26"/>
    </w:p>
    <w:bookmarkEnd w:id="27"/>
    <w:p w14:paraId="5976FAB0" w14:textId="77777777" w:rsidR="00DC54D0" w:rsidRPr="00DC54D0" w:rsidRDefault="00DC54D0" w:rsidP="00DC54D0">
      <w:pPr>
        <w:pStyle w:val="paragraph"/>
        <w:spacing w:before="0" w:beforeAutospacing="0" w:after="0" w:afterAutospacing="0"/>
        <w:textAlignment w:val="baseline"/>
        <w:rPr>
          <w:rFonts w:ascii="Segoe UI" w:hAnsi="Segoe UI" w:cs="Segoe UI"/>
          <w:sz w:val="18"/>
          <w:szCs w:val="18"/>
          <w:highlight w:val="cyan"/>
        </w:rPr>
      </w:pPr>
      <w:r w:rsidRPr="00DC54D0">
        <w:rPr>
          <w:rStyle w:val="normaltextrun"/>
          <w:rFonts w:ascii="Arial" w:hAnsi="Arial" w:cs="Arial"/>
          <w:color w:val="000000"/>
          <w:sz w:val="22"/>
          <w:szCs w:val="22"/>
          <w:highlight w:val="cyan"/>
        </w:rPr>
        <w:t>Central banks must define the roles and responsibilities of policymakers and staff in external communications.</w:t>
      </w:r>
      <w:r w:rsidRPr="00DC54D0">
        <w:rPr>
          <w:rStyle w:val="eop"/>
          <w:rFonts w:ascii="Arial" w:hAnsi="Arial" w:cs="Arial"/>
          <w:color w:val="000000"/>
          <w:sz w:val="22"/>
          <w:szCs w:val="22"/>
          <w:highlight w:val="cyan"/>
        </w:rPr>
        <w:t> </w:t>
      </w:r>
    </w:p>
    <w:p w14:paraId="447C26AD" w14:textId="77777777" w:rsidR="00DC54D0" w:rsidRPr="00DC54D0" w:rsidRDefault="00DC54D0" w:rsidP="00DC54D0">
      <w:pPr>
        <w:pStyle w:val="paragraph"/>
        <w:spacing w:before="0" w:beforeAutospacing="0" w:after="0" w:afterAutospacing="0"/>
        <w:textAlignment w:val="baseline"/>
        <w:rPr>
          <w:rFonts w:ascii="Segoe UI" w:hAnsi="Segoe UI" w:cs="Segoe UI"/>
          <w:sz w:val="18"/>
          <w:szCs w:val="18"/>
          <w:highlight w:val="cyan"/>
        </w:rPr>
      </w:pPr>
      <w:r w:rsidRPr="00DC54D0">
        <w:rPr>
          <w:rStyle w:val="eop"/>
          <w:rFonts w:ascii="Arial" w:hAnsi="Arial" w:cs="Arial"/>
          <w:color w:val="000000"/>
          <w:sz w:val="22"/>
          <w:szCs w:val="22"/>
          <w:highlight w:val="cyan"/>
        </w:rPr>
        <w:t> </w:t>
      </w:r>
    </w:p>
    <w:p w14:paraId="69E49489" w14:textId="77777777" w:rsidR="00DC54D0" w:rsidRPr="00DC54D0" w:rsidRDefault="00DC54D0" w:rsidP="00DC54D0">
      <w:pPr>
        <w:pStyle w:val="paragraph"/>
        <w:spacing w:before="0" w:beforeAutospacing="0" w:after="0" w:afterAutospacing="0"/>
        <w:textAlignment w:val="baseline"/>
        <w:rPr>
          <w:rFonts w:ascii="Segoe UI" w:hAnsi="Segoe UI" w:cs="Segoe UI"/>
          <w:sz w:val="18"/>
          <w:szCs w:val="18"/>
          <w:highlight w:val="cyan"/>
        </w:rPr>
      </w:pPr>
      <w:r w:rsidRPr="00DC54D0">
        <w:rPr>
          <w:rStyle w:val="normaltextrun"/>
          <w:rFonts w:ascii="Arial" w:hAnsi="Arial" w:cs="Arial"/>
          <w:color w:val="000000"/>
          <w:sz w:val="22"/>
          <w:szCs w:val="22"/>
          <w:highlight w:val="cyan"/>
        </w:rPr>
        <w:t>Let’s describe a typical example of how the roles are divided. </w:t>
      </w:r>
      <w:r w:rsidRPr="00DC54D0">
        <w:rPr>
          <w:rStyle w:val="eop"/>
          <w:rFonts w:ascii="Arial" w:hAnsi="Arial" w:cs="Arial"/>
          <w:color w:val="000000"/>
          <w:sz w:val="22"/>
          <w:szCs w:val="22"/>
          <w:highlight w:val="cyan"/>
        </w:rPr>
        <w:t> </w:t>
      </w:r>
    </w:p>
    <w:p w14:paraId="012335DF" w14:textId="77777777" w:rsidR="00DC54D0" w:rsidRPr="00DC54D0" w:rsidRDefault="00DC54D0" w:rsidP="00DC54D0">
      <w:pPr>
        <w:pStyle w:val="paragraph"/>
        <w:spacing w:before="0" w:beforeAutospacing="0" w:after="0" w:afterAutospacing="0"/>
        <w:textAlignment w:val="baseline"/>
        <w:rPr>
          <w:rFonts w:ascii="Segoe UI" w:hAnsi="Segoe UI" w:cs="Segoe UI"/>
          <w:sz w:val="18"/>
          <w:szCs w:val="18"/>
          <w:highlight w:val="cyan"/>
        </w:rPr>
      </w:pPr>
      <w:r w:rsidRPr="00DC54D0">
        <w:rPr>
          <w:rStyle w:val="eop"/>
          <w:rFonts w:ascii="Arial" w:hAnsi="Arial" w:cs="Arial"/>
          <w:color w:val="000000"/>
          <w:sz w:val="22"/>
          <w:szCs w:val="22"/>
          <w:highlight w:val="cyan"/>
        </w:rPr>
        <w:t> </w:t>
      </w:r>
    </w:p>
    <w:p w14:paraId="3ED66748" w14:textId="77777777" w:rsidR="00DC54D0" w:rsidRPr="00DC54D0" w:rsidRDefault="00DC54D0" w:rsidP="00DC54D0">
      <w:pPr>
        <w:pStyle w:val="paragraph"/>
        <w:spacing w:before="0" w:beforeAutospacing="0" w:after="0" w:afterAutospacing="0"/>
        <w:textAlignment w:val="baseline"/>
        <w:rPr>
          <w:rFonts w:ascii="Segoe UI" w:hAnsi="Segoe UI" w:cs="Segoe UI"/>
          <w:sz w:val="18"/>
          <w:szCs w:val="18"/>
          <w:highlight w:val="cyan"/>
        </w:rPr>
      </w:pPr>
      <w:r w:rsidRPr="00DC54D0">
        <w:rPr>
          <w:rStyle w:val="normaltextrun"/>
          <w:rFonts w:ascii="Arial" w:hAnsi="Arial" w:cs="Arial"/>
          <w:color w:val="000000"/>
          <w:sz w:val="22"/>
          <w:szCs w:val="22"/>
          <w:highlight w:val="cyan"/>
        </w:rPr>
        <w:t>Policymakers, such as the Governor or Chairman, are typically the main policy spokespersons.</w:t>
      </w:r>
      <w:r w:rsidRPr="00DC54D0">
        <w:rPr>
          <w:rStyle w:val="eop"/>
          <w:rFonts w:ascii="Arial" w:hAnsi="Arial" w:cs="Arial"/>
          <w:color w:val="000000"/>
          <w:sz w:val="22"/>
          <w:szCs w:val="22"/>
          <w:highlight w:val="cyan"/>
        </w:rPr>
        <w:t> </w:t>
      </w:r>
    </w:p>
    <w:p w14:paraId="424502A2" w14:textId="77777777" w:rsidR="00DC54D0" w:rsidRPr="00DC54D0" w:rsidRDefault="00DC54D0" w:rsidP="00DC54D0">
      <w:pPr>
        <w:pStyle w:val="paragraph"/>
        <w:spacing w:before="0" w:beforeAutospacing="0" w:after="0" w:afterAutospacing="0"/>
        <w:textAlignment w:val="baseline"/>
        <w:rPr>
          <w:rFonts w:ascii="Segoe UI" w:hAnsi="Segoe UI" w:cs="Segoe UI"/>
          <w:sz w:val="18"/>
          <w:szCs w:val="18"/>
          <w:highlight w:val="cyan"/>
        </w:rPr>
      </w:pPr>
      <w:r w:rsidRPr="00DC54D0">
        <w:rPr>
          <w:rStyle w:val="eop"/>
          <w:rFonts w:ascii="Arial" w:hAnsi="Arial" w:cs="Arial"/>
          <w:color w:val="000000"/>
          <w:sz w:val="22"/>
          <w:szCs w:val="22"/>
          <w:highlight w:val="cyan"/>
        </w:rPr>
        <w:t> </w:t>
      </w:r>
    </w:p>
    <w:p w14:paraId="6C82DF1C" w14:textId="77777777" w:rsidR="00DC54D0" w:rsidRPr="00DC54D0" w:rsidRDefault="00DC54D0" w:rsidP="00DC54D0">
      <w:pPr>
        <w:pStyle w:val="paragraph"/>
        <w:spacing w:before="0" w:beforeAutospacing="0" w:after="0" w:afterAutospacing="0"/>
        <w:textAlignment w:val="baseline"/>
        <w:rPr>
          <w:rFonts w:ascii="Segoe UI" w:hAnsi="Segoe UI" w:cs="Segoe UI"/>
          <w:sz w:val="18"/>
          <w:szCs w:val="18"/>
          <w:highlight w:val="cyan"/>
        </w:rPr>
      </w:pPr>
      <w:r w:rsidRPr="00DC54D0">
        <w:rPr>
          <w:rStyle w:val="normaltextrun"/>
          <w:rFonts w:ascii="Arial" w:hAnsi="Arial" w:cs="Arial"/>
          <w:color w:val="000000"/>
          <w:sz w:val="22"/>
          <w:szCs w:val="22"/>
          <w:highlight w:val="cyan"/>
        </w:rPr>
        <w:t>Other Monetary Policy Committee members or Board members can also speak on monetary policy and share independent policy conclusions. The Bank’s dedicated public spokesperson, commonly the Director of Communication, handles non-policy topics. This role involves making public statements on organizational issues and answering media inquiries.</w:t>
      </w:r>
      <w:r w:rsidRPr="00DC54D0">
        <w:rPr>
          <w:rStyle w:val="eop"/>
          <w:rFonts w:ascii="Arial" w:hAnsi="Arial" w:cs="Arial"/>
          <w:color w:val="000000"/>
          <w:sz w:val="22"/>
          <w:szCs w:val="22"/>
          <w:highlight w:val="cyan"/>
        </w:rPr>
        <w:t> </w:t>
      </w:r>
    </w:p>
    <w:p w14:paraId="73B62257" w14:textId="77777777" w:rsidR="00DC54D0" w:rsidRPr="00DC54D0" w:rsidRDefault="00DC54D0" w:rsidP="00DC54D0">
      <w:pPr>
        <w:pStyle w:val="paragraph"/>
        <w:spacing w:before="0" w:beforeAutospacing="0" w:after="0" w:afterAutospacing="0"/>
        <w:textAlignment w:val="baseline"/>
        <w:rPr>
          <w:rFonts w:ascii="Segoe UI" w:hAnsi="Segoe UI" w:cs="Segoe UI"/>
          <w:sz w:val="18"/>
          <w:szCs w:val="18"/>
          <w:highlight w:val="cyan"/>
        </w:rPr>
      </w:pPr>
      <w:r w:rsidRPr="00DC54D0">
        <w:rPr>
          <w:rStyle w:val="eop"/>
          <w:rFonts w:ascii="Arial" w:hAnsi="Arial" w:cs="Arial"/>
          <w:color w:val="000000"/>
          <w:sz w:val="22"/>
          <w:szCs w:val="22"/>
          <w:highlight w:val="cyan"/>
        </w:rPr>
        <w:t> </w:t>
      </w:r>
    </w:p>
    <w:p w14:paraId="2D505679" w14:textId="77777777" w:rsidR="00DC54D0" w:rsidRPr="00DC54D0" w:rsidRDefault="00DC54D0" w:rsidP="00DC54D0">
      <w:pPr>
        <w:pStyle w:val="paragraph"/>
        <w:spacing w:before="0" w:beforeAutospacing="0" w:after="0" w:afterAutospacing="0"/>
        <w:textAlignment w:val="baseline"/>
        <w:rPr>
          <w:rFonts w:ascii="Segoe UI" w:hAnsi="Segoe UI" w:cs="Segoe UI"/>
          <w:sz w:val="18"/>
          <w:szCs w:val="18"/>
          <w:highlight w:val="cyan"/>
        </w:rPr>
      </w:pPr>
      <w:r w:rsidRPr="00DC54D0">
        <w:rPr>
          <w:rStyle w:val="normaltextrun"/>
          <w:rFonts w:ascii="Arial" w:hAnsi="Arial" w:cs="Arial"/>
          <w:color w:val="000000"/>
          <w:sz w:val="22"/>
          <w:szCs w:val="22"/>
          <w:highlight w:val="cyan"/>
        </w:rPr>
        <w:t>Central bank staff are restricted from speaking to the media or making public pronouncements about policy or other core functions. Many central banks have implemented specific regulations regarding how staff should conduct themselves professionally in public and on social media.</w:t>
      </w:r>
      <w:r w:rsidRPr="00DC54D0">
        <w:rPr>
          <w:rStyle w:val="eop"/>
          <w:rFonts w:ascii="Arial" w:hAnsi="Arial" w:cs="Arial"/>
          <w:color w:val="000000"/>
          <w:sz w:val="22"/>
          <w:szCs w:val="22"/>
          <w:highlight w:val="cyan"/>
        </w:rPr>
        <w:t> </w:t>
      </w:r>
    </w:p>
    <w:p w14:paraId="7E1224F6" w14:textId="77777777" w:rsidR="00DC54D0" w:rsidRPr="00DC54D0" w:rsidRDefault="00DC54D0" w:rsidP="00DC54D0">
      <w:pPr>
        <w:pStyle w:val="paragraph"/>
        <w:spacing w:before="0" w:beforeAutospacing="0" w:after="0" w:afterAutospacing="0"/>
        <w:textAlignment w:val="baseline"/>
        <w:rPr>
          <w:rFonts w:ascii="Segoe UI" w:hAnsi="Segoe UI" w:cs="Segoe UI"/>
          <w:sz w:val="18"/>
          <w:szCs w:val="18"/>
          <w:highlight w:val="cyan"/>
        </w:rPr>
      </w:pPr>
      <w:r w:rsidRPr="00DC54D0">
        <w:rPr>
          <w:rStyle w:val="eop"/>
          <w:rFonts w:ascii="Arial" w:hAnsi="Arial" w:cs="Arial"/>
          <w:color w:val="000000"/>
          <w:sz w:val="22"/>
          <w:szCs w:val="22"/>
          <w:highlight w:val="cyan"/>
        </w:rPr>
        <w:t> </w:t>
      </w:r>
    </w:p>
    <w:p w14:paraId="1920FCBD" w14:textId="77777777" w:rsidR="00DC54D0" w:rsidRPr="00DC54D0" w:rsidRDefault="00DC54D0" w:rsidP="00DC54D0">
      <w:pPr>
        <w:pStyle w:val="paragraph"/>
        <w:spacing w:before="0" w:beforeAutospacing="0" w:after="0" w:afterAutospacing="0"/>
        <w:textAlignment w:val="baseline"/>
        <w:rPr>
          <w:rFonts w:ascii="Segoe UI" w:hAnsi="Segoe UI" w:cs="Segoe UI"/>
          <w:sz w:val="18"/>
          <w:szCs w:val="18"/>
          <w:highlight w:val="cyan"/>
        </w:rPr>
      </w:pPr>
      <w:r w:rsidRPr="00DC54D0">
        <w:rPr>
          <w:rStyle w:val="normaltextrun"/>
          <w:rFonts w:ascii="Arial" w:hAnsi="Arial" w:cs="Arial"/>
          <w:color w:val="000000"/>
          <w:sz w:val="22"/>
          <w:szCs w:val="22"/>
          <w:highlight w:val="cyan"/>
        </w:rPr>
        <w:t>Let’s explore special rules for staff communication on policy.</w:t>
      </w:r>
      <w:r w:rsidRPr="00DC54D0">
        <w:rPr>
          <w:rStyle w:val="eop"/>
          <w:rFonts w:ascii="Arial" w:hAnsi="Arial" w:cs="Arial"/>
          <w:color w:val="000000"/>
          <w:sz w:val="22"/>
          <w:szCs w:val="22"/>
          <w:highlight w:val="cyan"/>
        </w:rPr>
        <w:t> </w:t>
      </w:r>
    </w:p>
    <w:p w14:paraId="218C8C72" w14:textId="77777777" w:rsidR="00DC54D0" w:rsidRPr="00DC54D0" w:rsidRDefault="00DC54D0" w:rsidP="00DC54D0">
      <w:pPr>
        <w:pStyle w:val="paragraph"/>
        <w:spacing w:before="0" w:beforeAutospacing="0" w:after="0" w:afterAutospacing="0"/>
        <w:textAlignment w:val="baseline"/>
        <w:rPr>
          <w:rFonts w:ascii="Segoe UI" w:hAnsi="Segoe UI" w:cs="Segoe UI"/>
          <w:sz w:val="18"/>
          <w:szCs w:val="18"/>
          <w:highlight w:val="cyan"/>
        </w:rPr>
      </w:pPr>
      <w:r w:rsidRPr="00DC54D0">
        <w:rPr>
          <w:rStyle w:val="eop"/>
          <w:rFonts w:ascii="Arial" w:hAnsi="Arial" w:cs="Arial"/>
          <w:color w:val="000000"/>
          <w:sz w:val="22"/>
          <w:szCs w:val="22"/>
          <w:highlight w:val="cyan"/>
        </w:rPr>
        <w:t> </w:t>
      </w:r>
    </w:p>
    <w:p w14:paraId="27F4A438" w14:textId="77777777" w:rsidR="00DC54D0" w:rsidRPr="00DC54D0" w:rsidRDefault="00DC54D0" w:rsidP="00DC54D0">
      <w:pPr>
        <w:pStyle w:val="paragraph"/>
        <w:spacing w:before="0" w:beforeAutospacing="0" w:after="0" w:afterAutospacing="0"/>
        <w:textAlignment w:val="baseline"/>
        <w:rPr>
          <w:rFonts w:ascii="Segoe UI" w:hAnsi="Segoe UI" w:cs="Segoe UI"/>
          <w:sz w:val="18"/>
          <w:szCs w:val="18"/>
          <w:highlight w:val="cyan"/>
        </w:rPr>
      </w:pPr>
      <w:r w:rsidRPr="00DC54D0">
        <w:rPr>
          <w:rStyle w:val="normaltextrun"/>
          <w:rFonts w:ascii="Arial" w:hAnsi="Arial" w:cs="Arial"/>
          <w:color w:val="000000"/>
          <w:sz w:val="22"/>
          <w:szCs w:val="22"/>
          <w:highlight w:val="cyan"/>
        </w:rPr>
        <w:t>Heads of departments may be authorized to speak PUBLICLY within their areas of expertise. For example, the Head of Monetary Operations would be authorized to speak on liquidity auctions or changes in reserve requirements. These authorized management members are referred to as “expert spokespersons.” Only these officials authorized by internal guidelines can communicate on behalf of the institution. </w:t>
      </w:r>
      <w:r w:rsidRPr="00DC54D0">
        <w:rPr>
          <w:rStyle w:val="eop"/>
          <w:rFonts w:ascii="Arial" w:hAnsi="Arial" w:cs="Arial"/>
          <w:color w:val="000000"/>
          <w:sz w:val="22"/>
          <w:szCs w:val="22"/>
          <w:highlight w:val="cyan"/>
        </w:rPr>
        <w:t> </w:t>
      </w:r>
    </w:p>
    <w:p w14:paraId="6F4CB1A9" w14:textId="77777777" w:rsidR="00DC54D0" w:rsidRPr="00DC54D0" w:rsidRDefault="00DC54D0" w:rsidP="00DC54D0">
      <w:pPr>
        <w:pStyle w:val="paragraph"/>
        <w:spacing w:before="0" w:beforeAutospacing="0" w:after="0" w:afterAutospacing="0"/>
        <w:textAlignment w:val="baseline"/>
        <w:rPr>
          <w:rFonts w:ascii="Segoe UI" w:hAnsi="Segoe UI" w:cs="Segoe UI"/>
          <w:sz w:val="18"/>
          <w:szCs w:val="18"/>
          <w:highlight w:val="cyan"/>
        </w:rPr>
      </w:pPr>
      <w:r w:rsidRPr="00DC54D0">
        <w:rPr>
          <w:rStyle w:val="eop"/>
          <w:rFonts w:ascii="Arial" w:hAnsi="Arial" w:cs="Arial"/>
          <w:color w:val="000000"/>
          <w:sz w:val="22"/>
          <w:szCs w:val="22"/>
          <w:highlight w:val="cyan"/>
        </w:rPr>
        <w:t> </w:t>
      </w:r>
    </w:p>
    <w:p w14:paraId="6C489EDF" w14:textId="77777777" w:rsidR="00DC54D0" w:rsidRPr="00DC54D0" w:rsidRDefault="00DC54D0" w:rsidP="00DC54D0">
      <w:pPr>
        <w:pStyle w:val="paragraph"/>
        <w:spacing w:before="0" w:beforeAutospacing="0" w:after="0" w:afterAutospacing="0"/>
        <w:textAlignment w:val="baseline"/>
        <w:rPr>
          <w:rFonts w:ascii="Segoe UI" w:hAnsi="Segoe UI" w:cs="Segoe UI"/>
          <w:sz w:val="18"/>
          <w:szCs w:val="18"/>
          <w:highlight w:val="cyan"/>
        </w:rPr>
      </w:pPr>
      <w:r w:rsidRPr="00DC54D0">
        <w:rPr>
          <w:rStyle w:val="normaltextrun"/>
          <w:rFonts w:ascii="Arial" w:hAnsi="Arial" w:cs="Arial"/>
          <w:color w:val="000000"/>
          <w:sz w:val="22"/>
          <w:szCs w:val="22"/>
          <w:highlight w:val="cyan"/>
        </w:rPr>
        <w:t>At some central banks, regulations prohibit any communication that would anticipate future policy decisions. They require observing a “media blackout” or “media quarantine” period before policy decisions.</w:t>
      </w:r>
      <w:r w:rsidRPr="00DC54D0">
        <w:rPr>
          <w:rStyle w:val="eop"/>
          <w:rFonts w:ascii="Arial" w:hAnsi="Arial" w:cs="Arial"/>
          <w:color w:val="000000"/>
          <w:sz w:val="22"/>
          <w:szCs w:val="22"/>
          <w:highlight w:val="cyan"/>
        </w:rPr>
        <w:t> </w:t>
      </w:r>
    </w:p>
    <w:p w14:paraId="60114BC6" w14:textId="77777777" w:rsidR="00136404" w:rsidRPr="00DC54D0" w:rsidRDefault="00136404" w:rsidP="0072173B">
      <w:pPr>
        <w:rPr>
          <w:highlight w:val="cyan"/>
        </w:rPr>
      </w:pPr>
    </w:p>
    <w:p w14:paraId="3E6E6A24" w14:textId="77777777" w:rsidR="0072173B" w:rsidRPr="00BD22BC" w:rsidRDefault="0072173B" w:rsidP="0072173B">
      <w:pPr>
        <w:rPr>
          <w:b/>
          <w:bCs/>
        </w:rPr>
      </w:pPr>
      <w:r w:rsidRPr="00DC54D0">
        <w:rPr>
          <w:b/>
          <w:bCs/>
          <w:highlight w:val="cyan"/>
        </w:rPr>
        <w:t>&lt;END OF VIDEO &gt;</w:t>
      </w:r>
    </w:p>
    <w:p w14:paraId="16CB962F" w14:textId="77777777" w:rsidR="00E04A4D" w:rsidRPr="00BD22BC" w:rsidRDefault="00E04A4D" w:rsidP="6EEC262A">
      <w:pPr>
        <w:pBdr>
          <w:bottom w:val="single" w:sz="6" w:space="1" w:color="auto"/>
        </w:pBdr>
      </w:pPr>
      <w:bookmarkStart w:id="28" w:name="_Hlk172473787"/>
    </w:p>
    <w:p w14:paraId="6D8FB6D4" w14:textId="77777777" w:rsidR="009A6FF0" w:rsidRPr="00BD22BC" w:rsidRDefault="009A6FF0" w:rsidP="6EEC262A"/>
    <w:bookmarkEnd w:id="28"/>
    <w:p w14:paraId="69903377" w14:textId="75B7FF20" w:rsidR="00E04A4D" w:rsidRPr="00BD22BC" w:rsidRDefault="00E04A4D" w:rsidP="00E04A4D">
      <w:r w:rsidRPr="00BD22BC">
        <w:t>The world’s most transparent central banks make their rules for communicati</w:t>
      </w:r>
      <w:r w:rsidR="00316EA7" w:rsidRPr="00BD22BC">
        <w:t>o</w:t>
      </w:r>
      <w:r w:rsidRPr="00BD22BC">
        <w:t xml:space="preserve">n around policy decisions </w:t>
      </w:r>
      <w:r w:rsidR="002661F5" w:rsidRPr="00BD22BC">
        <w:t xml:space="preserve">available to the </w:t>
      </w:r>
      <w:r w:rsidRPr="00BD22BC">
        <w:t>public.</w:t>
      </w:r>
    </w:p>
    <w:p w14:paraId="5C133E16" w14:textId="77777777" w:rsidR="00E04A4D" w:rsidRPr="00BD22BC" w:rsidRDefault="00E04A4D" w:rsidP="00E04A4D"/>
    <w:p w14:paraId="6941B45F" w14:textId="4A9D268F" w:rsidR="00E04A4D" w:rsidRDefault="00EC30F9" w:rsidP="00E04A4D">
      <w:r w:rsidRPr="00BD22BC">
        <w:t>A</w:t>
      </w:r>
      <w:r w:rsidR="00E04A4D" w:rsidRPr="00BD22BC">
        <w:t xml:space="preserve">n example of </w:t>
      </w:r>
      <w:r w:rsidR="001F3AEA" w:rsidRPr="00BD22BC">
        <w:t xml:space="preserve">this is </w:t>
      </w:r>
      <w:r w:rsidR="00E04A4D" w:rsidRPr="00BD22BC">
        <w:t>the so-called “</w:t>
      </w:r>
      <w:commentRangeStart w:id="29"/>
      <w:r w:rsidR="00E04A4D" w:rsidRPr="00BD22BC">
        <w:t>blackout guidelines</w:t>
      </w:r>
      <w:commentRangeEnd w:id="29"/>
      <w:r w:rsidR="00831663">
        <w:rPr>
          <w:rStyle w:val="CommentReference"/>
        </w:rPr>
        <w:commentReference w:id="29"/>
      </w:r>
      <w:r w:rsidR="00E04A4D" w:rsidRPr="00BD22BC">
        <w:t>” implemented by the Bank of Canada</w:t>
      </w:r>
      <w:r w:rsidR="001F3AEA" w:rsidRPr="00BD22BC">
        <w:t>.</w:t>
      </w:r>
      <w:r w:rsidR="00E04A4D" w:rsidRPr="00BD22BC">
        <w:t xml:space="preserve"> </w:t>
      </w:r>
    </w:p>
    <w:p w14:paraId="72E8C60E" w14:textId="77777777" w:rsidR="000A189E" w:rsidRDefault="000A189E" w:rsidP="00E04A4D"/>
    <w:tbl>
      <w:tblPr>
        <w:tblStyle w:val="TableGrid"/>
        <w:tblW w:w="0" w:type="auto"/>
        <w:shd w:val="clear" w:color="auto" w:fill="EDEDED" w:themeFill="accent3" w:themeFillTint="33"/>
        <w:tblLook w:val="04A0" w:firstRow="1" w:lastRow="0" w:firstColumn="1" w:lastColumn="0" w:noHBand="0" w:noVBand="1"/>
      </w:tblPr>
      <w:tblGrid>
        <w:gridCol w:w="10070"/>
      </w:tblGrid>
      <w:tr w:rsidR="00D3525E" w14:paraId="249D9746" w14:textId="77777777" w:rsidTr="00321C71">
        <w:tc>
          <w:tcPr>
            <w:tcW w:w="10070" w:type="dxa"/>
            <w:shd w:val="clear" w:color="auto" w:fill="EDEDED" w:themeFill="accent3" w:themeFillTint="33"/>
          </w:tcPr>
          <w:p w14:paraId="77BDC0DD" w14:textId="77777777" w:rsidR="00D3525E" w:rsidRPr="00D3525E" w:rsidRDefault="00D3525E" w:rsidP="00D3525E">
            <w:pPr>
              <w:rPr>
                <w:b/>
                <w:bCs/>
                <w:sz w:val="20"/>
                <w:szCs w:val="22"/>
              </w:rPr>
            </w:pPr>
            <w:r w:rsidRPr="00D3525E">
              <w:rPr>
                <w:b/>
                <w:bCs/>
                <w:sz w:val="20"/>
                <w:szCs w:val="22"/>
              </w:rPr>
              <w:t xml:space="preserve">Blackout guidelines </w:t>
            </w:r>
          </w:p>
          <w:p w14:paraId="459CD57F" w14:textId="77777777" w:rsidR="00D3525E" w:rsidRPr="00D3525E" w:rsidRDefault="00D3525E" w:rsidP="00D3525E">
            <w:pPr>
              <w:rPr>
                <w:sz w:val="20"/>
                <w:szCs w:val="22"/>
              </w:rPr>
            </w:pPr>
          </w:p>
          <w:p w14:paraId="2CB742AD" w14:textId="77777777" w:rsidR="00D3525E" w:rsidRPr="00D3525E" w:rsidRDefault="00D3525E" w:rsidP="00D3525E">
            <w:pPr>
              <w:rPr>
                <w:sz w:val="20"/>
                <w:szCs w:val="22"/>
              </w:rPr>
            </w:pPr>
            <w:r w:rsidRPr="00D3525E">
              <w:rPr>
                <w:sz w:val="20"/>
                <w:szCs w:val="22"/>
              </w:rPr>
              <w:t xml:space="preserve">Consult our "blackout" guidelines for communications around fixed announcement dates. </w:t>
            </w:r>
          </w:p>
          <w:p w14:paraId="0D85C303" w14:textId="77777777" w:rsidR="00D3525E" w:rsidRPr="00D3525E" w:rsidRDefault="00D3525E" w:rsidP="00D3525E">
            <w:pPr>
              <w:rPr>
                <w:sz w:val="20"/>
                <w:szCs w:val="22"/>
              </w:rPr>
            </w:pPr>
          </w:p>
          <w:p w14:paraId="5F970D99" w14:textId="77777777" w:rsidR="00D3525E" w:rsidRPr="00D3525E" w:rsidRDefault="00D3525E" w:rsidP="00D3525E">
            <w:pPr>
              <w:rPr>
                <w:sz w:val="20"/>
                <w:szCs w:val="22"/>
              </w:rPr>
            </w:pPr>
            <w:r w:rsidRPr="00D3525E">
              <w:rPr>
                <w:sz w:val="20"/>
                <w:szCs w:val="22"/>
              </w:rPr>
              <w:t xml:space="preserve">Eight times a year, the Bank announces its decision on the setting of its key policy interest rate (the overnight rate target). Members of the Bank's Governing Council observe a communications "blackout" around the announcement of the interest rate decision. This "blackout" (or "no-comment" period) is intended to help mitigate unnecessary speculation about monetary policy actions. During the blackout, Governing Council members refrain from giving speeches and from speaking to the news media or other outside parties about the </w:t>
            </w:r>
            <w:r w:rsidRPr="00D3525E">
              <w:rPr>
                <w:sz w:val="20"/>
                <w:szCs w:val="22"/>
              </w:rPr>
              <w:lastRenderedPageBreak/>
              <w:t xml:space="preserve">economic outlook and the direction of monetary policy, or about anything else that could be considered relevant to the economic outlook and their interest rate decision. Other senior representatives of the Bank are also expected to adhere to the blackout guidelines. </w:t>
            </w:r>
          </w:p>
          <w:p w14:paraId="40F199AC" w14:textId="77777777" w:rsidR="00D3525E" w:rsidRPr="00D3525E" w:rsidRDefault="00D3525E" w:rsidP="00D3525E">
            <w:pPr>
              <w:rPr>
                <w:sz w:val="20"/>
                <w:szCs w:val="22"/>
              </w:rPr>
            </w:pPr>
          </w:p>
          <w:p w14:paraId="0FA13554" w14:textId="77777777" w:rsidR="00D3525E" w:rsidRPr="00D3525E" w:rsidRDefault="00D3525E" w:rsidP="00D3525E">
            <w:pPr>
              <w:rPr>
                <w:sz w:val="20"/>
                <w:szCs w:val="22"/>
              </w:rPr>
            </w:pPr>
            <w:r w:rsidRPr="00D3525E">
              <w:rPr>
                <w:sz w:val="20"/>
                <w:szCs w:val="22"/>
              </w:rPr>
              <w:t xml:space="preserve">The key policy rate decision is published on a Wednesday at 9:45 Eastern Time. The blackout ends at 10:30 a.m. Eastern Time when the press conference associated with the decision begins. </w:t>
            </w:r>
          </w:p>
          <w:p w14:paraId="368782D3" w14:textId="77777777" w:rsidR="00D3525E" w:rsidRPr="00D3525E" w:rsidRDefault="00D3525E" w:rsidP="00D3525E">
            <w:pPr>
              <w:rPr>
                <w:sz w:val="20"/>
                <w:szCs w:val="22"/>
              </w:rPr>
            </w:pPr>
          </w:p>
          <w:p w14:paraId="07B2B20C" w14:textId="77777777" w:rsidR="00D3525E" w:rsidRPr="00D3525E" w:rsidRDefault="00D3525E" w:rsidP="00D3525E">
            <w:pPr>
              <w:rPr>
                <w:sz w:val="20"/>
                <w:szCs w:val="22"/>
              </w:rPr>
            </w:pPr>
            <w:r w:rsidRPr="00D3525E">
              <w:rPr>
                <w:sz w:val="20"/>
                <w:szCs w:val="22"/>
              </w:rPr>
              <w:t xml:space="preserve">In January, April, July and October, when the Monetary Policy Report is published concurrently with the key policy interest rate decision, the blackout begins on Tuesday – eight days prior to the rate decision.  </w:t>
            </w:r>
          </w:p>
          <w:p w14:paraId="6D651E38" w14:textId="77777777" w:rsidR="00D3525E" w:rsidRPr="00D3525E" w:rsidRDefault="00D3525E" w:rsidP="00D3525E">
            <w:pPr>
              <w:rPr>
                <w:sz w:val="20"/>
                <w:szCs w:val="22"/>
              </w:rPr>
            </w:pPr>
          </w:p>
          <w:p w14:paraId="115FD5E6" w14:textId="5B453C75" w:rsidR="00D3525E" w:rsidRDefault="00D3525E" w:rsidP="00D3525E">
            <w:r w:rsidRPr="00D3525E">
              <w:rPr>
                <w:sz w:val="20"/>
                <w:szCs w:val="22"/>
              </w:rPr>
              <w:t>When the policy rate decision is not published in conjunction with a Monetary Policy Report, the blackout begins on Wednesday – seven days prior to the rate decision.</w:t>
            </w:r>
          </w:p>
        </w:tc>
      </w:tr>
    </w:tbl>
    <w:p w14:paraId="79A03A9C" w14:textId="77777777" w:rsidR="000A189E" w:rsidRPr="00BD22BC" w:rsidRDefault="000A189E" w:rsidP="00E04A4D"/>
    <w:p w14:paraId="18B18D4F" w14:textId="4B43777B" w:rsidR="00E04A4D" w:rsidRPr="00BD22BC" w:rsidRDefault="00E04A4D" w:rsidP="00E04A4D"/>
    <w:p w14:paraId="6E86DFA5" w14:textId="4622CFAB" w:rsidR="00E04A4D" w:rsidRPr="00BD22BC" w:rsidRDefault="001F3AEA" w:rsidP="00E04A4D">
      <w:pPr>
        <w:rPr>
          <w:i/>
          <w:iCs/>
        </w:rPr>
      </w:pPr>
      <w:r w:rsidRPr="00BD22BC">
        <w:t>The Czech National Bank issues these</w:t>
      </w:r>
      <w:r w:rsidR="00E04A4D" w:rsidRPr="00BD22BC">
        <w:t xml:space="preserve"> so-called “</w:t>
      </w:r>
      <w:commentRangeStart w:id="30"/>
      <w:r w:rsidR="00E04A4D" w:rsidRPr="00BD22BC">
        <w:t>media quarantine</w:t>
      </w:r>
      <w:commentRangeEnd w:id="30"/>
      <w:r w:rsidR="004E47CF">
        <w:rPr>
          <w:rStyle w:val="CommentReference"/>
        </w:rPr>
        <w:commentReference w:id="30"/>
      </w:r>
      <w:r w:rsidR="00E04A4D" w:rsidRPr="00BD22BC">
        <w:t>” guidelines</w:t>
      </w:r>
      <w:r w:rsidRPr="00BD22BC">
        <w:t>.</w:t>
      </w:r>
      <w:r w:rsidR="00E04A4D" w:rsidRPr="00BD22BC">
        <w:t xml:space="preserve"> </w:t>
      </w:r>
    </w:p>
    <w:p w14:paraId="48DEA92F" w14:textId="77777777" w:rsidR="00290244" w:rsidRDefault="00290244" w:rsidP="005551F1">
      <w:pPr>
        <w:pBdr>
          <w:bottom w:val="single" w:sz="6" w:space="1" w:color="auto"/>
        </w:pBdr>
        <w:rPr>
          <w:rFonts w:eastAsia="Arial" w:cs="Arial"/>
          <w:b/>
          <w:bCs/>
          <w:strike/>
          <w:color w:val="000000" w:themeColor="text1"/>
          <w:szCs w:val="26"/>
        </w:rPr>
      </w:pPr>
    </w:p>
    <w:tbl>
      <w:tblPr>
        <w:tblStyle w:val="TableGrid"/>
        <w:tblW w:w="0" w:type="auto"/>
        <w:shd w:val="clear" w:color="auto" w:fill="EDEDED" w:themeFill="accent3" w:themeFillTint="33"/>
        <w:tblLook w:val="04A0" w:firstRow="1" w:lastRow="0" w:firstColumn="1" w:lastColumn="0" w:noHBand="0" w:noVBand="1"/>
      </w:tblPr>
      <w:tblGrid>
        <w:gridCol w:w="10070"/>
      </w:tblGrid>
      <w:tr w:rsidR="00290244" w14:paraId="72D63913" w14:textId="77777777" w:rsidTr="00290244">
        <w:tc>
          <w:tcPr>
            <w:tcW w:w="10070" w:type="dxa"/>
            <w:shd w:val="clear" w:color="auto" w:fill="EDEDED" w:themeFill="accent3" w:themeFillTint="33"/>
          </w:tcPr>
          <w:p w14:paraId="7941A38C" w14:textId="77777777" w:rsidR="00290244" w:rsidRPr="00290244" w:rsidRDefault="00290244" w:rsidP="00290244">
            <w:pPr>
              <w:rPr>
                <w:rFonts w:eastAsia="Arial" w:cs="Arial"/>
                <w:b/>
                <w:bCs/>
                <w:color w:val="000000" w:themeColor="text1"/>
                <w:sz w:val="20"/>
                <w:szCs w:val="20"/>
              </w:rPr>
            </w:pPr>
            <w:r w:rsidRPr="00290244">
              <w:rPr>
                <w:rFonts w:eastAsia="Arial" w:cs="Arial"/>
                <w:b/>
                <w:bCs/>
                <w:color w:val="000000" w:themeColor="text1"/>
                <w:sz w:val="20"/>
                <w:szCs w:val="20"/>
              </w:rPr>
              <w:t xml:space="preserve">Media quarantine </w:t>
            </w:r>
          </w:p>
          <w:p w14:paraId="662C31D6" w14:textId="77777777" w:rsidR="00290244" w:rsidRPr="00290244" w:rsidRDefault="00290244" w:rsidP="00290244">
            <w:pPr>
              <w:rPr>
                <w:rFonts w:eastAsia="Arial" w:cs="Arial"/>
                <w:b/>
                <w:bCs/>
                <w:color w:val="000000" w:themeColor="text1"/>
                <w:sz w:val="20"/>
                <w:szCs w:val="20"/>
              </w:rPr>
            </w:pPr>
          </w:p>
          <w:p w14:paraId="4880C1DF" w14:textId="77777777" w:rsidR="00290244" w:rsidRPr="00290244" w:rsidRDefault="00290244" w:rsidP="00290244">
            <w:pPr>
              <w:rPr>
                <w:rFonts w:eastAsia="Arial" w:cs="Arial"/>
                <w:color w:val="000000" w:themeColor="text1"/>
                <w:sz w:val="20"/>
                <w:szCs w:val="20"/>
              </w:rPr>
            </w:pPr>
            <w:r w:rsidRPr="00290244">
              <w:rPr>
                <w:rFonts w:eastAsia="Arial" w:cs="Arial"/>
                <w:color w:val="000000" w:themeColor="text1"/>
                <w:sz w:val="20"/>
                <w:szCs w:val="20"/>
              </w:rPr>
              <w:t xml:space="preserve">Bank Board members generally refrain from commenting on monetary policy issues for one week before the CNB Board’s monetary policy meeting. In the week between the monetary policy decision and the publication of the minutes of the Bank Board meeting, they comment on them to only a limited extent in accordance with the CNB’s published official communications. </w:t>
            </w:r>
          </w:p>
          <w:p w14:paraId="0E9A6DC5" w14:textId="77777777" w:rsidR="00290244" w:rsidRPr="00290244" w:rsidRDefault="00290244" w:rsidP="00290244">
            <w:pPr>
              <w:rPr>
                <w:rFonts w:eastAsia="Arial" w:cs="Arial"/>
                <w:color w:val="000000" w:themeColor="text1"/>
                <w:sz w:val="20"/>
                <w:szCs w:val="20"/>
              </w:rPr>
            </w:pPr>
          </w:p>
          <w:p w14:paraId="5571C54E" w14:textId="77777777" w:rsidR="00290244" w:rsidRPr="00290244" w:rsidRDefault="00290244" w:rsidP="00290244">
            <w:pPr>
              <w:rPr>
                <w:rFonts w:eastAsia="Arial" w:cs="Arial"/>
                <w:color w:val="000000" w:themeColor="text1"/>
                <w:sz w:val="20"/>
                <w:szCs w:val="20"/>
              </w:rPr>
            </w:pPr>
            <w:r w:rsidRPr="00290244">
              <w:rPr>
                <w:rFonts w:eastAsia="Arial" w:cs="Arial"/>
                <w:color w:val="000000" w:themeColor="text1"/>
                <w:sz w:val="20"/>
                <w:szCs w:val="20"/>
              </w:rPr>
              <w:t xml:space="preserve">“Media quarantine” (or “media blackout”) is an institutional communication rule that is </w:t>
            </w:r>
            <w:proofErr w:type="spellStart"/>
            <w:r w:rsidRPr="00290244">
              <w:rPr>
                <w:rFonts w:eastAsia="Arial" w:cs="Arial"/>
                <w:color w:val="000000" w:themeColor="text1"/>
                <w:sz w:val="20"/>
                <w:szCs w:val="20"/>
              </w:rPr>
              <w:t>astandard</w:t>
            </w:r>
            <w:proofErr w:type="spellEnd"/>
            <w:r w:rsidRPr="00290244">
              <w:rPr>
                <w:rFonts w:eastAsia="Arial" w:cs="Arial"/>
                <w:color w:val="000000" w:themeColor="text1"/>
                <w:sz w:val="20"/>
                <w:szCs w:val="20"/>
              </w:rPr>
              <w:t xml:space="preserve"> instrument for modern central banks. In the Czech Republic, it consists in members of the Bank Board and other CNB representatives refraining from commenting on monetary policy issues, the economic outlook and other topics that might be relevant to decisions on policy rates for one week before monetary policy meetings (held eight times a year). In the period between the monetary policy meeting and the publication of the minutes of the meeting, Bank Board members and other CNB representatives only make comments consistent with the Bank Board’s decisions and the CNB’s published official communications. </w:t>
            </w:r>
          </w:p>
          <w:p w14:paraId="08AB17A8" w14:textId="77777777" w:rsidR="00290244" w:rsidRPr="00290244" w:rsidRDefault="00290244" w:rsidP="00290244">
            <w:pPr>
              <w:rPr>
                <w:rFonts w:eastAsia="Arial" w:cs="Arial"/>
                <w:color w:val="000000" w:themeColor="text1"/>
                <w:sz w:val="20"/>
                <w:szCs w:val="20"/>
              </w:rPr>
            </w:pPr>
          </w:p>
          <w:p w14:paraId="26B7451A" w14:textId="77777777" w:rsidR="00290244" w:rsidRPr="00290244" w:rsidRDefault="00290244" w:rsidP="00290244">
            <w:pPr>
              <w:rPr>
                <w:rFonts w:eastAsia="Arial" w:cs="Arial"/>
                <w:color w:val="000000" w:themeColor="text1"/>
                <w:sz w:val="20"/>
                <w:szCs w:val="20"/>
              </w:rPr>
            </w:pPr>
            <w:r w:rsidRPr="00290244">
              <w:rPr>
                <w:rFonts w:eastAsia="Arial" w:cs="Arial"/>
                <w:color w:val="000000" w:themeColor="text1"/>
                <w:sz w:val="20"/>
                <w:szCs w:val="20"/>
              </w:rPr>
              <w:t xml:space="preserve">The central bank takes such action in order to prevent speculation about current monetary policy decision-making and to ensure that there is a level playing field – particularly for the financial markets – for receiving and processing this sensitive information. The media quarantine period always starts one week before the monetary policy meeting (usually at 3.00 p.m. on a Thursday) with the publication of the planned attendance of Bank Board members at that meeting. Monetary policy meetings may exceptionally be held on a Wednesday (due, for example, to the attendance of the CNB Governor at the ECB General Council meeting). In such cases, the media quarantine period is one day longer and starts on a Wednesday. The media quarantine period usually ends at 9.00 a.m. on the following Friday with the publication of the Minutes of the Bank Board Meeting. This document, approved by the Bank Board, is a single, consensual output that </w:t>
            </w:r>
            <w:proofErr w:type="spellStart"/>
            <w:r w:rsidRPr="00290244">
              <w:rPr>
                <w:rFonts w:eastAsia="Arial" w:cs="Arial"/>
                <w:color w:val="000000" w:themeColor="text1"/>
                <w:sz w:val="20"/>
                <w:szCs w:val="20"/>
              </w:rPr>
              <w:t>summarises</w:t>
            </w:r>
            <w:proofErr w:type="spellEnd"/>
            <w:r w:rsidRPr="00290244">
              <w:rPr>
                <w:rFonts w:eastAsia="Arial" w:cs="Arial"/>
                <w:color w:val="000000" w:themeColor="text1"/>
                <w:sz w:val="20"/>
                <w:szCs w:val="20"/>
              </w:rPr>
              <w:t xml:space="preserve"> the latest monetary policy decision and the preceding discussion and is available to all media and market participants at a single fixed time. It is therefore inappropriate for Bank Board members and other CNB representatives to appear in the media and present their individual opinions on monetary policy before the minutes are published. </w:t>
            </w:r>
          </w:p>
          <w:p w14:paraId="5FE2AB58" w14:textId="77777777" w:rsidR="00290244" w:rsidRPr="00290244" w:rsidRDefault="00290244" w:rsidP="00290244">
            <w:pPr>
              <w:rPr>
                <w:rFonts w:eastAsia="Arial" w:cs="Arial"/>
                <w:color w:val="000000" w:themeColor="text1"/>
                <w:sz w:val="20"/>
                <w:szCs w:val="20"/>
              </w:rPr>
            </w:pPr>
          </w:p>
          <w:p w14:paraId="6CF7A086" w14:textId="15D431F4" w:rsidR="00290244" w:rsidRDefault="00290244" w:rsidP="00290244">
            <w:pPr>
              <w:rPr>
                <w:rFonts w:eastAsia="Arial" w:cs="Arial"/>
                <w:b/>
                <w:bCs/>
                <w:color w:val="000000" w:themeColor="text1"/>
                <w:szCs w:val="26"/>
              </w:rPr>
            </w:pPr>
            <w:r w:rsidRPr="00290244">
              <w:rPr>
                <w:rFonts w:eastAsia="Arial" w:cs="Arial"/>
                <w:color w:val="000000" w:themeColor="text1"/>
                <w:sz w:val="20"/>
                <w:szCs w:val="20"/>
              </w:rPr>
              <w:t>Exceptions from the media quarantine rule may be made if the Bank Board judges that the benefits of doing so outweigh the benefits of media quarantine.</w:t>
            </w:r>
          </w:p>
        </w:tc>
      </w:tr>
    </w:tbl>
    <w:p w14:paraId="51C7C82D" w14:textId="77777777" w:rsidR="00290244" w:rsidRDefault="00290244" w:rsidP="00B823C1"/>
    <w:p w14:paraId="44F8D21C" w14:textId="77777777" w:rsidR="00290244" w:rsidRDefault="00290244" w:rsidP="00B823C1"/>
    <w:p w14:paraId="2A761926" w14:textId="7857377E" w:rsidR="00E8008E" w:rsidRPr="00BD22BC" w:rsidRDefault="00B823C1" w:rsidP="00B823C1">
      <w:r>
        <w:t>Central</w:t>
      </w:r>
      <w:r w:rsidR="00F25D8C">
        <w:t xml:space="preserve"> banks</w:t>
      </w:r>
      <w:r>
        <w:t xml:space="preserve"> </w:t>
      </w:r>
      <w:r w:rsidR="00F25D8C">
        <w:t xml:space="preserve">set specific rules </w:t>
      </w:r>
      <w:r>
        <w:t>of</w:t>
      </w:r>
      <w:r w:rsidR="00F25D8C">
        <w:t xml:space="preserve"> </w:t>
      </w:r>
      <w:r>
        <w:t>public engagement for even their highest-ranking officials</w:t>
      </w:r>
      <w:r w:rsidR="000458AB" w:rsidRPr="38638030">
        <w:rPr>
          <w:rFonts w:cs="Arial"/>
        </w:rPr>
        <w:t>—</w:t>
      </w:r>
      <w:r w:rsidR="00F25D8C">
        <w:t>members of their policy</w:t>
      </w:r>
      <w:r>
        <w:t>making</w:t>
      </w:r>
      <w:r w:rsidR="00F25D8C">
        <w:t xml:space="preserve"> panels (i.e., </w:t>
      </w:r>
      <w:r w:rsidR="00412884">
        <w:t xml:space="preserve">board </w:t>
      </w:r>
      <w:r w:rsidR="00F25D8C">
        <w:t xml:space="preserve">or </w:t>
      </w:r>
      <w:r w:rsidR="000458AB">
        <w:t>m</w:t>
      </w:r>
      <w:r w:rsidR="00F25D8C">
        <w:t xml:space="preserve">onetary </w:t>
      </w:r>
      <w:r w:rsidR="000458AB">
        <w:t>p</w:t>
      </w:r>
      <w:r w:rsidR="00F25D8C">
        <w:t xml:space="preserve">olicy </w:t>
      </w:r>
      <w:r w:rsidR="000458AB">
        <w:t>c</w:t>
      </w:r>
      <w:r w:rsidR="00F25D8C">
        <w:t xml:space="preserve">ommittee members). </w:t>
      </w:r>
    </w:p>
    <w:p w14:paraId="4D416C8C" w14:textId="77777777" w:rsidR="00E8008E" w:rsidRPr="00BD22BC" w:rsidRDefault="00E8008E" w:rsidP="00E8008E"/>
    <w:p w14:paraId="61EE109F" w14:textId="2DFABD30" w:rsidR="00E8008E" w:rsidRPr="00BD22BC" w:rsidRDefault="00E8008E" w:rsidP="00E8008E">
      <w:r>
        <w:lastRenderedPageBreak/>
        <w:t>The rules of public engagement by policymakers are applied at central banks with collegial decision</w:t>
      </w:r>
      <w:r w:rsidR="000458AB">
        <w:t>-</w:t>
      </w:r>
      <w:r>
        <w:t xml:space="preserve">making </w:t>
      </w:r>
      <w:r w:rsidR="000458AB">
        <w:t>m</w:t>
      </w:r>
      <w:r>
        <w:t xml:space="preserve">onetary </w:t>
      </w:r>
      <w:r w:rsidR="000458AB">
        <w:t>p</w:t>
      </w:r>
      <w:r>
        <w:t xml:space="preserve">olicy </w:t>
      </w:r>
      <w:r w:rsidR="000458AB">
        <w:t>c</w:t>
      </w:r>
      <w:r>
        <w:t xml:space="preserve">ommittee or </w:t>
      </w:r>
      <w:r w:rsidR="00412884">
        <w:t xml:space="preserve">board </w:t>
      </w:r>
      <w:r>
        <w:t>(the so-called “collegial committee types”), as well as at central banks whose policymaking panels make decisions collectively, but each member has an individual vote (the so-called “individualistic committee types”)</w:t>
      </w:r>
      <w:r w:rsidR="00B032DC">
        <w:t xml:space="preserve">. </w:t>
      </w:r>
    </w:p>
    <w:p w14:paraId="4917A0A5" w14:textId="77777777" w:rsidR="00E8008E" w:rsidRPr="00BD22BC" w:rsidRDefault="00E8008E" w:rsidP="00E8008E"/>
    <w:p w14:paraId="14D17232" w14:textId="23862C91" w:rsidR="00E8008E" w:rsidRPr="00BD22BC" w:rsidRDefault="00E8008E" w:rsidP="00B823C1">
      <w:r>
        <w:t xml:space="preserve">The approach taken by a decision-making </w:t>
      </w:r>
      <w:bookmarkStart w:id="31" w:name="_Hlk180942332"/>
      <w:r>
        <w:t>committee</w:t>
      </w:r>
      <w:bookmarkEnd w:id="31"/>
      <w:r>
        <w:t xml:space="preserve"> in crafting policy decisions directly impacts how its members communicate in public settings.</w:t>
      </w:r>
      <w:r w:rsidR="00B032DC">
        <w:t xml:space="preserve"> Members of individualistic committees are allowed to express their own views internally with votes and may communicate individual statements externally.</w:t>
      </w:r>
    </w:p>
    <w:p w14:paraId="793D8EE3" w14:textId="77777777" w:rsidR="00B823C1" w:rsidRPr="00BD22BC" w:rsidRDefault="00B823C1" w:rsidP="00B823C1">
      <w:bookmarkStart w:id="32" w:name="_Hlk173186916"/>
    </w:p>
    <w:p w14:paraId="5EECF371" w14:textId="56C2D0CB" w:rsidR="00B823C1" w:rsidRPr="00BD22BC" w:rsidRDefault="00F25D8C" w:rsidP="00B823C1">
      <w:r w:rsidRPr="00BD22BC">
        <w:t xml:space="preserve">[Click on the </w:t>
      </w:r>
      <w:r w:rsidR="00B823C1" w:rsidRPr="00BD22BC">
        <w:rPr>
          <w:b/>
          <w:bCs/>
          <w:highlight w:val="yellow"/>
        </w:rPr>
        <w:t>Interactive Presentation</w:t>
      </w:r>
      <w:r w:rsidRPr="00BD22BC">
        <w:t xml:space="preserve"> below for examples of central bank guidelines</w:t>
      </w:r>
      <w:r w:rsidR="00B823C1" w:rsidRPr="00BD22BC">
        <w:t xml:space="preserve"> governing external communication by policymakers</w:t>
      </w:r>
      <w:r w:rsidRPr="00BD22BC">
        <w:t>.]</w:t>
      </w:r>
    </w:p>
    <w:p w14:paraId="461B5740" w14:textId="7F0EC43E" w:rsidR="004267F1" w:rsidRDefault="004267F1">
      <w:pPr>
        <w:spacing w:after="160" w:line="259" w:lineRule="auto"/>
        <w:rPr>
          <w:b/>
          <w:bCs/>
          <w:highlight w:val="yellow"/>
        </w:rPr>
      </w:pPr>
      <w:bookmarkStart w:id="33" w:name="_Hlk173186907"/>
    </w:p>
    <w:p w14:paraId="7E313F1F" w14:textId="4CF3F56E" w:rsidR="000E52CC" w:rsidRPr="00BD22BC" w:rsidRDefault="78F13A5A" w:rsidP="001C6121">
      <w:pPr>
        <w:rPr>
          <w:b/>
          <w:bCs/>
        </w:rPr>
      </w:pPr>
      <w:r w:rsidRPr="38638030">
        <w:rPr>
          <w:b/>
          <w:bCs/>
          <w:highlight w:val="yellow"/>
        </w:rPr>
        <w:t xml:space="preserve">&lt;Interactive </w:t>
      </w:r>
      <w:r w:rsidR="0C538482" w:rsidRPr="38638030">
        <w:rPr>
          <w:b/>
          <w:bCs/>
          <w:highlight w:val="yellow"/>
        </w:rPr>
        <w:t>C</w:t>
      </w:r>
      <w:r w:rsidRPr="38638030">
        <w:rPr>
          <w:b/>
          <w:bCs/>
          <w:highlight w:val="yellow"/>
        </w:rPr>
        <w:t xml:space="preserve">ourse </w:t>
      </w:r>
      <w:proofErr w:type="spellStart"/>
      <w:r w:rsidR="0C538482" w:rsidRPr="38638030">
        <w:rPr>
          <w:b/>
          <w:bCs/>
          <w:highlight w:val="yellow"/>
        </w:rPr>
        <w:t>P</w:t>
      </w:r>
      <w:r w:rsidRPr="38638030">
        <w:rPr>
          <w:b/>
          <w:bCs/>
          <w:highlight w:val="yellow"/>
        </w:rPr>
        <w:t>resentation_START</w:t>
      </w:r>
      <w:proofErr w:type="spellEnd"/>
      <w:r w:rsidRPr="38638030">
        <w:rPr>
          <w:b/>
          <w:bCs/>
          <w:highlight w:val="yellow"/>
        </w:rPr>
        <w:t>&gt;</w:t>
      </w:r>
    </w:p>
    <w:p w14:paraId="2010E9E2" w14:textId="77777777" w:rsidR="007B15D2" w:rsidRPr="00BD22BC" w:rsidRDefault="007B15D2" w:rsidP="007B15D2">
      <w:bookmarkStart w:id="34" w:name="_Hlk170168505"/>
      <w:bookmarkStart w:id="35" w:name="_Hlk170168354"/>
      <w:bookmarkEnd w:id="32"/>
      <w:bookmarkEnd w:id="33"/>
    </w:p>
    <w:p w14:paraId="343BB9FF" w14:textId="4CCE77CD" w:rsidR="003268FB" w:rsidRPr="00BD22BC" w:rsidRDefault="007B15D2" w:rsidP="00B823C1">
      <w:r>
        <w:t xml:space="preserve">A summary of the typology of decision-making committees is </w:t>
      </w:r>
      <w:commentRangeStart w:id="36"/>
      <w:r>
        <w:t xml:space="preserve">illustrated </w:t>
      </w:r>
      <w:r w:rsidR="233E9E74">
        <w:t>in</w:t>
      </w:r>
      <w:r>
        <w:t xml:space="preserve"> the following</w:t>
      </w:r>
      <w:commentRangeEnd w:id="36"/>
      <w:r>
        <w:rPr>
          <w:rStyle w:val="CommentReference"/>
        </w:rPr>
        <w:commentReference w:id="36"/>
      </w:r>
      <w:r>
        <w:t>:</w:t>
      </w:r>
    </w:p>
    <w:p w14:paraId="36F34763" w14:textId="6FF56E42" w:rsidR="004267F1" w:rsidRDefault="004267F1" w:rsidP="001C6121">
      <w:pPr>
        <w:rPr>
          <w:b/>
          <w:bCs/>
          <w:i/>
          <w:iCs/>
          <w:sz w:val="18"/>
          <w:szCs w:val="18"/>
        </w:rPr>
      </w:pPr>
      <w:bookmarkStart w:id="37" w:name="_Hlk172986679"/>
    </w:p>
    <w:p w14:paraId="1C85AC01" w14:textId="068B4048" w:rsidR="004267F1" w:rsidRDefault="004267F1" w:rsidP="001C6121">
      <w:pPr>
        <w:rPr>
          <w:b/>
          <w:bCs/>
          <w:i/>
          <w:iCs/>
          <w:sz w:val="18"/>
          <w:szCs w:val="18"/>
        </w:rPr>
      </w:pPr>
    </w:p>
    <w:p w14:paraId="0EBC5129" w14:textId="0AD04BB7" w:rsidR="004267F1" w:rsidRPr="004039F0" w:rsidRDefault="004039F0" w:rsidP="001C6121">
      <w:pPr>
        <w:rPr>
          <w:b/>
          <w:bCs/>
        </w:rPr>
      </w:pPr>
      <w:r w:rsidRPr="38638030">
        <w:rPr>
          <w:b/>
          <w:bCs/>
          <w:highlight w:val="yellow"/>
        </w:rPr>
        <w:t>&lt;</w:t>
      </w:r>
      <w:r>
        <w:rPr>
          <w:b/>
          <w:bCs/>
          <w:highlight w:val="yellow"/>
        </w:rPr>
        <w:t>Asset 4.1.3_Committee types</w:t>
      </w:r>
      <w:r w:rsidRPr="38638030">
        <w:rPr>
          <w:b/>
          <w:bCs/>
          <w:highlight w:val="yellow"/>
        </w:rPr>
        <w:t>&gt;</w:t>
      </w:r>
      <w:r w:rsidR="004267F1" w:rsidRPr="00BD22BC">
        <w:rPr>
          <w:noProof/>
        </w:rPr>
        <w:drawing>
          <wp:anchor distT="0" distB="0" distL="114300" distR="114300" simplePos="0" relativeHeight="251658241" behindDoc="1" locked="0" layoutInCell="1" allowOverlap="1" wp14:anchorId="34962B35" wp14:editId="3EFAE644">
            <wp:simplePos x="0" y="0"/>
            <wp:positionH relativeFrom="column">
              <wp:posOffset>0</wp:posOffset>
            </wp:positionH>
            <wp:positionV relativeFrom="paragraph">
              <wp:posOffset>201295</wp:posOffset>
            </wp:positionV>
            <wp:extent cx="6400800" cy="1501140"/>
            <wp:effectExtent l="0" t="0" r="0" b="3810"/>
            <wp:wrapTight wrapText="bothSides">
              <wp:wrapPolygon edited="0">
                <wp:start x="0" y="0"/>
                <wp:lineTo x="0" y="21381"/>
                <wp:lineTo x="21536" y="21381"/>
                <wp:lineTo x="21536" y="0"/>
                <wp:lineTo x="0" y="0"/>
              </wp:wrapPolygon>
            </wp:wrapTight>
            <wp:docPr id="1641102345" name="Picture 1641102345" descr="A black and red char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102345" name="Picture 1" descr="A black and red chart with black tex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400800" cy="1501140"/>
                    </a:xfrm>
                    <a:prstGeom prst="rect">
                      <a:avLst/>
                    </a:prstGeom>
                  </pic:spPr>
                </pic:pic>
              </a:graphicData>
            </a:graphic>
            <wp14:sizeRelH relativeFrom="page">
              <wp14:pctWidth>0</wp14:pctWidth>
            </wp14:sizeRelH>
            <wp14:sizeRelV relativeFrom="page">
              <wp14:pctHeight>0</wp14:pctHeight>
            </wp14:sizeRelV>
          </wp:anchor>
        </w:drawing>
      </w:r>
    </w:p>
    <w:p w14:paraId="63F1910F" w14:textId="77777777" w:rsidR="004267F1" w:rsidRDefault="004267F1" w:rsidP="001C6121">
      <w:pPr>
        <w:rPr>
          <w:b/>
          <w:bCs/>
          <w:i/>
          <w:iCs/>
          <w:sz w:val="18"/>
          <w:szCs w:val="18"/>
        </w:rPr>
      </w:pPr>
    </w:p>
    <w:p w14:paraId="2F6D4225" w14:textId="42001235" w:rsidR="009266C1" w:rsidRPr="00FF08FF" w:rsidRDefault="007B15D2" w:rsidP="001C6121">
      <w:pPr>
        <w:rPr>
          <w:sz w:val="18"/>
          <w:szCs w:val="18"/>
        </w:rPr>
      </w:pPr>
      <w:r w:rsidRPr="38638030">
        <w:rPr>
          <w:b/>
          <w:bCs/>
          <w:i/>
          <w:iCs/>
          <w:sz w:val="18"/>
          <w:szCs w:val="18"/>
        </w:rPr>
        <w:t>Source:</w:t>
      </w:r>
      <w:r w:rsidRPr="38638030">
        <w:rPr>
          <w:i/>
          <w:iCs/>
          <w:sz w:val="18"/>
          <w:szCs w:val="18"/>
        </w:rPr>
        <w:t xml:space="preserve"> </w:t>
      </w:r>
      <w:r w:rsidR="000458AB" w:rsidRPr="00131E45">
        <w:rPr>
          <w:sz w:val="18"/>
          <w:szCs w:val="18"/>
        </w:rPr>
        <w:t xml:space="preserve">G. </w:t>
      </w:r>
      <w:r w:rsidR="009266C1" w:rsidRPr="000458AB">
        <w:rPr>
          <w:sz w:val="18"/>
          <w:szCs w:val="18"/>
        </w:rPr>
        <w:t>Price</w:t>
      </w:r>
      <w:r w:rsidR="000458AB">
        <w:rPr>
          <w:sz w:val="18"/>
          <w:szCs w:val="18"/>
        </w:rPr>
        <w:t xml:space="preserve"> and A.</w:t>
      </w:r>
      <w:r w:rsidR="009266C1" w:rsidRPr="000458AB">
        <w:rPr>
          <w:sz w:val="18"/>
          <w:szCs w:val="18"/>
        </w:rPr>
        <w:t xml:space="preserve"> Wadsworth (2019), "Effective monetary policy committee deliberation in New Zealand", RBNZ Bulletin, Vol. 82, No. 1 April 2019. Available at </w:t>
      </w:r>
      <w:hyperlink r:id="rId17" w:history="1">
        <w:r w:rsidR="009266C1" w:rsidRPr="000458AB">
          <w:rPr>
            <w:rStyle w:val="Hyperlink"/>
            <w:sz w:val="18"/>
            <w:szCs w:val="18"/>
          </w:rPr>
          <w:t>https://www.rbnz.govt.nz/-/media/project/sites/rbnz/files/publications/bulletins/2019/rbb2019-82-01.pdf</w:t>
        </w:r>
      </w:hyperlink>
    </w:p>
    <w:bookmarkEnd w:id="37"/>
    <w:p w14:paraId="521D4E17" w14:textId="18B93513" w:rsidR="007B15D2" w:rsidRPr="00FF08FF" w:rsidRDefault="009266C1" w:rsidP="001C6121">
      <w:pPr>
        <w:rPr>
          <w:sz w:val="18"/>
          <w:szCs w:val="18"/>
        </w:rPr>
      </w:pPr>
      <w:r w:rsidRPr="000458AB">
        <w:rPr>
          <w:sz w:val="18"/>
          <w:szCs w:val="18"/>
        </w:rPr>
        <w:t xml:space="preserve">Based on </w:t>
      </w:r>
      <w:r w:rsidR="000458AB" w:rsidRPr="00DD6813">
        <w:rPr>
          <w:sz w:val="18"/>
          <w:szCs w:val="18"/>
        </w:rPr>
        <w:t>A</w:t>
      </w:r>
      <w:r w:rsidR="000458AB">
        <w:rPr>
          <w:sz w:val="18"/>
          <w:szCs w:val="18"/>
        </w:rPr>
        <w:t>.</w:t>
      </w:r>
      <w:r w:rsidR="000458AB" w:rsidRPr="000458AB">
        <w:rPr>
          <w:sz w:val="18"/>
          <w:szCs w:val="18"/>
        </w:rPr>
        <w:t xml:space="preserve"> </w:t>
      </w:r>
      <w:r w:rsidR="007B15D2" w:rsidRPr="000458AB">
        <w:rPr>
          <w:sz w:val="18"/>
          <w:szCs w:val="18"/>
        </w:rPr>
        <w:t>Blinder (2006) ‘Monetary policy by committee: why and how’, DNB Working Paper No 92</w:t>
      </w:r>
      <w:r w:rsidRPr="000458AB">
        <w:rPr>
          <w:sz w:val="18"/>
          <w:szCs w:val="18"/>
        </w:rPr>
        <w:t xml:space="preserve">. Available at </w:t>
      </w:r>
      <w:hyperlink r:id="rId18" w:history="1">
        <w:r w:rsidRPr="000458AB">
          <w:rPr>
            <w:rStyle w:val="Hyperlink"/>
            <w:sz w:val="18"/>
            <w:szCs w:val="18"/>
          </w:rPr>
          <w:t>https://www.princeton.edu/~ceps/workingpapers/118blinder.pdf</w:t>
        </w:r>
      </w:hyperlink>
    </w:p>
    <w:p w14:paraId="53B71C64" w14:textId="6A43A18B" w:rsidR="007B15D2" w:rsidRPr="00BD22BC" w:rsidRDefault="007B15D2" w:rsidP="001C6121"/>
    <w:p w14:paraId="5AB89148" w14:textId="2C04AB63" w:rsidR="006862E4" w:rsidRPr="00E51006" w:rsidRDefault="006862E4" w:rsidP="00B032DC">
      <w:pPr>
        <w:rPr>
          <w:b/>
          <w:bCs/>
          <w:u w:val="single"/>
        </w:rPr>
      </w:pPr>
      <w:r w:rsidRPr="00E51006">
        <w:rPr>
          <w:b/>
          <w:bCs/>
          <w:u w:val="single"/>
        </w:rPr>
        <w:t>INDIVIDUALISTIC COMMITTEE</w:t>
      </w:r>
    </w:p>
    <w:p w14:paraId="51E63D3B" w14:textId="0B3065A8" w:rsidR="00B437CF" w:rsidRPr="0026549A" w:rsidRDefault="00B032DC" w:rsidP="00B032DC">
      <w:pPr>
        <w:rPr>
          <w:lang w:val="cs-CZ"/>
        </w:rPr>
      </w:pPr>
      <w:r>
        <w:t xml:space="preserve">The </w:t>
      </w:r>
      <w:r w:rsidRPr="38638030">
        <w:rPr>
          <w:b/>
          <w:bCs/>
        </w:rPr>
        <w:t>Bank of England</w:t>
      </w:r>
      <w:r>
        <w:t xml:space="preserve">’s </w:t>
      </w:r>
      <w:r w:rsidR="7BD8D492">
        <w:t xml:space="preserve">Monetary Policy Committee </w:t>
      </w:r>
      <w:r>
        <w:t xml:space="preserve">and the </w:t>
      </w:r>
      <w:commentRangeStart w:id="38"/>
      <w:r w:rsidRPr="38638030">
        <w:rPr>
          <w:b/>
          <w:bCs/>
        </w:rPr>
        <w:t>Czech National Bank</w:t>
      </w:r>
      <w:r>
        <w:t>’s</w:t>
      </w:r>
      <w:commentRangeEnd w:id="38"/>
      <w:r>
        <w:rPr>
          <w:rStyle w:val="CommentReference"/>
        </w:rPr>
        <w:commentReference w:id="38"/>
      </w:r>
      <w:r>
        <w:t xml:space="preserve"> Board arrive at decisions in an “individualistic” manner. </w:t>
      </w:r>
      <w:r w:rsidR="004D3179">
        <w:t xml:space="preserve">The votes of their members </w:t>
      </w:r>
      <w:r w:rsidR="3464017B">
        <w:t>are</w:t>
      </w:r>
      <w:r w:rsidR="004D3179">
        <w:t xml:space="preserve"> publicly disclosed, providing the</w:t>
      </w:r>
      <w:r w:rsidR="55111CCC">
        <w:t xml:space="preserve"> </w:t>
      </w:r>
      <w:r w:rsidR="004D3179">
        <w:t>m</w:t>
      </w:r>
      <w:r w:rsidR="01DD03A0">
        <w:t>embers</w:t>
      </w:r>
      <w:r w:rsidR="004D3179">
        <w:t xml:space="preserve"> with freedom to individually speak in public.</w:t>
      </w:r>
    </w:p>
    <w:p w14:paraId="1D0F4ADC" w14:textId="77777777" w:rsidR="00B437CF" w:rsidRPr="00BD22BC" w:rsidRDefault="00B437CF" w:rsidP="00B032DC"/>
    <w:p w14:paraId="1E743F55" w14:textId="2AB3B908" w:rsidR="00F118A5" w:rsidRDefault="00B032DC" w:rsidP="00B032DC">
      <w:r>
        <w:t xml:space="preserve">The </w:t>
      </w:r>
      <w:r w:rsidRPr="38638030">
        <w:rPr>
          <w:b/>
          <w:bCs/>
        </w:rPr>
        <w:t>Bank of England</w:t>
      </w:r>
      <w:r>
        <w:t xml:space="preserve"> has put in pl</w:t>
      </w:r>
      <w:r w:rsidR="004D3179">
        <w:t xml:space="preserve">ace </w:t>
      </w:r>
      <w:commentRangeStart w:id="39"/>
      <w:r>
        <w:t>communications guidance for members of its M</w:t>
      </w:r>
      <w:r w:rsidR="000458AB">
        <w:t>onetary Policy Committee</w:t>
      </w:r>
      <w:commentRangeEnd w:id="39"/>
      <w:r w:rsidR="00C03687">
        <w:rPr>
          <w:rStyle w:val="CommentReference"/>
        </w:rPr>
        <w:commentReference w:id="39"/>
      </w:r>
      <w:r>
        <w:t>. Still, the document states that</w:t>
      </w:r>
      <w:r w:rsidR="00A36104">
        <w:t>:</w:t>
      </w:r>
      <w:r>
        <w:t xml:space="preserve"> </w:t>
      </w:r>
    </w:p>
    <w:p w14:paraId="05838856" w14:textId="1C853B26" w:rsidR="00B032DC" w:rsidRPr="00BD22BC" w:rsidRDefault="00B032DC" w:rsidP="00B032DC"/>
    <w:tbl>
      <w:tblPr>
        <w:tblStyle w:val="TableGrid"/>
        <w:tblW w:w="0" w:type="auto"/>
        <w:shd w:val="clear" w:color="auto" w:fill="E7E6E6" w:themeFill="background2"/>
        <w:tblCellMar>
          <w:top w:w="72" w:type="dxa"/>
          <w:bottom w:w="72" w:type="dxa"/>
        </w:tblCellMar>
        <w:tblLook w:val="04A0" w:firstRow="1" w:lastRow="0" w:firstColumn="1" w:lastColumn="0" w:noHBand="0" w:noVBand="1"/>
      </w:tblPr>
      <w:tblGrid>
        <w:gridCol w:w="10070"/>
      </w:tblGrid>
      <w:tr w:rsidR="00F118A5" w14:paraId="336A8D64" w14:textId="77777777" w:rsidTr="00F118A5">
        <w:tc>
          <w:tcPr>
            <w:tcW w:w="10070" w:type="dxa"/>
            <w:shd w:val="clear" w:color="auto" w:fill="E7E6E6" w:themeFill="background2"/>
          </w:tcPr>
          <w:p w14:paraId="038F8193" w14:textId="163B4E5C" w:rsidR="00F118A5" w:rsidRDefault="00F118A5" w:rsidP="001C6121">
            <w:r>
              <w:t>“</w:t>
            </w:r>
            <w:r w:rsidRPr="38638030">
              <w:rPr>
                <w:i/>
                <w:iCs/>
              </w:rPr>
              <w:t>members are fully entitled to explain their policy position in public but in doing so should respect the best collective judgment embodied in the Monetary Policy Report and the Forecast. They should express their views in a way that maintains the Bank’s reputation for constructive policy debate</w:t>
            </w:r>
            <w:r>
              <w:t>”.</w:t>
            </w:r>
          </w:p>
        </w:tc>
      </w:tr>
    </w:tbl>
    <w:p w14:paraId="1ACAE4B0" w14:textId="77777777" w:rsidR="00B032DC" w:rsidRPr="00BD22BC" w:rsidRDefault="00B032DC" w:rsidP="001C6121"/>
    <w:p w14:paraId="6BCFA770" w14:textId="7A98C9D0" w:rsidR="00B032DC" w:rsidRPr="00BD22BC" w:rsidRDefault="00B032DC" w:rsidP="00B032DC">
      <w:proofErr w:type="spellStart"/>
      <w:r w:rsidRPr="38638030">
        <w:rPr>
          <w:b/>
          <w:bCs/>
        </w:rPr>
        <w:t>Sveriges</w:t>
      </w:r>
      <w:proofErr w:type="spellEnd"/>
      <w:r w:rsidRPr="38638030">
        <w:rPr>
          <w:b/>
          <w:bCs/>
        </w:rPr>
        <w:t xml:space="preserve"> </w:t>
      </w:r>
      <w:proofErr w:type="spellStart"/>
      <w:r w:rsidRPr="38638030">
        <w:rPr>
          <w:b/>
          <w:bCs/>
        </w:rPr>
        <w:t>Riksbank</w:t>
      </w:r>
      <w:proofErr w:type="spellEnd"/>
      <w:r>
        <w:t xml:space="preserve"> </w:t>
      </w:r>
      <w:r w:rsidR="00B2384B">
        <w:t>(</w:t>
      </w:r>
      <w:commentRangeStart w:id="40"/>
      <w:r w:rsidR="00B2384B">
        <w:t>Sweden</w:t>
      </w:r>
      <w:commentRangeEnd w:id="40"/>
      <w:r>
        <w:rPr>
          <w:rStyle w:val="CommentReference"/>
        </w:rPr>
        <w:commentReference w:id="40"/>
      </w:r>
      <w:r w:rsidR="00B2384B">
        <w:t xml:space="preserve">) </w:t>
      </w:r>
      <w:r>
        <w:t>is an</w:t>
      </w:r>
      <w:r w:rsidR="004D3179">
        <w:t>other</w:t>
      </w:r>
      <w:r>
        <w:t xml:space="preserve"> example of a central bank that has an individualistic committee, the Executive Board. Its members express their policy views by publicly disclosed votes and individual public statements. Still, </w:t>
      </w:r>
      <w:r w:rsidR="000458AB">
        <w:t xml:space="preserve">Executive Board </w:t>
      </w:r>
      <w:r>
        <w:t>members remain subject to specific rules:</w:t>
      </w:r>
    </w:p>
    <w:p w14:paraId="18576714" w14:textId="77777777" w:rsidR="00B032DC" w:rsidRPr="00BD22BC" w:rsidRDefault="00B032DC" w:rsidP="00B032DC"/>
    <w:tbl>
      <w:tblPr>
        <w:tblStyle w:val="TableGrid"/>
        <w:tblW w:w="0" w:type="auto"/>
        <w:shd w:val="clear" w:color="auto" w:fill="EDEDED" w:themeFill="accent3" w:themeFillTint="33"/>
        <w:tblLook w:val="04A0" w:firstRow="1" w:lastRow="0" w:firstColumn="1" w:lastColumn="0" w:noHBand="0" w:noVBand="1"/>
      </w:tblPr>
      <w:tblGrid>
        <w:gridCol w:w="10070"/>
      </w:tblGrid>
      <w:tr w:rsidR="008F7320" w:rsidRPr="00716B01" w14:paraId="6D9F1B46" w14:textId="77777777" w:rsidTr="00716B01">
        <w:tc>
          <w:tcPr>
            <w:tcW w:w="10070" w:type="dxa"/>
            <w:shd w:val="clear" w:color="auto" w:fill="EDEDED" w:themeFill="accent3" w:themeFillTint="33"/>
          </w:tcPr>
          <w:p w14:paraId="1C0FBF66" w14:textId="77777777" w:rsidR="00716B01" w:rsidRPr="00716B01" w:rsidRDefault="00716B01" w:rsidP="00716B01">
            <w:pPr>
              <w:pStyle w:val="Heading3"/>
              <w:shd w:val="clear" w:color="auto" w:fill="F8F8F8"/>
              <w:spacing w:after="150"/>
              <w:rPr>
                <w:color w:val="000000"/>
                <w:sz w:val="20"/>
                <w:szCs w:val="20"/>
              </w:rPr>
            </w:pPr>
            <w:r w:rsidRPr="00716B01">
              <w:rPr>
                <w:color w:val="000000"/>
                <w:sz w:val="20"/>
                <w:szCs w:val="20"/>
              </w:rPr>
              <w:t>Executive Board members’ external communication</w:t>
            </w:r>
          </w:p>
          <w:p w14:paraId="232E6351" w14:textId="77777777" w:rsidR="00716B01" w:rsidRPr="00716B01" w:rsidRDefault="00716B01" w:rsidP="00716B01">
            <w:pPr>
              <w:pStyle w:val="NormalWeb"/>
              <w:shd w:val="clear" w:color="auto" w:fill="F8F8F8"/>
              <w:spacing w:before="120" w:beforeAutospacing="0" w:after="270" w:afterAutospacing="0"/>
              <w:rPr>
                <w:rFonts w:cs="Arial"/>
                <w:color w:val="000000"/>
                <w:sz w:val="20"/>
                <w:szCs w:val="20"/>
              </w:rPr>
            </w:pPr>
            <w:r w:rsidRPr="00716B01">
              <w:rPr>
                <w:rFonts w:cs="Arial"/>
                <w:color w:val="000000"/>
                <w:sz w:val="20"/>
                <w:szCs w:val="20"/>
              </w:rPr>
              <w:t>A large part of the members' work involves meeting people, listening, explaining and answering questions. It is therefore important that the members’ communication is also open and clear, especially when it comes to monetary policy, where the outside world demands guidance and nuances regarding market-sensitive decisions. The Executive Board makes decisions collectively, but each member has an individual voice and view to be communicated. To contribute to open, clear and trusting communication, the Executive Board shall therefore:</w:t>
            </w:r>
          </w:p>
          <w:p w14:paraId="45A4DF8C" w14:textId="77777777" w:rsidR="00716B01" w:rsidRPr="00716B01" w:rsidRDefault="00716B01" w:rsidP="00716B01">
            <w:pPr>
              <w:numPr>
                <w:ilvl w:val="0"/>
                <w:numId w:val="65"/>
              </w:numPr>
              <w:shd w:val="clear" w:color="auto" w:fill="F8F8F8"/>
              <w:spacing w:before="100" w:beforeAutospacing="1" w:after="90" w:line="240" w:lineRule="auto"/>
              <w:ind w:left="1170"/>
              <w:textAlignment w:val="bottom"/>
              <w:rPr>
                <w:rFonts w:cs="Arial"/>
                <w:color w:val="000000"/>
                <w:sz w:val="20"/>
                <w:szCs w:val="20"/>
              </w:rPr>
            </w:pPr>
            <w:r w:rsidRPr="00716B01">
              <w:rPr>
                <w:rFonts w:cs="Arial"/>
                <w:color w:val="000000"/>
                <w:sz w:val="20"/>
                <w:szCs w:val="20"/>
              </w:rPr>
              <w:t xml:space="preserve">Communicate both the views of the </w:t>
            </w:r>
            <w:proofErr w:type="spellStart"/>
            <w:r w:rsidRPr="00716B01">
              <w:rPr>
                <w:rFonts w:cs="Arial"/>
                <w:color w:val="000000"/>
                <w:sz w:val="20"/>
                <w:szCs w:val="20"/>
              </w:rPr>
              <w:t>Riksbank</w:t>
            </w:r>
            <w:proofErr w:type="spellEnd"/>
            <w:r w:rsidRPr="00716B01">
              <w:rPr>
                <w:rFonts w:cs="Arial"/>
                <w:color w:val="000000"/>
                <w:sz w:val="20"/>
                <w:szCs w:val="20"/>
              </w:rPr>
              <w:t xml:space="preserve"> and their own stance. The members of the Executive Board shall take joint responsibility for spreading knowledge about the </w:t>
            </w:r>
            <w:proofErr w:type="spellStart"/>
            <w:r w:rsidRPr="00716B01">
              <w:rPr>
                <w:rFonts w:cs="Arial"/>
                <w:color w:val="000000"/>
                <w:sz w:val="20"/>
                <w:szCs w:val="20"/>
              </w:rPr>
              <w:t>Riksbank’s</w:t>
            </w:r>
            <w:proofErr w:type="spellEnd"/>
            <w:r w:rsidRPr="00716B01">
              <w:rPr>
                <w:rFonts w:cs="Arial"/>
                <w:color w:val="000000"/>
                <w:sz w:val="20"/>
                <w:szCs w:val="20"/>
              </w:rPr>
              <w:t xml:space="preserve"> views, tasks and operations. In matters relating to the monetary policy decision, only the </w:t>
            </w:r>
            <w:proofErr w:type="spellStart"/>
            <w:r w:rsidRPr="00716B01">
              <w:rPr>
                <w:rFonts w:cs="Arial"/>
                <w:color w:val="000000"/>
                <w:sz w:val="20"/>
                <w:szCs w:val="20"/>
              </w:rPr>
              <w:t>Riksbank's</w:t>
            </w:r>
            <w:proofErr w:type="spellEnd"/>
            <w:r w:rsidRPr="00716B01">
              <w:rPr>
                <w:rFonts w:cs="Arial"/>
                <w:color w:val="000000"/>
                <w:sz w:val="20"/>
                <w:szCs w:val="20"/>
              </w:rPr>
              <w:t xml:space="preserve"> decisions shall be communicated after the monetary policy decision has been published. The members can only present their own positions in the economic debate after the minutes have been published.</w:t>
            </w:r>
          </w:p>
          <w:p w14:paraId="6120DA22" w14:textId="77777777" w:rsidR="00716B01" w:rsidRPr="00716B01" w:rsidRDefault="00716B01" w:rsidP="00716B01">
            <w:pPr>
              <w:numPr>
                <w:ilvl w:val="0"/>
                <w:numId w:val="65"/>
              </w:numPr>
              <w:shd w:val="clear" w:color="auto" w:fill="F8F8F8"/>
              <w:spacing w:before="100" w:beforeAutospacing="1" w:after="90" w:line="240" w:lineRule="auto"/>
              <w:ind w:left="1170"/>
              <w:textAlignment w:val="bottom"/>
              <w:rPr>
                <w:rFonts w:cs="Arial"/>
                <w:color w:val="000000"/>
                <w:sz w:val="20"/>
                <w:szCs w:val="20"/>
              </w:rPr>
            </w:pPr>
            <w:r w:rsidRPr="00716B01">
              <w:rPr>
                <w:rFonts w:cs="Arial"/>
                <w:color w:val="000000"/>
                <w:sz w:val="20"/>
                <w:szCs w:val="20"/>
              </w:rPr>
              <w:t>Not anticipate their own or the Board’s future decisions. Once the minutes of the meeting have been published, the members may present their own personal deliberations regarding the decisions made and the forecasts. They may, for example, comment on new statistics and relate them to the earlier forecast and give an account of the basis for the decisions – that is which variables are always important and which may be of particular importance at the time concerned. They shall not, however, anticipate their own or the Board's future decisions.</w:t>
            </w:r>
          </w:p>
          <w:p w14:paraId="445D2B75" w14:textId="77777777" w:rsidR="00716B01" w:rsidRPr="00716B01" w:rsidRDefault="00716B01" w:rsidP="00716B01">
            <w:pPr>
              <w:numPr>
                <w:ilvl w:val="0"/>
                <w:numId w:val="65"/>
              </w:numPr>
              <w:shd w:val="clear" w:color="auto" w:fill="F8F8F8"/>
              <w:spacing w:before="100" w:beforeAutospacing="1" w:after="90" w:line="240" w:lineRule="auto"/>
              <w:ind w:left="1170"/>
              <w:textAlignment w:val="bottom"/>
              <w:rPr>
                <w:rFonts w:cs="Arial"/>
                <w:color w:val="000000"/>
                <w:sz w:val="20"/>
                <w:szCs w:val="20"/>
              </w:rPr>
            </w:pPr>
            <w:r w:rsidRPr="00716B01">
              <w:rPr>
                <w:rFonts w:cs="Arial"/>
                <w:color w:val="000000"/>
                <w:sz w:val="20"/>
                <w:szCs w:val="20"/>
              </w:rPr>
              <w:t xml:space="preserve">Strive to take part in external public appearances that are open to the media. External appearances by members of the Executive Board should normally be open to the media and announced on the </w:t>
            </w:r>
            <w:proofErr w:type="spellStart"/>
            <w:r w:rsidRPr="00716B01">
              <w:rPr>
                <w:rFonts w:cs="Arial"/>
                <w:color w:val="000000"/>
                <w:sz w:val="20"/>
                <w:szCs w:val="20"/>
              </w:rPr>
              <w:t>Riksbank’s</w:t>
            </w:r>
            <w:proofErr w:type="spellEnd"/>
            <w:r w:rsidRPr="00716B01">
              <w:rPr>
                <w:rFonts w:cs="Arial"/>
                <w:color w:val="000000"/>
                <w:sz w:val="20"/>
                <w:szCs w:val="20"/>
              </w:rPr>
              <w:t xml:space="preserve"> website. The members shall be open to discussions and meetings with important target groups and provide broad access to information, however, taking into account the limitations resulting from the regulations on confidentiality and the above requirement that information deemed to be market-sensitive shall be communicated internally and externally at the same time.</w:t>
            </w:r>
          </w:p>
          <w:p w14:paraId="455910EE" w14:textId="77777777" w:rsidR="00716B01" w:rsidRPr="00716B01" w:rsidRDefault="00716B01" w:rsidP="00716B01">
            <w:pPr>
              <w:numPr>
                <w:ilvl w:val="0"/>
                <w:numId w:val="65"/>
              </w:numPr>
              <w:shd w:val="clear" w:color="auto" w:fill="F8F8F8"/>
              <w:spacing w:before="100" w:beforeAutospacing="1" w:after="90" w:line="240" w:lineRule="auto"/>
              <w:ind w:left="1170"/>
              <w:textAlignment w:val="bottom"/>
              <w:rPr>
                <w:rFonts w:cs="Arial"/>
                <w:color w:val="000000"/>
                <w:sz w:val="20"/>
                <w:szCs w:val="20"/>
              </w:rPr>
            </w:pPr>
            <w:r w:rsidRPr="00716B01">
              <w:rPr>
                <w:rFonts w:cs="Arial"/>
                <w:color w:val="000000"/>
                <w:sz w:val="20"/>
                <w:szCs w:val="20"/>
              </w:rPr>
              <w:t>Respect the quiet period prior to the monetary policy decisions.</w:t>
            </w:r>
            <w:r w:rsidRPr="00716B01">
              <w:rPr>
                <w:rFonts w:cs="Arial"/>
                <w:color w:val="000000"/>
                <w:sz w:val="20"/>
                <w:szCs w:val="20"/>
              </w:rPr>
              <w:br/>
              <w:t>- The members of the Executive Board shall abstain from external statements concerning macroeconomic developments or monetary policy for seven calendar days before the decision is made public. Members may, however, attend meetings related to their international missions or attend necessary meetings with other authorities during that period.</w:t>
            </w:r>
            <w:r w:rsidRPr="00716B01">
              <w:rPr>
                <w:rFonts w:cs="Arial"/>
                <w:color w:val="000000"/>
                <w:sz w:val="20"/>
                <w:szCs w:val="20"/>
              </w:rPr>
              <w:br/>
              <w:t>- If the member wishes to attend events or meetings on other areas of activity during this period, the matter shall be consulted with the Head of Communications and the other members shall be informed.</w:t>
            </w:r>
          </w:p>
          <w:p w14:paraId="04EB43BF" w14:textId="77777777" w:rsidR="00716B01" w:rsidRPr="00716B01" w:rsidRDefault="00716B01" w:rsidP="00716B01">
            <w:pPr>
              <w:numPr>
                <w:ilvl w:val="0"/>
                <w:numId w:val="65"/>
              </w:numPr>
              <w:shd w:val="clear" w:color="auto" w:fill="F8F8F8"/>
              <w:spacing w:before="100" w:beforeAutospacing="1" w:after="90" w:line="240" w:lineRule="auto"/>
              <w:ind w:left="1170"/>
              <w:textAlignment w:val="bottom"/>
              <w:rPr>
                <w:rFonts w:cs="Arial"/>
                <w:color w:val="000000"/>
                <w:sz w:val="20"/>
                <w:szCs w:val="20"/>
              </w:rPr>
            </w:pPr>
            <w:r w:rsidRPr="00716B01">
              <w:rPr>
                <w:rFonts w:cs="Arial"/>
                <w:color w:val="000000"/>
                <w:sz w:val="20"/>
                <w:szCs w:val="20"/>
              </w:rPr>
              <w:t>Strive to express their arguments clearly and briefly. The minutes of the monetary policy meetings shall enable the examination of the Executive Board's work. They shall report what was said at the meetings. To facilitate examination, the members should express themselves briefly, clearly and with a focus on their own arguments.</w:t>
            </w:r>
          </w:p>
          <w:p w14:paraId="0592D918" w14:textId="77777777" w:rsidR="008F7320" w:rsidRPr="00716B01" w:rsidRDefault="008F7320" w:rsidP="00B032DC">
            <w:pPr>
              <w:rPr>
                <w:rFonts w:cs="Arial"/>
                <w:sz w:val="20"/>
                <w:szCs w:val="20"/>
              </w:rPr>
            </w:pPr>
          </w:p>
        </w:tc>
      </w:tr>
    </w:tbl>
    <w:p w14:paraId="6C1A399D" w14:textId="7114CC62" w:rsidR="00B032DC" w:rsidRPr="00BD22BC" w:rsidRDefault="00B032DC" w:rsidP="00B032DC"/>
    <w:p w14:paraId="45212396" w14:textId="6C1A5736" w:rsidR="00B032DC" w:rsidRPr="00BD22BC" w:rsidRDefault="00B032DC" w:rsidP="00B032DC">
      <w:r w:rsidRPr="38638030">
        <w:rPr>
          <w:b/>
          <w:bCs/>
          <w:i/>
          <w:iCs/>
        </w:rPr>
        <w:t>Source:</w:t>
      </w:r>
      <w:r>
        <w:t xml:space="preserve"> The </w:t>
      </w:r>
      <w:proofErr w:type="spellStart"/>
      <w:r>
        <w:t>Riksbank’s</w:t>
      </w:r>
      <w:proofErr w:type="spellEnd"/>
      <w:r>
        <w:t xml:space="preserve"> communication policy, January 2024. Available at </w:t>
      </w:r>
      <w:hyperlink r:id="rId19">
        <w:r w:rsidRPr="38638030">
          <w:rPr>
            <w:rStyle w:val="Hyperlink"/>
          </w:rPr>
          <w:t>https://www.riksbank.se/en-gb/about-the-riksbank/how-the-riksbank-is-governed/internal-regulatory-framework/policies/communication-policy/</w:t>
        </w:r>
      </w:hyperlink>
      <w:r w:rsidR="32886DF4">
        <w:t xml:space="preserve"> </w:t>
      </w:r>
    </w:p>
    <w:p w14:paraId="235F0C62" w14:textId="77777777" w:rsidR="00B032DC" w:rsidRPr="00BD22BC" w:rsidRDefault="00B032DC" w:rsidP="00B032DC"/>
    <w:p w14:paraId="55D5E1FB" w14:textId="4A6B0EFE" w:rsidR="00E51006" w:rsidRPr="00E51006" w:rsidRDefault="00E51006" w:rsidP="00E51006">
      <w:pPr>
        <w:rPr>
          <w:b/>
          <w:bCs/>
          <w:u w:val="single"/>
        </w:rPr>
      </w:pPr>
      <w:r>
        <w:rPr>
          <w:b/>
          <w:bCs/>
          <w:u w:val="single"/>
        </w:rPr>
        <w:t>GENUINELY COLLEGIAL</w:t>
      </w:r>
      <w:r w:rsidRPr="00E51006">
        <w:rPr>
          <w:b/>
          <w:bCs/>
          <w:u w:val="single"/>
        </w:rPr>
        <w:t xml:space="preserve"> COMMITTEE</w:t>
      </w:r>
    </w:p>
    <w:p w14:paraId="3F5909B3" w14:textId="77777777" w:rsidR="00E51006" w:rsidRDefault="00E51006" w:rsidP="00B032DC"/>
    <w:p w14:paraId="12B2E488" w14:textId="40B6C965" w:rsidR="00B032DC" w:rsidRPr="00BD22BC" w:rsidRDefault="004D3179" w:rsidP="00B032DC">
      <w:r>
        <w:t>On the other hand,</w:t>
      </w:r>
      <w:r w:rsidR="00B032DC">
        <w:t xml:space="preserve"> the </w:t>
      </w:r>
      <w:r w:rsidR="00B032DC" w:rsidRPr="38638030">
        <w:rPr>
          <w:b/>
          <w:bCs/>
        </w:rPr>
        <w:t>European Central Bank</w:t>
      </w:r>
      <w:r w:rsidR="00B032DC">
        <w:t xml:space="preserve">’s (ECB) Governing Council </w:t>
      </w:r>
      <w:r>
        <w:t>is a</w:t>
      </w:r>
      <w:r w:rsidR="00B032DC">
        <w:t xml:space="preserve"> good example of consensus decision-making bodies operating in a “genuinely collegial” manner. </w:t>
      </w:r>
      <w:r>
        <w:t>The votes of its members are not publicly disclosed and members’ ability to express individual views on policy in public is restricted.</w:t>
      </w:r>
    </w:p>
    <w:p w14:paraId="08FC0937" w14:textId="77777777" w:rsidR="00AC1D19" w:rsidRPr="00BD22BC" w:rsidRDefault="00AC1D19" w:rsidP="001C6121"/>
    <w:p w14:paraId="4A1A493B" w14:textId="77777777" w:rsidR="00B032DC" w:rsidRPr="00BD22BC" w:rsidRDefault="00B032DC" w:rsidP="00B032DC"/>
    <w:p w14:paraId="167E7873" w14:textId="02323508" w:rsidR="00FF2C1E" w:rsidRPr="00BD22BC" w:rsidRDefault="00B032DC" w:rsidP="00B032DC">
      <w:r>
        <w:t xml:space="preserve">The </w:t>
      </w:r>
      <w:r w:rsidRPr="38638030">
        <w:rPr>
          <w:b/>
          <w:bCs/>
        </w:rPr>
        <w:t>Reserve Bank of New Zealand</w:t>
      </w:r>
      <w:r>
        <w:t xml:space="preserve">’s (RBNZ) </w:t>
      </w:r>
      <w:bookmarkEnd w:id="34"/>
      <w:bookmarkEnd w:id="35"/>
      <w:r w:rsidR="001C6121">
        <w:t xml:space="preserve">is </w:t>
      </w:r>
      <w:r w:rsidR="004D3179">
        <w:t xml:space="preserve">another </w:t>
      </w:r>
      <w:r w:rsidR="001C6121">
        <w:t xml:space="preserve">example of an institution whose policy body decides by consensus and that has set elaborate rules for external communication by </w:t>
      </w:r>
      <w:r w:rsidR="00AC1D19">
        <w:t xml:space="preserve">its </w:t>
      </w:r>
      <w:r w:rsidR="000458AB">
        <w:t xml:space="preserve">Monetary Policy Committee (MPC) </w:t>
      </w:r>
      <w:r w:rsidR="00AC1D19">
        <w:t>members:</w:t>
      </w:r>
    </w:p>
    <w:p w14:paraId="1C1C0F72" w14:textId="77777777" w:rsidR="00FF2C1E" w:rsidRDefault="00FF2C1E" w:rsidP="001C6121"/>
    <w:tbl>
      <w:tblPr>
        <w:tblStyle w:val="TableGrid"/>
        <w:tblW w:w="0" w:type="auto"/>
        <w:shd w:val="clear" w:color="auto" w:fill="EDEDED" w:themeFill="accent3" w:themeFillTint="33"/>
        <w:tblLook w:val="04A0" w:firstRow="1" w:lastRow="0" w:firstColumn="1" w:lastColumn="0" w:noHBand="0" w:noVBand="1"/>
      </w:tblPr>
      <w:tblGrid>
        <w:gridCol w:w="9684"/>
      </w:tblGrid>
      <w:tr w:rsidR="006409BC" w:rsidRPr="006409BC" w14:paraId="5B269C5A" w14:textId="77777777" w:rsidTr="006409BC">
        <w:trPr>
          <w:trHeight w:val="324"/>
        </w:trPr>
        <w:tc>
          <w:tcPr>
            <w:tcW w:w="9684" w:type="dxa"/>
            <w:shd w:val="clear" w:color="auto" w:fill="EDEDED" w:themeFill="accent3" w:themeFillTint="33"/>
          </w:tcPr>
          <w:p w14:paraId="73A746D3" w14:textId="77777777" w:rsidR="006409BC" w:rsidRPr="006409BC" w:rsidRDefault="006409BC" w:rsidP="006409BC">
            <w:pPr>
              <w:rPr>
                <w:i/>
                <w:iCs/>
              </w:rPr>
            </w:pPr>
            <w:r w:rsidRPr="006409BC">
              <w:rPr>
                <w:i/>
                <w:iCs/>
              </w:rPr>
              <w:t xml:space="preserve">Third, MPC members may make additional public comments after the decision. These comments must “draw on the MPC’s official communications and on the Governor’s media conference remarks”. Allowing MPC members to reiterate official communications to their communities or economic sectors via public remarks could increase the reach of MPC communications. Further, the charter states that any non-public remarks by members regarding the decision should “avoid providing, or appear providing, new information to a subset of individuals.” </w:t>
            </w:r>
          </w:p>
          <w:p w14:paraId="1E7C7A85" w14:textId="77777777" w:rsidR="006409BC" w:rsidRPr="006409BC" w:rsidRDefault="006409BC" w:rsidP="006409BC">
            <w:pPr>
              <w:rPr>
                <w:i/>
                <w:iCs/>
              </w:rPr>
            </w:pPr>
          </w:p>
          <w:p w14:paraId="6F214B9A" w14:textId="7354FD0B" w:rsidR="006409BC" w:rsidRPr="006409BC" w:rsidRDefault="006409BC" w:rsidP="006409BC">
            <w:pPr>
              <w:rPr>
                <w:i/>
                <w:iCs/>
              </w:rPr>
            </w:pPr>
            <w:r w:rsidRPr="006409BC">
              <w:rPr>
                <w:i/>
                <w:iCs/>
              </w:rPr>
              <w:t xml:space="preserve">Fourth, the charter also permits MPC members to publicly communicate different views on the balance of risks and economic outlook behind the monetary policy decision. The risk of these comments reducing policy clarity is mitigated as the charter requires members to speak “with respect for other members and the MPC as a whole. Members are to consult with the MPC within a reasonable timeframe in advance of any public communication, refrain from </w:t>
            </w:r>
            <w:proofErr w:type="spellStart"/>
            <w:r w:rsidRPr="006409BC">
              <w:rPr>
                <w:i/>
                <w:iCs/>
              </w:rPr>
              <w:t>characterising</w:t>
            </w:r>
            <w:proofErr w:type="spellEnd"/>
            <w:r w:rsidRPr="006409BC">
              <w:rPr>
                <w:i/>
                <w:iCs/>
              </w:rPr>
              <w:t xml:space="preserve"> the individual views of other MPC members, and ensure such communication is publicly advised in advance and on the record (on the Bank’s website) in real-time.”</w:t>
            </w:r>
          </w:p>
          <w:p w14:paraId="400000AC" w14:textId="4C6825CF" w:rsidR="006409BC" w:rsidRPr="006409BC" w:rsidRDefault="006409BC" w:rsidP="006409BC">
            <w:pPr>
              <w:ind w:right="-1004"/>
              <w:rPr>
                <w:sz w:val="20"/>
                <w:szCs w:val="20"/>
              </w:rPr>
            </w:pPr>
          </w:p>
        </w:tc>
      </w:tr>
    </w:tbl>
    <w:p w14:paraId="1C7F95D9" w14:textId="77777777" w:rsidR="006409BC" w:rsidRDefault="006409BC" w:rsidP="001C6121"/>
    <w:p w14:paraId="79ADCBE9" w14:textId="68A80CB1" w:rsidR="00AC1D19" w:rsidRPr="00BD22BC" w:rsidRDefault="00AC1D19" w:rsidP="00AC1D19">
      <w:bookmarkStart w:id="41" w:name="_Hlk172986805"/>
      <w:r w:rsidRPr="38638030">
        <w:rPr>
          <w:b/>
          <w:bCs/>
          <w:i/>
          <w:iCs/>
        </w:rPr>
        <w:t>Source:</w:t>
      </w:r>
      <w:bookmarkEnd w:id="41"/>
      <w:r w:rsidRPr="38638030">
        <w:rPr>
          <w:i/>
          <w:iCs/>
        </w:rPr>
        <w:t xml:space="preserve"> </w:t>
      </w:r>
      <w:r w:rsidR="000458AB">
        <w:t xml:space="preserve">G. </w:t>
      </w:r>
      <w:r>
        <w:t xml:space="preserve">Price </w:t>
      </w:r>
      <w:r w:rsidR="000458AB">
        <w:t>and A.</w:t>
      </w:r>
      <w:r>
        <w:t xml:space="preserve"> Wadsworth (2019), </w:t>
      </w:r>
      <w:bookmarkStart w:id="42" w:name="_Hlk172993689"/>
      <w:r>
        <w:t xml:space="preserve">"Effective monetary policy committee deliberation in New Zealand", RBNZ Bulletin, Vol. 82, No. 1 April 2019. Available at </w:t>
      </w:r>
      <w:hyperlink r:id="rId20">
        <w:r w:rsidRPr="38638030">
          <w:rPr>
            <w:rStyle w:val="Hyperlink"/>
          </w:rPr>
          <w:t>https://www.rbnz.govt.nz/-/media/project/sites/rbnz/files/publications/bulletins/2019/rbb2019-82-01.pdf</w:t>
        </w:r>
      </w:hyperlink>
    </w:p>
    <w:bookmarkEnd w:id="42"/>
    <w:p w14:paraId="587F99BE" w14:textId="77777777" w:rsidR="001C6121" w:rsidRPr="00BD22BC" w:rsidRDefault="001C6121" w:rsidP="001C6121"/>
    <w:p w14:paraId="48218B42" w14:textId="40FD40EB" w:rsidR="000E52CC" w:rsidRPr="00BD22BC" w:rsidRDefault="000E52CC" w:rsidP="001C6121">
      <w:pPr>
        <w:rPr>
          <w:b/>
          <w:bCs/>
        </w:rPr>
      </w:pPr>
      <w:bookmarkStart w:id="43" w:name="_Hlk173186971"/>
      <w:r w:rsidRPr="00BD22BC">
        <w:rPr>
          <w:b/>
          <w:bCs/>
          <w:highlight w:val="yellow"/>
        </w:rPr>
        <w:t xml:space="preserve">&lt;Interactive </w:t>
      </w:r>
      <w:r w:rsidR="00B823C1" w:rsidRPr="00BD22BC">
        <w:rPr>
          <w:b/>
          <w:bCs/>
          <w:highlight w:val="yellow"/>
        </w:rPr>
        <w:t>C</w:t>
      </w:r>
      <w:r w:rsidRPr="00BD22BC">
        <w:rPr>
          <w:b/>
          <w:bCs/>
          <w:highlight w:val="yellow"/>
        </w:rPr>
        <w:t xml:space="preserve">ourse </w:t>
      </w:r>
      <w:r w:rsidR="00B823C1" w:rsidRPr="00BD22BC">
        <w:rPr>
          <w:b/>
          <w:bCs/>
          <w:highlight w:val="yellow"/>
        </w:rPr>
        <w:t>P</w:t>
      </w:r>
      <w:r w:rsidRPr="00BD22BC">
        <w:rPr>
          <w:b/>
          <w:bCs/>
          <w:highlight w:val="yellow"/>
        </w:rPr>
        <w:t>resentation</w:t>
      </w:r>
      <w:r w:rsidR="00B823C1" w:rsidRPr="00BD22BC">
        <w:rPr>
          <w:b/>
          <w:bCs/>
          <w:highlight w:val="yellow"/>
        </w:rPr>
        <w:t xml:space="preserve"> </w:t>
      </w:r>
      <w:r w:rsidRPr="00BD22BC">
        <w:rPr>
          <w:b/>
          <w:bCs/>
          <w:highlight w:val="yellow"/>
        </w:rPr>
        <w:t>END&gt;</w:t>
      </w:r>
    </w:p>
    <w:bookmarkEnd w:id="43"/>
    <w:p w14:paraId="29160E43" w14:textId="4E0A4AE1" w:rsidR="00A669CA" w:rsidRPr="00BD22BC" w:rsidRDefault="00A669CA" w:rsidP="00B36A6B">
      <w:pPr>
        <w:rPr>
          <w:rFonts w:cs="Arial"/>
          <w:b/>
          <w:iCs/>
        </w:rPr>
      </w:pPr>
      <w:r w:rsidRPr="00BD22BC">
        <w:br w:type="page"/>
      </w:r>
    </w:p>
    <w:p w14:paraId="1D967D19" w14:textId="19EA03BA" w:rsidR="7A04AB75" w:rsidRPr="00BD22BC" w:rsidRDefault="3A67C15A" w:rsidP="6EEC262A">
      <w:pPr>
        <w:pStyle w:val="Heading1"/>
      </w:pPr>
      <w:bookmarkStart w:id="44" w:name="_Toc2005001431"/>
      <w:r>
        <w:lastRenderedPageBreak/>
        <w:t xml:space="preserve">SECTION 2: </w:t>
      </w:r>
      <w:r w:rsidR="64338061">
        <w:t>C</w:t>
      </w:r>
      <w:r w:rsidR="29926B55">
        <w:t xml:space="preserve">ommunicating </w:t>
      </w:r>
      <w:r w:rsidR="6599DB54">
        <w:t xml:space="preserve">decisions </w:t>
      </w:r>
      <w:r w:rsidR="5D1761A1">
        <w:t>and</w:t>
      </w:r>
      <w:r w:rsidR="6599DB54">
        <w:t xml:space="preserve"> </w:t>
      </w:r>
      <w:r w:rsidR="5D1761A1">
        <w:t>forecasts</w:t>
      </w:r>
      <w:bookmarkEnd w:id="44"/>
    </w:p>
    <w:p w14:paraId="6DE342D0" w14:textId="77777777" w:rsidR="00020AA7" w:rsidRPr="00BD22BC" w:rsidRDefault="00020AA7" w:rsidP="00624539"/>
    <w:p w14:paraId="5A1EB225" w14:textId="7D8B1757" w:rsidR="007D2306" w:rsidRPr="00BD22BC" w:rsidRDefault="7DF67F46" w:rsidP="007D2306">
      <w:pPr>
        <w:pStyle w:val="Heading2"/>
      </w:pPr>
      <w:bookmarkStart w:id="45" w:name="_Toc1819647609"/>
      <w:bookmarkStart w:id="46" w:name="_Hlk169542446"/>
      <w:r>
        <w:t xml:space="preserve">UNIT 2.1: </w:t>
      </w:r>
      <w:r w:rsidR="5D50BEAB">
        <w:t>R</w:t>
      </w:r>
      <w:r w:rsidR="6599DB54">
        <w:t>egular communication around policy</w:t>
      </w:r>
      <w:bookmarkEnd w:id="45"/>
    </w:p>
    <w:p w14:paraId="730178DA" w14:textId="77777777" w:rsidR="00624539" w:rsidRPr="00BD22BC" w:rsidRDefault="00624539" w:rsidP="00296FC3"/>
    <w:p w14:paraId="22480BC8" w14:textId="79D0D9A5" w:rsidR="00081717" w:rsidRPr="00BD22BC" w:rsidRDefault="00296FC3" w:rsidP="00296FC3">
      <w:r>
        <w:t>When it comes to policy, central bank communication centers on a key anchor event</w:t>
      </w:r>
      <w:r w:rsidR="00506BC8">
        <w:t>, s</w:t>
      </w:r>
      <w:r w:rsidR="006205FF">
        <w:t>uch</w:t>
      </w:r>
      <w:r w:rsidR="00506BC8">
        <w:t xml:space="preserve"> as</w:t>
      </w:r>
      <w:r>
        <w:t xml:space="preserve"> the regular review of monetary or macroprudential policy</w:t>
      </w:r>
      <w:r w:rsidR="00F80002">
        <w:t xml:space="preserve"> or</w:t>
      </w:r>
      <w:r w:rsidR="001438DE">
        <w:t xml:space="preserve"> a corresponding reassessment of macroeconomic forecasts and the overall </w:t>
      </w:r>
      <w:proofErr w:type="spellStart"/>
      <w:r w:rsidR="001438DE">
        <w:t>macrofinancial</w:t>
      </w:r>
      <w:proofErr w:type="spellEnd"/>
      <w:r w:rsidR="001438DE">
        <w:t xml:space="preserve"> conditions</w:t>
      </w:r>
      <w:r>
        <w:t>.</w:t>
      </w:r>
    </w:p>
    <w:p w14:paraId="26C291AC" w14:textId="77777777" w:rsidR="00296FC3" w:rsidRPr="00BD22BC" w:rsidRDefault="00296FC3" w:rsidP="00296FC3"/>
    <w:p w14:paraId="03A05613" w14:textId="33C44FF7" w:rsidR="00296FC3" w:rsidRPr="00BD22BC" w:rsidRDefault="002815DA" w:rsidP="00296FC3">
      <w:bookmarkStart w:id="47" w:name="_Hlk170163007"/>
      <w:bookmarkStart w:id="48" w:name="_Hlk169554825"/>
      <w:bookmarkEnd w:id="46"/>
      <w:r w:rsidRPr="00BD22BC">
        <w:t>M</w:t>
      </w:r>
      <w:r w:rsidR="00E95EC6" w:rsidRPr="00BD22BC">
        <w:t>any</w:t>
      </w:r>
      <w:r w:rsidRPr="00BD22BC">
        <w:t xml:space="preserve"> central banks</w:t>
      </w:r>
      <w:r w:rsidR="006A75EF" w:rsidRPr="00BD22BC">
        <w:t xml:space="preserve"> review monetary policy eight times a year</w:t>
      </w:r>
      <w:r w:rsidR="00A14948" w:rsidRPr="00BD22BC">
        <w:t xml:space="preserve">, with four of these reviews linked to </w:t>
      </w:r>
      <w:r w:rsidR="00E1279F" w:rsidRPr="00BD22BC">
        <w:t>quarterly macroeconomic forecasts</w:t>
      </w:r>
      <w:r w:rsidR="006A75EF" w:rsidRPr="00BD22BC">
        <w:t xml:space="preserve">. </w:t>
      </w:r>
      <w:r w:rsidR="001279F2" w:rsidRPr="00BD22BC">
        <w:t>A</w:t>
      </w:r>
      <w:r w:rsidR="006A75EF" w:rsidRPr="00BD22BC">
        <w:t xml:space="preserve"> </w:t>
      </w:r>
      <w:r w:rsidR="001279F2" w:rsidRPr="00BD22BC">
        <w:t>regular communication</w:t>
      </w:r>
      <w:r w:rsidR="00296FC3" w:rsidRPr="00BD22BC">
        <w:t xml:space="preserve"> routine </w:t>
      </w:r>
      <w:r w:rsidR="001279F2" w:rsidRPr="00BD22BC">
        <w:t xml:space="preserve">is then organized around each </w:t>
      </w:r>
      <w:r w:rsidR="00C826CB" w:rsidRPr="00BD22BC">
        <w:t xml:space="preserve">of these </w:t>
      </w:r>
      <w:r w:rsidR="001279F2" w:rsidRPr="00BD22BC">
        <w:t>policy meeting</w:t>
      </w:r>
      <w:r w:rsidR="00C826CB" w:rsidRPr="00BD22BC">
        <w:t>s</w:t>
      </w:r>
      <w:r w:rsidR="00296FC3" w:rsidRPr="00BD22BC">
        <w:t xml:space="preserve">. </w:t>
      </w:r>
      <w:r w:rsidR="00C826CB" w:rsidRPr="00BD22BC">
        <w:t>Many central banks follow</w:t>
      </w:r>
      <w:r w:rsidR="00296FC3" w:rsidRPr="00BD22BC">
        <w:t xml:space="preserve"> a set pattern of communication activities before and after a </w:t>
      </w:r>
      <w:r w:rsidR="003A7689" w:rsidRPr="00BD22BC">
        <w:t>policy decision</w:t>
      </w:r>
      <w:r w:rsidR="00296FC3" w:rsidRPr="00BD22BC">
        <w:t xml:space="preserve"> </w:t>
      </w:r>
      <w:r w:rsidR="00C826CB" w:rsidRPr="00BD22BC">
        <w:t>meeting</w:t>
      </w:r>
      <w:r w:rsidR="00296FC3" w:rsidRPr="00BD22BC">
        <w:t>.</w:t>
      </w:r>
    </w:p>
    <w:p w14:paraId="140BF4CC" w14:textId="77777777" w:rsidR="001279F2" w:rsidRPr="00BD22BC" w:rsidRDefault="001279F2" w:rsidP="6EEC262A">
      <w:bookmarkStart w:id="49" w:name="_Hlk174891098"/>
    </w:p>
    <w:p w14:paraId="03848414" w14:textId="7D79E6D3" w:rsidR="6EEC262A" w:rsidRPr="00BD22BC" w:rsidRDefault="002E2CF2" w:rsidP="6EEC262A">
      <w:r w:rsidRPr="00BD22BC">
        <w:t>I</w:t>
      </w:r>
      <w:r w:rsidR="001279F2" w:rsidRPr="00BD22BC">
        <w:t>n th</w:t>
      </w:r>
      <w:r w:rsidR="00FC7002" w:rsidRPr="00BD22BC">
        <w:t>e following</w:t>
      </w:r>
      <w:r w:rsidR="001279F2" w:rsidRPr="00BD22BC">
        <w:t xml:space="preserve"> video</w:t>
      </w:r>
      <w:r w:rsidRPr="00BD22BC">
        <w:t xml:space="preserve">, </w:t>
      </w:r>
      <w:r w:rsidR="00460CA2" w:rsidRPr="00BD22BC">
        <w:t>we show how to arrange a routine schedule of</w:t>
      </w:r>
      <w:r w:rsidR="001E2BE7" w:rsidRPr="00BD22BC">
        <w:t xml:space="preserve"> communication activities</w:t>
      </w:r>
      <w:r w:rsidR="00624539" w:rsidRPr="00BD22BC">
        <w:t>.</w:t>
      </w:r>
    </w:p>
    <w:bookmarkEnd w:id="47"/>
    <w:p w14:paraId="265A16FE" w14:textId="77777777" w:rsidR="001279F2" w:rsidRPr="00BD22BC" w:rsidRDefault="001279F2" w:rsidP="6EEC262A">
      <w:pPr>
        <w:rPr>
          <w:b/>
          <w:bCs/>
        </w:rPr>
      </w:pPr>
    </w:p>
    <w:p w14:paraId="598226C3" w14:textId="6C32907F" w:rsidR="1F1AF3EF" w:rsidRPr="00731F30" w:rsidRDefault="2A21BE89" w:rsidP="6EEC262A">
      <w:pPr>
        <w:pStyle w:val="Heading3"/>
        <w:rPr>
          <w:highlight w:val="cyan"/>
        </w:rPr>
      </w:pPr>
      <w:bookmarkStart w:id="50" w:name="_Toc726640875"/>
      <w:bookmarkStart w:id="51" w:name="_Hlk177219815"/>
      <w:r w:rsidRPr="00731F30">
        <w:rPr>
          <w:highlight w:val="cyan"/>
        </w:rPr>
        <w:t xml:space="preserve">&lt;VIDEO </w:t>
      </w:r>
      <w:r w:rsidR="36704294" w:rsidRPr="00731F30">
        <w:rPr>
          <w:highlight w:val="cyan"/>
        </w:rPr>
        <w:t>2</w:t>
      </w:r>
      <w:r w:rsidRPr="00731F30">
        <w:rPr>
          <w:highlight w:val="cyan"/>
        </w:rPr>
        <w:t>.1&gt; "</w:t>
      </w:r>
      <w:r w:rsidR="4800DE57" w:rsidRPr="00731F30">
        <w:rPr>
          <w:highlight w:val="cyan"/>
        </w:rPr>
        <w:t>Elements of a Communication Routine</w:t>
      </w:r>
      <w:r w:rsidRPr="00731F30">
        <w:rPr>
          <w:highlight w:val="cyan"/>
        </w:rPr>
        <w:t xml:space="preserve">” [word count: </w:t>
      </w:r>
      <w:r w:rsidR="460B21E0" w:rsidRPr="00731F30">
        <w:rPr>
          <w:highlight w:val="cyan"/>
        </w:rPr>
        <w:t>4</w:t>
      </w:r>
      <w:r w:rsidR="00DC54D0" w:rsidRPr="00731F30">
        <w:rPr>
          <w:highlight w:val="cyan"/>
        </w:rPr>
        <w:t>28</w:t>
      </w:r>
      <w:r w:rsidRPr="00731F30">
        <w:rPr>
          <w:highlight w:val="cyan"/>
        </w:rPr>
        <w:t>]</w:t>
      </w:r>
      <w:bookmarkEnd w:id="50"/>
    </w:p>
    <w:bookmarkEnd w:id="49"/>
    <w:bookmarkEnd w:id="51"/>
    <w:p w14:paraId="6F1E8B77" w14:textId="77777777" w:rsidR="00731F30" w:rsidRPr="00731F30" w:rsidRDefault="00731F30" w:rsidP="00731F30">
      <w:pPr>
        <w:pStyle w:val="paragraph"/>
        <w:spacing w:before="0" w:beforeAutospacing="0" w:after="0" w:afterAutospacing="0"/>
        <w:textAlignment w:val="baseline"/>
        <w:rPr>
          <w:rFonts w:ascii="Segoe UI" w:hAnsi="Segoe UI" w:cs="Segoe UI"/>
          <w:sz w:val="18"/>
          <w:szCs w:val="18"/>
          <w:highlight w:val="cyan"/>
        </w:rPr>
      </w:pPr>
      <w:r w:rsidRPr="00731F30">
        <w:rPr>
          <w:rStyle w:val="normaltextrun"/>
          <w:rFonts w:ascii="Arial" w:hAnsi="Arial" w:cs="Arial"/>
          <w:color w:val="000000"/>
          <w:sz w:val="22"/>
          <w:szCs w:val="22"/>
          <w:highlight w:val="cyan"/>
        </w:rPr>
        <w:t>A regular schedule of communication events begins with the publication of a policy decision in a press release.</w:t>
      </w:r>
      <w:r w:rsidRPr="00731F30">
        <w:rPr>
          <w:rStyle w:val="eop"/>
          <w:rFonts w:ascii="Arial" w:hAnsi="Arial" w:cs="Arial"/>
          <w:color w:val="000000"/>
          <w:sz w:val="22"/>
          <w:szCs w:val="22"/>
          <w:highlight w:val="cyan"/>
        </w:rPr>
        <w:t> </w:t>
      </w:r>
    </w:p>
    <w:p w14:paraId="01D955EF" w14:textId="77777777" w:rsidR="00731F30" w:rsidRPr="00731F30" w:rsidRDefault="00731F30" w:rsidP="00731F30">
      <w:pPr>
        <w:pStyle w:val="paragraph"/>
        <w:spacing w:before="0" w:beforeAutospacing="0" w:after="0" w:afterAutospacing="0"/>
        <w:textAlignment w:val="baseline"/>
        <w:rPr>
          <w:rFonts w:ascii="Segoe UI" w:hAnsi="Segoe UI" w:cs="Segoe UI"/>
          <w:sz w:val="18"/>
          <w:szCs w:val="18"/>
          <w:highlight w:val="cyan"/>
        </w:rPr>
      </w:pPr>
      <w:r w:rsidRPr="00731F30">
        <w:rPr>
          <w:rStyle w:val="eop"/>
          <w:rFonts w:ascii="Arial" w:hAnsi="Arial" w:cs="Arial"/>
          <w:color w:val="000000"/>
          <w:sz w:val="22"/>
          <w:szCs w:val="22"/>
          <w:highlight w:val="cyan"/>
        </w:rPr>
        <w:t> </w:t>
      </w:r>
    </w:p>
    <w:p w14:paraId="09C2757D" w14:textId="77777777" w:rsidR="00731F30" w:rsidRPr="00731F30" w:rsidRDefault="00731F30" w:rsidP="00731F30">
      <w:pPr>
        <w:pStyle w:val="paragraph"/>
        <w:spacing w:before="0" w:beforeAutospacing="0" w:after="0" w:afterAutospacing="0"/>
        <w:textAlignment w:val="baseline"/>
        <w:rPr>
          <w:rFonts w:ascii="Segoe UI" w:hAnsi="Segoe UI" w:cs="Segoe UI"/>
          <w:sz w:val="18"/>
          <w:szCs w:val="18"/>
          <w:highlight w:val="cyan"/>
        </w:rPr>
      </w:pPr>
      <w:r w:rsidRPr="00731F30">
        <w:rPr>
          <w:rStyle w:val="normaltextrun"/>
          <w:rFonts w:ascii="Arial" w:hAnsi="Arial" w:cs="Arial"/>
          <w:color w:val="000000"/>
          <w:sz w:val="22"/>
          <w:szCs w:val="22"/>
          <w:highlight w:val="cyan"/>
        </w:rPr>
        <w:t>The central bank’s first communication activity in this sequence is informing the markets and public about a new policy decision via a decision announcement. This announcement is best published on the day of the decision to mitigate leaks of market sensitive information. </w:t>
      </w:r>
      <w:r w:rsidRPr="00731F30">
        <w:rPr>
          <w:rStyle w:val="eop"/>
          <w:rFonts w:ascii="Arial" w:hAnsi="Arial" w:cs="Arial"/>
          <w:color w:val="000000"/>
          <w:sz w:val="22"/>
          <w:szCs w:val="22"/>
          <w:highlight w:val="cyan"/>
        </w:rPr>
        <w:t> </w:t>
      </w:r>
    </w:p>
    <w:p w14:paraId="0421F0B7" w14:textId="77777777" w:rsidR="00731F30" w:rsidRPr="00731F30" w:rsidRDefault="00731F30" w:rsidP="00731F30">
      <w:pPr>
        <w:pStyle w:val="paragraph"/>
        <w:spacing w:before="0" w:beforeAutospacing="0" w:after="0" w:afterAutospacing="0"/>
        <w:textAlignment w:val="baseline"/>
        <w:rPr>
          <w:rFonts w:ascii="Segoe UI" w:hAnsi="Segoe UI" w:cs="Segoe UI"/>
          <w:sz w:val="18"/>
          <w:szCs w:val="18"/>
          <w:highlight w:val="cyan"/>
        </w:rPr>
      </w:pPr>
      <w:r w:rsidRPr="00731F30">
        <w:rPr>
          <w:rStyle w:val="eop"/>
          <w:rFonts w:ascii="Arial" w:hAnsi="Arial" w:cs="Arial"/>
          <w:color w:val="000000"/>
          <w:sz w:val="22"/>
          <w:szCs w:val="22"/>
          <w:highlight w:val="cyan"/>
        </w:rPr>
        <w:t> </w:t>
      </w:r>
    </w:p>
    <w:p w14:paraId="251C5EB6" w14:textId="77777777" w:rsidR="00731F30" w:rsidRPr="00731F30" w:rsidRDefault="00731F30" w:rsidP="00731F30">
      <w:pPr>
        <w:pStyle w:val="paragraph"/>
        <w:spacing w:before="0" w:beforeAutospacing="0" w:after="0" w:afterAutospacing="0"/>
        <w:textAlignment w:val="baseline"/>
        <w:rPr>
          <w:rFonts w:ascii="Segoe UI" w:hAnsi="Segoe UI" w:cs="Segoe UI"/>
          <w:sz w:val="18"/>
          <w:szCs w:val="18"/>
          <w:highlight w:val="cyan"/>
        </w:rPr>
      </w:pPr>
      <w:r w:rsidRPr="00731F30">
        <w:rPr>
          <w:rStyle w:val="normaltextrun"/>
          <w:rFonts w:ascii="Arial" w:hAnsi="Arial" w:cs="Arial"/>
          <w:color w:val="000000"/>
          <w:sz w:val="22"/>
          <w:szCs w:val="22"/>
          <w:highlight w:val="cyan"/>
        </w:rPr>
        <w:t>The second event in a communication routine is a press conference. It is held shortly after a press release with the decision, ideally on the same day. The Governor chairs the conference and provides a public statement explaining the decision and answers media questions.</w:t>
      </w:r>
      <w:r w:rsidRPr="00731F30">
        <w:rPr>
          <w:rStyle w:val="eop"/>
          <w:rFonts w:ascii="Arial" w:hAnsi="Arial" w:cs="Arial"/>
          <w:color w:val="000000"/>
          <w:sz w:val="22"/>
          <w:szCs w:val="22"/>
          <w:highlight w:val="cyan"/>
        </w:rPr>
        <w:t> </w:t>
      </w:r>
    </w:p>
    <w:p w14:paraId="4C6A2637" w14:textId="77777777" w:rsidR="00731F30" w:rsidRPr="00731F30" w:rsidRDefault="00731F30" w:rsidP="00731F30">
      <w:pPr>
        <w:pStyle w:val="paragraph"/>
        <w:spacing w:before="0" w:beforeAutospacing="0" w:after="0" w:afterAutospacing="0"/>
        <w:textAlignment w:val="baseline"/>
        <w:rPr>
          <w:rFonts w:ascii="Segoe UI" w:hAnsi="Segoe UI" w:cs="Segoe UI"/>
          <w:sz w:val="18"/>
          <w:szCs w:val="18"/>
          <w:highlight w:val="cyan"/>
        </w:rPr>
      </w:pPr>
      <w:r w:rsidRPr="00731F30">
        <w:rPr>
          <w:rStyle w:val="eop"/>
          <w:rFonts w:ascii="Arial" w:hAnsi="Arial" w:cs="Arial"/>
          <w:color w:val="000000"/>
          <w:sz w:val="22"/>
          <w:szCs w:val="22"/>
          <w:highlight w:val="cyan"/>
        </w:rPr>
        <w:t> </w:t>
      </w:r>
    </w:p>
    <w:p w14:paraId="1F48E479" w14:textId="77777777" w:rsidR="00731F30" w:rsidRPr="00731F30" w:rsidRDefault="00731F30" w:rsidP="00731F30">
      <w:pPr>
        <w:pStyle w:val="paragraph"/>
        <w:spacing w:before="0" w:beforeAutospacing="0" w:after="0" w:afterAutospacing="0"/>
        <w:textAlignment w:val="baseline"/>
        <w:rPr>
          <w:rFonts w:ascii="Segoe UI" w:hAnsi="Segoe UI" w:cs="Segoe UI"/>
          <w:sz w:val="18"/>
          <w:szCs w:val="18"/>
          <w:highlight w:val="cyan"/>
        </w:rPr>
      </w:pPr>
      <w:r w:rsidRPr="00731F30">
        <w:rPr>
          <w:rStyle w:val="normaltextrun"/>
          <w:rFonts w:ascii="Arial" w:hAnsi="Arial" w:cs="Arial"/>
          <w:color w:val="000000"/>
          <w:sz w:val="22"/>
          <w:szCs w:val="22"/>
          <w:highlight w:val="cyan"/>
        </w:rPr>
        <w:t>The next step is publishing the flagship policy report and related outreach activities to key stakeholders.</w:t>
      </w:r>
      <w:r w:rsidRPr="00731F30">
        <w:rPr>
          <w:rStyle w:val="eop"/>
          <w:rFonts w:ascii="Arial" w:hAnsi="Arial" w:cs="Arial"/>
          <w:color w:val="000000"/>
          <w:sz w:val="22"/>
          <w:szCs w:val="22"/>
          <w:highlight w:val="cyan"/>
        </w:rPr>
        <w:t> </w:t>
      </w:r>
    </w:p>
    <w:p w14:paraId="4A71BD4A" w14:textId="77777777" w:rsidR="00731F30" w:rsidRPr="00731F30" w:rsidRDefault="00731F30" w:rsidP="00731F30">
      <w:pPr>
        <w:pStyle w:val="paragraph"/>
        <w:spacing w:before="0" w:beforeAutospacing="0" w:after="0" w:afterAutospacing="0"/>
        <w:textAlignment w:val="baseline"/>
        <w:rPr>
          <w:rFonts w:ascii="Segoe UI" w:hAnsi="Segoe UI" w:cs="Segoe UI"/>
          <w:sz w:val="18"/>
          <w:szCs w:val="18"/>
          <w:highlight w:val="cyan"/>
        </w:rPr>
      </w:pPr>
      <w:r w:rsidRPr="00731F30">
        <w:rPr>
          <w:rStyle w:val="eop"/>
          <w:rFonts w:ascii="Arial" w:hAnsi="Arial" w:cs="Arial"/>
          <w:color w:val="000000"/>
          <w:sz w:val="22"/>
          <w:szCs w:val="22"/>
          <w:highlight w:val="cyan"/>
        </w:rPr>
        <w:t> </w:t>
      </w:r>
    </w:p>
    <w:p w14:paraId="087796BA" w14:textId="77777777" w:rsidR="00731F30" w:rsidRPr="00731F30" w:rsidRDefault="00731F30" w:rsidP="00731F30">
      <w:pPr>
        <w:pStyle w:val="paragraph"/>
        <w:spacing w:before="0" w:beforeAutospacing="0" w:after="0" w:afterAutospacing="0"/>
        <w:textAlignment w:val="baseline"/>
        <w:rPr>
          <w:rFonts w:ascii="Segoe UI" w:hAnsi="Segoe UI" w:cs="Segoe UI"/>
          <w:sz w:val="18"/>
          <w:szCs w:val="18"/>
          <w:highlight w:val="cyan"/>
        </w:rPr>
      </w:pPr>
      <w:r w:rsidRPr="00731F30">
        <w:rPr>
          <w:rStyle w:val="normaltextrun"/>
          <w:rFonts w:ascii="Arial" w:hAnsi="Arial" w:cs="Arial"/>
          <w:color w:val="000000"/>
          <w:sz w:val="22"/>
          <w:szCs w:val="22"/>
          <w:highlight w:val="cyan"/>
        </w:rPr>
        <w:t>The flagship report is published within days of the policy decision either as a Monetary Policy Report or a Financial Stability Report. Many inflation-oriented central banks publish a summary of decision-makers’ debate in policy meeting minutes.</w:t>
      </w:r>
      <w:r w:rsidRPr="00731F30">
        <w:rPr>
          <w:rStyle w:val="eop"/>
          <w:rFonts w:ascii="Arial" w:hAnsi="Arial" w:cs="Arial"/>
          <w:color w:val="000000"/>
          <w:sz w:val="22"/>
          <w:szCs w:val="22"/>
          <w:highlight w:val="cyan"/>
        </w:rPr>
        <w:t> </w:t>
      </w:r>
    </w:p>
    <w:p w14:paraId="6EDE250D" w14:textId="77777777" w:rsidR="00731F30" w:rsidRPr="00731F30" w:rsidRDefault="00731F30" w:rsidP="00731F30">
      <w:pPr>
        <w:pStyle w:val="paragraph"/>
        <w:spacing w:before="0" w:beforeAutospacing="0" w:after="0" w:afterAutospacing="0"/>
        <w:textAlignment w:val="baseline"/>
        <w:rPr>
          <w:rFonts w:ascii="Segoe UI" w:hAnsi="Segoe UI" w:cs="Segoe UI"/>
          <w:sz w:val="18"/>
          <w:szCs w:val="18"/>
          <w:highlight w:val="cyan"/>
        </w:rPr>
      </w:pPr>
      <w:r w:rsidRPr="00731F30">
        <w:rPr>
          <w:rStyle w:val="eop"/>
          <w:rFonts w:ascii="Arial" w:hAnsi="Arial" w:cs="Arial"/>
          <w:color w:val="000000"/>
          <w:sz w:val="22"/>
          <w:szCs w:val="22"/>
          <w:highlight w:val="cyan"/>
        </w:rPr>
        <w:t> </w:t>
      </w:r>
    </w:p>
    <w:p w14:paraId="5B404880" w14:textId="77777777" w:rsidR="00731F30" w:rsidRPr="00731F30" w:rsidRDefault="00731F30" w:rsidP="00731F30">
      <w:pPr>
        <w:pStyle w:val="paragraph"/>
        <w:spacing w:before="0" w:beforeAutospacing="0" w:after="0" w:afterAutospacing="0"/>
        <w:textAlignment w:val="baseline"/>
        <w:rPr>
          <w:rFonts w:ascii="Segoe UI" w:hAnsi="Segoe UI" w:cs="Segoe UI"/>
          <w:sz w:val="18"/>
          <w:szCs w:val="18"/>
          <w:highlight w:val="cyan"/>
        </w:rPr>
      </w:pPr>
      <w:r w:rsidRPr="00731F30">
        <w:rPr>
          <w:rStyle w:val="normaltextrun"/>
          <w:rFonts w:ascii="Arial" w:hAnsi="Arial" w:cs="Arial"/>
          <w:color w:val="000000"/>
          <w:sz w:val="22"/>
          <w:szCs w:val="22"/>
          <w:highlight w:val="cyan"/>
        </w:rPr>
        <w:t>Engaging stakeholders involves meetings with experts and analysts. Held alongside the release of a new macroeconomic forecast, these sessions explain the main assumptions and trends.</w:t>
      </w:r>
      <w:r w:rsidRPr="00731F30">
        <w:rPr>
          <w:rStyle w:val="eop"/>
          <w:rFonts w:ascii="Arial" w:hAnsi="Arial" w:cs="Arial"/>
          <w:color w:val="000000"/>
          <w:sz w:val="22"/>
          <w:szCs w:val="22"/>
          <w:highlight w:val="cyan"/>
        </w:rPr>
        <w:t> </w:t>
      </w:r>
    </w:p>
    <w:p w14:paraId="4C2A3C2D" w14:textId="77777777" w:rsidR="00731F30" w:rsidRPr="00731F30" w:rsidRDefault="00731F30" w:rsidP="00731F30">
      <w:pPr>
        <w:pStyle w:val="paragraph"/>
        <w:spacing w:before="0" w:beforeAutospacing="0" w:after="0" w:afterAutospacing="0"/>
        <w:textAlignment w:val="baseline"/>
        <w:rPr>
          <w:rFonts w:ascii="Segoe UI" w:hAnsi="Segoe UI" w:cs="Segoe UI"/>
          <w:sz w:val="18"/>
          <w:szCs w:val="18"/>
          <w:highlight w:val="cyan"/>
        </w:rPr>
      </w:pPr>
      <w:r w:rsidRPr="00731F30">
        <w:rPr>
          <w:rStyle w:val="eop"/>
          <w:rFonts w:ascii="Arial" w:hAnsi="Arial" w:cs="Arial"/>
          <w:color w:val="000000"/>
          <w:sz w:val="22"/>
          <w:szCs w:val="22"/>
          <w:highlight w:val="cyan"/>
        </w:rPr>
        <w:t> </w:t>
      </w:r>
    </w:p>
    <w:p w14:paraId="0B5376D9" w14:textId="77777777" w:rsidR="00731F30" w:rsidRPr="00731F30" w:rsidRDefault="00731F30" w:rsidP="00731F30">
      <w:pPr>
        <w:pStyle w:val="paragraph"/>
        <w:spacing w:before="0" w:beforeAutospacing="0" w:after="0" w:afterAutospacing="0"/>
        <w:textAlignment w:val="baseline"/>
        <w:rPr>
          <w:rFonts w:ascii="Segoe UI" w:hAnsi="Segoe UI" w:cs="Segoe UI"/>
          <w:sz w:val="18"/>
          <w:szCs w:val="18"/>
          <w:highlight w:val="cyan"/>
        </w:rPr>
      </w:pPr>
      <w:r w:rsidRPr="00731F30">
        <w:rPr>
          <w:rStyle w:val="normaltextrun"/>
          <w:rFonts w:ascii="Arial" w:hAnsi="Arial" w:cs="Arial"/>
          <w:color w:val="000000"/>
          <w:sz w:val="22"/>
          <w:szCs w:val="22"/>
          <w:highlight w:val="cyan"/>
        </w:rPr>
        <w:t>Sticking to an established communication scheme is imperative. </w:t>
      </w:r>
      <w:r w:rsidRPr="00731F30">
        <w:rPr>
          <w:rStyle w:val="eop"/>
          <w:rFonts w:ascii="Arial" w:hAnsi="Arial" w:cs="Arial"/>
          <w:color w:val="000000"/>
          <w:sz w:val="22"/>
          <w:szCs w:val="22"/>
          <w:highlight w:val="cyan"/>
        </w:rPr>
        <w:t> </w:t>
      </w:r>
    </w:p>
    <w:p w14:paraId="1C0316E9" w14:textId="77777777" w:rsidR="00731F30" w:rsidRPr="00731F30" w:rsidRDefault="00731F30" w:rsidP="00731F30">
      <w:pPr>
        <w:pStyle w:val="paragraph"/>
        <w:spacing w:before="0" w:beforeAutospacing="0" w:after="0" w:afterAutospacing="0"/>
        <w:textAlignment w:val="baseline"/>
        <w:rPr>
          <w:rFonts w:ascii="Segoe UI" w:hAnsi="Segoe UI" w:cs="Segoe UI"/>
          <w:sz w:val="18"/>
          <w:szCs w:val="18"/>
          <w:highlight w:val="cyan"/>
        </w:rPr>
      </w:pPr>
      <w:r w:rsidRPr="00731F30">
        <w:rPr>
          <w:rStyle w:val="eop"/>
          <w:rFonts w:ascii="Arial" w:hAnsi="Arial" w:cs="Arial"/>
          <w:color w:val="000000"/>
          <w:sz w:val="22"/>
          <w:szCs w:val="22"/>
          <w:highlight w:val="cyan"/>
        </w:rPr>
        <w:t> </w:t>
      </w:r>
    </w:p>
    <w:p w14:paraId="3D92A556" w14:textId="77777777" w:rsidR="00731F30" w:rsidRPr="00731F30" w:rsidRDefault="00731F30" w:rsidP="00731F30">
      <w:pPr>
        <w:pStyle w:val="paragraph"/>
        <w:spacing w:before="0" w:beforeAutospacing="0" w:after="0" w:afterAutospacing="0"/>
        <w:textAlignment w:val="baseline"/>
        <w:rPr>
          <w:rFonts w:ascii="Segoe UI" w:hAnsi="Segoe UI" w:cs="Segoe UI"/>
          <w:sz w:val="18"/>
          <w:szCs w:val="18"/>
          <w:highlight w:val="cyan"/>
        </w:rPr>
      </w:pPr>
      <w:r w:rsidRPr="00731F30">
        <w:rPr>
          <w:rStyle w:val="normaltextrun"/>
          <w:rFonts w:ascii="Arial" w:hAnsi="Arial" w:cs="Arial"/>
          <w:color w:val="000000"/>
          <w:sz w:val="22"/>
          <w:szCs w:val="22"/>
          <w:highlight w:val="cyan"/>
        </w:rPr>
        <w:t>First, this applies whether policy changes or remains the same. Even a “no-change” decision is a decision. Transparent central banks maintain their established routines, even if they hold a policy meeting outside a regular schedule. </w:t>
      </w:r>
      <w:r w:rsidRPr="00731F30">
        <w:rPr>
          <w:rStyle w:val="eop"/>
          <w:rFonts w:ascii="Arial" w:hAnsi="Arial" w:cs="Arial"/>
          <w:color w:val="000000"/>
          <w:sz w:val="22"/>
          <w:szCs w:val="22"/>
          <w:highlight w:val="cyan"/>
        </w:rPr>
        <w:t> </w:t>
      </w:r>
    </w:p>
    <w:p w14:paraId="3DDDB307" w14:textId="77777777" w:rsidR="00731F30" w:rsidRPr="00731F30" w:rsidRDefault="00731F30" w:rsidP="00731F30">
      <w:pPr>
        <w:pStyle w:val="paragraph"/>
        <w:spacing w:before="0" w:beforeAutospacing="0" w:after="0" w:afterAutospacing="0"/>
        <w:textAlignment w:val="baseline"/>
        <w:rPr>
          <w:rFonts w:ascii="Segoe UI" w:hAnsi="Segoe UI" w:cs="Segoe UI"/>
          <w:sz w:val="18"/>
          <w:szCs w:val="18"/>
          <w:highlight w:val="cyan"/>
        </w:rPr>
      </w:pPr>
      <w:r w:rsidRPr="00731F30">
        <w:rPr>
          <w:rStyle w:val="eop"/>
          <w:rFonts w:ascii="Arial" w:hAnsi="Arial" w:cs="Arial"/>
          <w:color w:val="000000"/>
          <w:sz w:val="22"/>
          <w:szCs w:val="22"/>
          <w:highlight w:val="cyan"/>
        </w:rPr>
        <w:t> </w:t>
      </w:r>
    </w:p>
    <w:p w14:paraId="7D29E4C3" w14:textId="77777777" w:rsidR="00731F30" w:rsidRPr="00731F30" w:rsidRDefault="00731F30" w:rsidP="00731F30">
      <w:pPr>
        <w:pStyle w:val="paragraph"/>
        <w:spacing w:before="0" w:beforeAutospacing="0" w:after="0" w:afterAutospacing="0"/>
        <w:textAlignment w:val="baseline"/>
        <w:rPr>
          <w:rFonts w:ascii="Segoe UI" w:hAnsi="Segoe UI" w:cs="Segoe UI"/>
          <w:sz w:val="18"/>
          <w:szCs w:val="18"/>
          <w:highlight w:val="cyan"/>
        </w:rPr>
      </w:pPr>
      <w:r w:rsidRPr="00731F30">
        <w:rPr>
          <w:rStyle w:val="normaltextrun"/>
          <w:rFonts w:ascii="Arial" w:hAnsi="Arial" w:cs="Arial"/>
          <w:color w:val="000000"/>
          <w:sz w:val="22"/>
          <w:szCs w:val="22"/>
          <w:highlight w:val="cyan"/>
        </w:rPr>
        <w:t>Second, central banks must maintain their communication routines during good and bad times. Central banks sometimes abandon carefully designed routines and resort to cryptic communication when economic conditions worsen, or difficult decisions are made. This can erode goodwill and damage the central bank’s reputation. It is tempting to highlight pleasant news by saying, for example, “economic growth is higher than last year,” while concealing unpopular angles, for example, “economic growth increased in the oil producing sector, while other sectors declined, and unemployment increased.”</w:t>
      </w:r>
      <w:r w:rsidRPr="00731F30">
        <w:rPr>
          <w:rStyle w:val="eop"/>
          <w:rFonts w:ascii="Arial" w:hAnsi="Arial" w:cs="Arial"/>
          <w:color w:val="000000"/>
          <w:sz w:val="22"/>
          <w:szCs w:val="22"/>
          <w:highlight w:val="cyan"/>
        </w:rPr>
        <w:t> </w:t>
      </w:r>
    </w:p>
    <w:p w14:paraId="4B3A0925" w14:textId="77777777" w:rsidR="00731F30" w:rsidRPr="00731F30" w:rsidRDefault="00731F30" w:rsidP="00731F30">
      <w:pPr>
        <w:pStyle w:val="paragraph"/>
        <w:spacing w:before="0" w:beforeAutospacing="0" w:after="0" w:afterAutospacing="0"/>
        <w:textAlignment w:val="baseline"/>
        <w:rPr>
          <w:rFonts w:ascii="Segoe UI" w:hAnsi="Segoe UI" w:cs="Segoe UI"/>
          <w:sz w:val="18"/>
          <w:szCs w:val="18"/>
          <w:highlight w:val="cyan"/>
        </w:rPr>
      </w:pPr>
      <w:r w:rsidRPr="00731F30">
        <w:rPr>
          <w:rStyle w:val="eop"/>
          <w:rFonts w:ascii="Arial" w:hAnsi="Arial" w:cs="Arial"/>
          <w:color w:val="000000"/>
          <w:sz w:val="22"/>
          <w:szCs w:val="22"/>
          <w:highlight w:val="cyan"/>
        </w:rPr>
        <w:t> </w:t>
      </w:r>
    </w:p>
    <w:p w14:paraId="0C7DB779" w14:textId="77777777" w:rsidR="00731F30" w:rsidRPr="00731F30" w:rsidRDefault="00731F30" w:rsidP="00731F30">
      <w:pPr>
        <w:pStyle w:val="paragraph"/>
        <w:spacing w:before="0" w:beforeAutospacing="0" w:after="0" w:afterAutospacing="0"/>
        <w:textAlignment w:val="baseline"/>
        <w:rPr>
          <w:rFonts w:ascii="Segoe UI" w:hAnsi="Segoe UI" w:cs="Segoe UI"/>
          <w:sz w:val="18"/>
          <w:szCs w:val="18"/>
          <w:highlight w:val="cyan"/>
        </w:rPr>
      </w:pPr>
      <w:r w:rsidRPr="00731F30">
        <w:rPr>
          <w:rStyle w:val="normaltextrun"/>
          <w:rFonts w:ascii="Arial" w:hAnsi="Arial" w:cs="Arial"/>
          <w:color w:val="000000"/>
          <w:sz w:val="22"/>
          <w:szCs w:val="22"/>
          <w:highlight w:val="cyan"/>
        </w:rPr>
        <w:t>Establishing and maintaining communication routines is crucial for several reasons:</w:t>
      </w:r>
      <w:r w:rsidRPr="00731F30">
        <w:rPr>
          <w:rStyle w:val="eop"/>
          <w:rFonts w:ascii="Arial" w:hAnsi="Arial" w:cs="Arial"/>
          <w:color w:val="000000"/>
          <w:sz w:val="22"/>
          <w:szCs w:val="22"/>
          <w:highlight w:val="cyan"/>
        </w:rPr>
        <w:t> </w:t>
      </w:r>
    </w:p>
    <w:p w14:paraId="4DF44711" w14:textId="77777777" w:rsidR="00731F30" w:rsidRPr="00731F30" w:rsidRDefault="00731F30" w:rsidP="00731F30">
      <w:pPr>
        <w:pStyle w:val="paragraph"/>
        <w:spacing w:before="0" w:beforeAutospacing="0" w:after="0" w:afterAutospacing="0"/>
        <w:textAlignment w:val="baseline"/>
        <w:rPr>
          <w:rFonts w:ascii="Segoe UI" w:hAnsi="Segoe UI" w:cs="Segoe UI"/>
          <w:sz w:val="18"/>
          <w:szCs w:val="18"/>
          <w:highlight w:val="cyan"/>
        </w:rPr>
      </w:pPr>
      <w:r w:rsidRPr="00731F30">
        <w:rPr>
          <w:rStyle w:val="eop"/>
          <w:rFonts w:ascii="Arial" w:hAnsi="Arial" w:cs="Arial"/>
          <w:color w:val="000000"/>
          <w:sz w:val="22"/>
          <w:szCs w:val="22"/>
          <w:highlight w:val="cyan"/>
        </w:rPr>
        <w:lastRenderedPageBreak/>
        <w:t> </w:t>
      </w:r>
    </w:p>
    <w:p w14:paraId="2F57342A" w14:textId="77777777" w:rsidR="00731F30" w:rsidRPr="00731F30" w:rsidRDefault="00731F30" w:rsidP="00731F30">
      <w:pPr>
        <w:pStyle w:val="paragraph"/>
        <w:spacing w:before="0" w:beforeAutospacing="0" w:after="0" w:afterAutospacing="0"/>
        <w:textAlignment w:val="baseline"/>
        <w:rPr>
          <w:rFonts w:ascii="Segoe UI" w:hAnsi="Segoe UI" w:cs="Segoe UI"/>
          <w:sz w:val="18"/>
          <w:szCs w:val="18"/>
          <w:highlight w:val="cyan"/>
        </w:rPr>
      </w:pPr>
      <w:r w:rsidRPr="00731F30">
        <w:rPr>
          <w:rStyle w:val="normaltextrun"/>
          <w:rFonts w:ascii="Arial" w:hAnsi="Arial" w:cs="Arial"/>
          <w:color w:val="000000"/>
          <w:sz w:val="22"/>
          <w:szCs w:val="22"/>
          <w:highlight w:val="cyan"/>
        </w:rPr>
        <w:t>First, markets and the public learn to better understand central bank policy through ongoing communication.</w:t>
      </w:r>
      <w:r w:rsidRPr="00731F30">
        <w:rPr>
          <w:rStyle w:val="eop"/>
          <w:rFonts w:ascii="Arial" w:hAnsi="Arial" w:cs="Arial"/>
          <w:color w:val="000000"/>
          <w:sz w:val="22"/>
          <w:szCs w:val="22"/>
          <w:highlight w:val="cyan"/>
        </w:rPr>
        <w:t> </w:t>
      </w:r>
    </w:p>
    <w:p w14:paraId="3F78F2B2" w14:textId="77777777" w:rsidR="00731F30" w:rsidRPr="00731F30" w:rsidRDefault="00731F30" w:rsidP="00731F30">
      <w:pPr>
        <w:pStyle w:val="paragraph"/>
        <w:spacing w:before="0" w:beforeAutospacing="0" w:after="0" w:afterAutospacing="0"/>
        <w:textAlignment w:val="baseline"/>
        <w:rPr>
          <w:rFonts w:ascii="Segoe UI" w:hAnsi="Segoe UI" w:cs="Segoe UI"/>
          <w:sz w:val="18"/>
          <w:szCs w:val="18"/>
          <w:highlight w:val="cyan"/>
        </w:rPr>
      </w:pPr>
      <w:r w:rsidRPr="00731F30">
        <w:rPr>
          <w:rStyle w:val="eop"/>
          <w:rFonts w:ascii="Arial" w:hAnsi="Arial" w:cs="Arial"/>
          <w:color w:val="000000"/>
          <w:sz w:val="22"/>
          <w:szCs w:val="22"/>
          <w:highlight w:val="cyan"/>
        </w:rPr>
        <w:t> </w:t>
      </w:r>
    </w:p>
    <w:p w14:paraId="1E035C6D" w14:textId="77777777" w:rsidR="00731F30" w:rsidRPr="00731F30" w:rsidRDefault="00731F30" w:rsidP="00731F30">
      <w:pPr>
        <w:pStyle w:val="paragraph"/>
        <w:spacing w:before="0" w:beforeAutospacing="0" w:after="0" w:afterAutospacing="0"/>
        <w:textAlignment w:val="baseline"/>
        <w:rPr>
          <w:rFonts w:ascii="Segoe UI" w:hAnsi="Segoe UI" w:cs="Segoe UI"/>
          <w:sz w:val="18"/>
          <w:szCs w:val="18"/>
          <w:highlight w:val="cyan"/>
        </w:rPr>
      </w:pPr>
      <w:r w:rsidRPr="00731F30">
        <w:rPr>
          <w:rStyle w:val="normaltextrun"/>
          <w:rFonts w:ascii="Arial" w:hAnsi="Arial" w:cs="Arial"/>
          <w:color w:val="000000"/>
          <w:sz w:val="22"/>
          <w:szCs w:val="22"/>
          <w:highlight w:val="cyan"/>
        </w:rPr>
        <w:t>Second, regular reviews help markets, and the public adapt to central bank behavior, learn how the bank interprets economic developments, and how it forms its outlooks. Consistent communication helps central banks manage expectations and make markets and stakeholders understand its so-called policy reaction function. This in turn enables better anticipation of future policy actions.</w:t>
      </w:r>
      <w:r w:rsidRPr="00731F30">
        <w:rPr>
          <w:rStyle w:val="eop"/>
          <w:rFonts w:ascii="Arial" w:hAnsi="Arial" w:cs="Arial"/>
          <w:color w:val="000000"/>
          <w:sz w:val="22"/>
          <w:szCs w:val="22"/>
          <w:highlight w:val="cyan"/>
        </w:rPr>
        <w:t> </w:t>
      </w:r>
    </w:p>
    <w:p w14:paraId="01FD7933" w14:textId="77777777" w:rsidR="00731F30" w:rsidRPr="00731F30" w:rsidRDefault="00731F30" w:rsidP="00731F30">
      <w:pPr>
        <w:pStyle w:val="paragraph"/>
        <w:spacing w:before="0" w:beforeAutospacing="0" w:after="0" w:afterAutospacing="0"/>
        <w:textAlignment w:val="baseline"/>
        <w:rPr>
          <w:rFonts w:ascii="Segoe UI" w:hAnsi="Segoe UI" w:cs="Segoe UI"/>
          <w:sz w:val="18"/>
          <w:szCs w:val="18"/>
          <w:highlight w:val="cyan"/>
        </w:rPr>
      </w:pPr>
      <w:r w:rsidRPr="00731F30">
        <w:rPr>
          <w:rStyle w:val="eop"/>
          <w:rFonts w:ascii="Arial" w:hAnsi="Arial" w:cs="Arial"/>
          <w:color w:val="000000"/>
          <w:sz w:val="22"/>
          <w:szCs w:val="22"/>
          <w:highlight w:val="cyan"/>
        </w:rPr>
        <w:t> </w:t>
      </w:r>
    </w:p>
    <w:p w14:paraId="741F4475" w14:textId="77777777" w:rsidR="00731F30" w:rsidRPr="00731F30" w:rsidRDefault="00731F30" w:rsidP="00731F30">
      <w:pPr>
        <w:pStyle w:val="paragraph"/>
        <w:spacing w:before="0" w:beforeAutospacing="0" w:after="0" w:afterAutospacing="0"/>
        <w:textAlignment w:val="baseline"/>
        <w:rPr>
          <w:rFonts w:ascii="Segoe UI" w:hAnsi="Segoe UI" w:cs="Segoe UI"/>
          <w:sz w:val="18"/>
          <w:szCs w:val="18"/>
          <w:highlight w:val="cyan"/>
        </w:rPr>
      </w:pPr>
      <w:r w:rsidRPr="00731F30">
        <w:rPr>
          <w:rStyle w:val="normaltextrun"/>
          <w:rFonts w:ascii="Arial" w:hAnsi="Arial" w:cs="Arial"/>
          <w:color w:val="000000"/>
          <w:sz w:val="22"/>
          <w:szCs w:val="22"/>
          <w:highlight w:val="cyan"/>
        </w:rPr>
        <w:t>As former Federal Reserve Chairman Ben Bernanke said, a well-run central bank provides as much information as possible.</w:t>
      </w:r>
      <w:r w:rsidRPr="00731F30">
        <w:rPr>
          <w:rStyle w:val="eop"/>
          <w:rFonts w:ascii="Arial" w:hAnsi="Arial" w:cs="Arial"/>
          <w:color w:val="000000"/>
          <w:sz w:val="22"/>
          <w:szCs w:val="22"/>
          <w:highlight w:val="cyan"/>
        </w:rPr>
        <w:t> </w:t>
      </w:r>
    </w:p>
    <w:p w14:paraId="6E923FC7" w14:textId="77777777" w:rsidR="00731F30" w:rsidRPr="00731F30" w:rsidRDefault="00731F30" w:rsidP="00731F30">
      <w:pPr>
        <w:pStyle w:val="paragraph"/>
        <w:spacing w:before="0" w:beforeAutospacing="0" w:after="0" w:afterAutospacing="0"/>
        <w:textAlignment w:val="baseline"/>
        <w:rPr>
          <w:rFonts w:ascii="Segoe UI" w:hAnsi="Segoe UI" w:cs="Segoe UI"/>
          <w:sz w:val="18"/>
          <w:szCs w:val="18"/>
          <w:highlight w:val="cyan"/>
        </w:rPr>
      </w:pPr>
      <w:r w:rsidRPr="00731F30">
        <w:rPr>
          <w:rStyle w:val="eop"/>
          <w:rFonts w:ascii="Arial" w:hAnsi="Arial" w:cs="Arial"/>
          <w:color w:val="000000"/>
          <w:sz w:val="22"/>
          <w:szCs w:val="22"/>
          <w:highlight w:val="cyan"/>
        </w:rPr>
        <w:t> </w:t>
      </w:r>
    </w:p>
    <w:p w14:paraId="7BA5AF33" w14:textId="77777777" w:rsidR="00731F30" w:rsidRPr="00731F30" w:rsidRDefault="00731F30" w:rsidP="00731F30">
      <w:pPr>
        <w:pStyle w:val="paragraph"/>
        <w:spacing w:before="0" w:beforeAutospacing="0" w:after="0" w:afterAutospacing="0"/>
        <w:textAlignment w:val="baseline"/>
        <w:rPr>
          <w:rFonts w:ascii="Segoe UI" w:hAnsi="Segoe UI" w:cs="Segoe UI"/>
          <w:sz w:val="18"/>
          <w:szCs w:val="18"/>
          <w:highlight w:val="cyan"/>
        </w:rPr>
      </w:pPr>
      <w:r w:rsidRPr="00731F30">
        <w:rPr>
          <w:rStyle w:val="normaltextrun"/>
          <w:rFonts w:ascii="Arial" w:hAnsi="Arial" w:cs="Arial"/>
          <w:color w:val="000000"/>
          <w:sz w:val="22"/>
          <w:szCs w:val="22"/>
          <w:highlight w:val="cyan"/>
        </w:rPr>
        <w:t>As central banks’ policy frameworks become more sophisticated, policymakers must devote more attention to communication. This encourages the use of increasingly intricate communication techniques.</w:t>
      </w:r>
      <w:r w:rsidRPr="00731F30">
        <w:rPr>
          <w:rStyle w:val="eop"/>
          <w:rFonts w:ascii="Arial" w:hAnsi="Arial" w:cs="Arial"/>
          <w:color w:val="000000"/>
          <w:sz w:val="22"/>
          <w:szCs w:val="22"/>
          <w:highlight w:val="cyan"/>
        </w:rPr>
        <w:t> </w:t>
      </w:r>
    </w:p>
    <w:p w14:paraId="2C46A0E7" w14:textId="77777777" w:rsidR="00014D0B" w:rsidRPr="00731F30" w:rsidRDefault="00014D0B" w:rsidP="00651570">
      <w:pPr>
        <w:rPr>
          <w:highlight w:val="cyan"/>
        </w:rPr>
      </w:pPr>
    </w:p>
    <w:p w14:paraId="7A6E42CE" w14:textId="1E37FEB4" w:rsidR="1F1AF3EF" w:rsidRPr="00BD22BC" w:rsidRDefault="1F1AF3EF" w:rsidP="6EEC262A">
      <w:pPr>
        <w:rPr>
          <w:b/>
          <w:bCs/>
        </w:rPr>
      </w:pPr>
      <w:r w:rsidRPr="00731F30">
        <w:rPr>
          <w:b/>
          <w:bCs/>
          <w:highlight w:val="cyan"/>
        </w:rPr>
        <w:t>&lt;END OF VIDEO &gt;</w:t>
      </w:r>
    </w:p>
    <w:p w14:paraId="034A1494" w14:textId="71B46D00" w:rsidR="6EEC262A" w:rsidRPr="00BD22BC" w:rsidRDefault="6EEC262A" w:rsidP="6EEC262A">
      <w:pPr>
        <w:pBdr>
          <w:bottom w:val="single" w:sz="6" w:space="1" w:color="auto"/>
        </w:pBdr>
      </w:pPr>
    </w:p>
    <w:bookmarkEnd w:id="48"/>
    <w:p w14:paraId="2139101E" w14:textId="77777777" w:rsidR="00203EF5" w:rsidRPr="00BD22BC" w:rsidRDefault="00203EF5" w:rsidP="6EEC262A"/>
    <w:p w14:paraId="0EAAED30" w14:textId="77777777" w:rsidR="00035488" w:rsidRPr="00BD22BC" w:rsidRDefault="00035488">
      <w:pPr>
        <w:spacing w:after="160" w:line="259" w:lineRule="auto"/>
        <w:rPr>
          <w:rFonts w:cs="Arial"/>
          <w:b/>
          <w:iCs/>
          <w:highlight w:val="yellow"/>
        </w:rPr>
      </w:pPr>
      <w:r w:rsidRPr="00BD22BC">
        <w:rPr>
          <w:highlight w:val="yellow"/>
        </w:rPr>
        <w:br w:type="page"/>
      </w:r>
    </w:p>
    <w:p w14:paraId="0D5A5BD4" w14:textId="7B052009" w:rsidR="00C31D91" w:rsidRPr="00BD22BC" w:rsidRDefault="00C31D91" w:rsidP="00C31D91">
      <w:pPr>
        <w:pStyle w:val="Heading2"/>
      </w:pPr>
      <w:bookmarkStart w:id="52" w:name="_Toc561499768"/>
      <w:r w:rsidRPr="7EEFCAA8">
        <w:rPr>
          <w:highlight w:val="yellow"/>
        </w:rPr>
        <w:lastRenderedPageBreak/>
        <w:t>UNIT 2.2:</w:t>
      </w:r>
      <w:r>
        <w:t xml:space="preserve"> </w:t>
      </w:r>
      <w:r w:rsidR="2201FB86">
        <w:t>Macroeconomic fore</w:t>
      </w:r>
      <w:r w:rsidR="4EAC591D">
        <w:t>ca</w:t>
      </w:r>
      <w:r w:rsidR="2201FB86">
        <w:t xml:space="preserve">sts: </w:t>
      </w:r>
      <w:r w:rsidR="675CD1CD">
        <w:t>Publication and ownership</w:t>
      </w:r>
      <w:bookmarkEnd w:id="52"/>
      <w:r w:rsidR="675CD1CD">
        <w:t xml:space="preserve"> </w:t>
      </w:r>
    </w:p>
    <w:p w14:paraId="5CEFB286" w14:textId="77777777" w:rsidR="0084643D" w:rsidRPr="00BD22BC" w:rsidRDefault="0084643D" w:rsidP="00C31D91"/>
    <w:p w14:paraId="645C25D8" w14:textId="442B6F7D" w:rsidR="005B32CA" w:rsidRPr="00BD22BC" w:rsidRDefault="007D6175" w:rsidP="00C31D91">
      <w:r>
        <w:t xml:space="preserve">A key element of the standard communication routine is the publication of macroeconomic forecasts. </w:t>
      </w:r>
      <w:r w:rsidR="005B32CA">
        <w:t>This is commonly done</w:t>
      </w:r>
      <w:r w:rsidR="007A0B54">
        <w:t xml:space="preserve"> in the press conference and the </w:t>
      </w:r>
      <w:r w:rsidR="00412884">
        <w:t>m</w:t>
      </w:r>
      <w:r w:rsidR="007A0B54">
        <w:t xml:space="preserve">onetary </w:t>
      </w:r>
      <w:r w:rsidR="00412884">
        <w:t>p</w:t>
      </w:r>
      <w:r w:rsidR="007A0B54">
        <w:t xml:space="preserve">olicy </w:t>
      </w:r>
      <w:r w:rsidR="00412884">
        <w:t>r</w:t>
      </w:r>
      <w:r w:rsidR="007A0B54">
        <w:t>eport.</w:t>
      </w:r>
    </w:p>
    <w:p w14:paraId="67734947" w14:textId="77777777" w:rsidR="005B32CA" w:rsidRPr="00BD22BC" w:rsidRDefault="005B32CA" w:rsidP="00C31D91"/>
    <w:p w14:paraId="711EC2C5" w14:textId="3AFFB6CD" w:rsidR="005C22FB" w:rsidRPr="00BD22BC" w:rsidRDefault="007D6175" w:rsidP="00C31D91">
      <w:r>
        <w:t>Forecasts contain complex information about the assessment of the current state of the economy and its most likely future evolution. In policymaking practice, forecasts serve as a benchmark against which a decision-making body evaluates risks and makes a final policy decision.</w:t>
      </w:r>
      <w:r w:rsidR="005C22FB">
        <w:t xml:space="preserve"> </w:t>
      </w:r>
      <w:bookmarkStart w:id="53" w:name="_Hlk172488062"/>
      <w:r w:rsidR="003A71AD">
        <w:t>The way a policy decision reflects the perceived risks associated with macroeconomic forecasts enables expert observers to reconstruct the policymaker’s “</w:t>
      </w:r>
      <w:r w:rsidR="003C3CA5">
        <w:t xml:space="preserve">policy </w:t>
      </w:r>
      <w:r w:rsidR="003A71AD">
        <w:t>reaction function”</w:t>
      </w:r>
      <w:r w:rsidR="00263792">
        <w:t>. In other words, when a similar risk</w:t>
      </w:r>
      <w:r w:rsidR="61CC4D73">
        <w:t xml:space="preserve"> or event</w:t>
      </w:r>
      <w:r w:rsidR="00263792">
        <w:t xml:space="preserve"> emerges in the future, experts are better able to anticipate the policymaker's decision, thereby enhancing the effectiveness of the policy.</w:t>
      </w:r>
    </w:p>
    <w:bookmarkEnd w:id="53"/>
    <w:p w14:paraId="3972FD23" w14:textId="77777777" w:rsidR="007D6175" w:rsidRPr="00BD22BC" w:rsidRDefault="007D6175" w:rsidP="00C31D91"/>
    <w:p w14:paraId="5DCB9010" w14:textId="708E8E9C" w:rsidR="007A0B54" w:rsidRPr="00BD22BC" w:rsidRDefault="00950CEB" w:rsidP="00C31D91">
      <w:bookmarkStart w:id="54" w:name="_Hlk172992075"/>
      <w:r>
        <w:t>A good practice in central banking is to clearly identify the ownership of macroeconomic forecasts, as this significantly influences how policymakers convey their views in public.</w:t>
      </w:r>
      <w:bookmarkEnd w:id="54"/>
    </w:p>
    <w:p w14:paraId="07E0B7DF" w14:textId="77777777" w:rsidR="00950CEB" w:rsidRPr="00BD22BC" w:rsidRDefault="00950CEB" w:rsidP="00C31D91"/>
    <w:p w14:paraId="20A1A1B5" w14:textId="7292B1AF" w:rsidR="007A0B54" w:rsidRDefault="00C31D91" w:rsidP="00C31D91">
      <w:r w:rsidRPr="00BD22BC">
        <w:t xml:space="preserve">Three </w:t>
      </w:r>
      <w:r w:rsidR="00EC6BF7" w:rsidRPr="00BD22BC">
        <w:t>forecast ownership</w:t>
      </w:r>
      <w:r w:rsidR="00641B2B" w:rsidRPr="00BD22BC">
        <w:t>s</w:t>
      </w:r>
      <w:r w:rsidRPr="00BD22BC">
        <w:t xml:space="preserve"> are employed in central banks: </w:t>
      </w:r>
      <w:bookmarkStart w:id="55" w:name="_Hlk170163722"/>
    </w:p>
    <w:p w14:paraId="04B320E9" w14:textId="77777777" w:rsidR="00BA2E73" w:rsidRDefault="00BA2E73" w:rsidP="00C31D91"/>
    <w:p w14:paraId="2E085A2F" w14:textId="6C64A22C" w:rsidR="00BA2E73" w:rsidRPr="00BD22BC" w:rsidRDefault="00BA2E73" w:rsidP="00C31D91">
      <w:r w:rsidRPr="38638030">
        <w:rPr>
          <w:b/>
          <w:bCs/>
          <w:highlight w:val="yellow"/>
        </w:rPr>
        <w:t>&lt;</w:t>
      </w:r>
      <w:r>
        <w:rPr>
          <w:b/>
          <w:bCs/>
          <w:highlight w:val="yellow"/>
        </w:rPr>
        <w:t>Asset 4.2.2_forecast ownership</w:t>
      </w:r>
      <w:r w:rsidRPr="38638030">
        <w:rPr>
          <w:b/>
          <w:bCs/>
          <w:highlight w:val="yellow"/>
        </w:rPr>
        <w:t>&gt;</w:t>
      </w:r>
    </w:p>
    <w:p w14:paraId="05CCC454" w14:textId="1ADC9385" w:rsidR="007A0B54" w:rsidRPr="00BD22BC" w:rsidRDefault="00C31D91" w:rsidP="00FC2222">
      <w:pPr>
        <w:pStyle w:val="ListParagraph"/>
        <w:numPr>
          <w:ilvl w:val="0"/>
          <w:numId w:val="34"/>
        </w:numPr>
      </w:pPr>
      <w:r w:rsidRPr="00BD22BC">
        <w:t>staff-owned</w:t>
      </w:r>
    </w:p>
    <w:p w14:paraId="4422AD55" w14:textId="5426CFCE" w:rsidR="007A0B54" w:rsidRPr="00BD22BC" w:rsidRDefault="00C31D91" w:rsidP="00FC2222">
      <w:pPr>
        <w:pStyle w:val="ListParagraph"/>
        <w:numPr>
          <w:ilvl w:val="0"/>
          <w:numId w:val="34"/>
        </w:numPr>
      </w:pPr>
      <w:r w:rsidRPr="00BD22BC">
        <w:t xml:space="preserve">bank-owned </w:t>
      </w:r>
    </w:p>
    <w:p w14:paraId="2A2F1ED6" w14:textId="29DD24BE" w:rsidR="00C31D91" w:rsidRPr="00BD22BC" w:rsidRDefault="00412884" w:rsidP="00FC2222">
      <w:pPr>
        <w:pStyle w:val="ListParagraph"/>
        <w:numPr>
          <w:ilvl w:val="0"/>
          <w:numId w:val="34"/>
        </w:numPr>
      </w:pPr>
      <w:r>
        <w:t>b</w:t>
      </w:r>
      <w:r w:rsidR="00C31D91">
        <w:t>oard-owned</w:t>
      </w:r>
      <w:bookmarkEnd w:id="55"/>
    </w:p>
    <w:p w14:paraId="4CFA5D7E" w14:textId="77777777" w:rsidR="00C31D91" w:rsidRPr="00BD22BC" w:rsidRDefault="00C31D91" w:rsidP="00C31D91"/>
    <w:p w14:paraId="41BEE6FA" w14:textId="7E6D2B65" w:rsidR="00985209" w:rsidRPr="00317192" w:rsidRDefault="00E30EEE" w:rsidP="6EEC262A">
      <w:pPr>
        <w:rPr>
          <w:i/>
          <w:iCs/>
        </w:rPr>
      </w:pPr>
      <w:r w:rsidRPr="00317192">
        <w:rPr>
          <w:i/>
          <w:iCs/>
        </w:rPr>
        <w:t xml:space="preserve">Explore </w:t>
      </w:r>
      <w:r w:rsidR="00317192" w:rsidRPr="00317192">
        <w:rPr>
          <w:i/>
          <w:iCs/>
        </w:rPr>
        <w:t>the following</w:t>
      </w:r>
      <w:r w:rsidRPr="00317192">
        <w:rPr>
          <w:i/>
          <w:iCs/>
        </w:rPr>
        <w:t xml:space="preserve"> document</w:t>
      </w:r>
      <w:r w:rsidR="00562D2D" w:rsidRPr="00317192">
        <w:rPr>
          <w:i/>
          <w:iCs/>
        </w:rPr>
        <w:t xml:space="preserve"> </w:t>
      </w:r>
      <w:r w:rsidR="00D73CE8" w:rsidRPr="00317192">
        <w:rPr>
          <w:i/>
          <w:iCs/>
        </w:rPr>
        <w:t>for a</w:t>
      </w:r>
      <w:r w:rsidR="00035D02" w:rsidRPr="00317192">
        <w:rPr>
          <w:i/>
          <w:iCs/>
        </w:rPr>
        <w:t xml:space="preserve"> closer look at the </w:t>
      </w:r>
      <w:r w:rsidR="00B329C0" w:rsidRPr="00317192">
        <w:rPr>
          <w:i/>
          <w:iCs/>
        </w:rPr>
        <w:t>main features</w:t>
      </w:r>
      <w:r w:rsidR="00035D02" w:rsidRPr="00317192">
        <w:rPr>
          <w:i/>
          <w:iCs/>
        </w:rPr>
        <w:t xml:space="preserve"> of each approach</w:t>
      </w:r>
      <w:r w:rsidR="00C31D91" w:rsidRPr="00317192">
        <w:rPr>
          <w:i/>
          <w:iCs/>
        </w:rPr>
        <w:t>.</w:t>
      </w:r>
    </w:p>
    <w:p w14:paraId="504D65B1" w14:textId="77777777" w:rsidR="00985209" w:rsidRPr="00BD22BC" w:rsidRDefault="00985209" w:rsidP="00985209">
      <w:pPr>
        <w:rPr>
          <w:highlight w:val="yellow"/>
        </w:rPr>
      </w:pPr>
    </w:p>
    <w:p w14:paraId="6DC45FBA" w14:textId="7F4D389E" w:rsidR="00C31D91" w:rsidRPr="00BD22BC" w:rsidRDefault="00C31D91" w:rsidP="00C31D91">
      <w:pPr>
        <w:pStyle w:val="Heading3"/>
        <w:rPr>
          <w:rFonts w:eastAsia="Arial"/>
          <w:color w:val="000000" w:themeColor="text1"/>
        </w:rPr>
      </w:pPr>
      <w:bookmarkStart w:id="56" w:name="_Toc663396942"/>
      <w:r w:rsidRPr="7EEFCAA8">
        <w:rPr>
          <w:rFonts w:eastAsia="Arial"/>
          <w:color w:val="000000" w:themeColor="text1"/>
          <w:highlight w:val="yellow"/>
        </w:rPr>
        <w:t>&lt;PDF #</w:t>
      </w:r>
      <w:r w:rsidR="03A91F45" w:rsidRPr="7EEFCAA8">
        <w:rPr>
          <w:rFonts w:eastAsia="Arial"/>
          <w:color w:val="000000" w:themeColor="text1"/>
          <w:highlight w:val="yellow"/>
        </w:rPr>
        <w:t>5</w:t>
      </w:r>
      <w:r w:rsidRPr="7EEFCAA8">
        <w:rPr>
          <w:rFonts w:eastAsia="Arial"/>
          <w:color w:val="000000" w:themeColor="text1"/>
          <w:highlight w:val="yellow"/>
        </w:rPr>
        <w:t>&gt;</w:t>
      </w:r>
      <w:bookmarkEnd w:id="56"/>
      <w:r w:rsidRPr="7EEFCAA8">
        <w:rPr>
          <w:rFonts w:eastAsia="Arial"/>
          <w:color w:val="000000" w:themeColor="text1"/>
        </w:rPr>
        <w:t xml:space="preserve"> </w:t>
      </w:r>
    </w:p>
    <w:p w14:paraId="3E104E2C" w14:textId="77777777" w:rsidR="00B329C0" w:rsidRPr="00BD22BC" w:rsidRDefault="00B329C0" w:rsidP="00985209">
      <w:pPr>
        <w:rPr>
          <w:b/>
          <w:bCs/>
        </w:rPr>
      </w:pPr>
      <w:bookmarkStart w:id="57" w:name="_Hlk172993576"/>
    </w:p>
    <w:p w14:paraId="6673CC8F" w14:textId="2D561513" w:rsidR="00985209" w:rsidRPr="00BD22BC" w:rsidRDefault="00985209" w:rsidP="00985209">
      <w:pPr>
        <w:rPr>
          <w:b/>
          <w:bCs/>
        </w:rPr>
      </w:pPr>
      <w:r w:rsidRPr="00BD22BC">
        <w:rPr>
          <w:b/>
          <w:bCs/>
        </w:rPr>
        <w:t>Ownership of forecast</w:t>
      </w:r>
      <w:r w:rsidR="00EA2824" w:rsidRPr="00BD22BC">
        <w:rPr>
          <w:b/>
          <w:bCs/>
        </w:rPr>
        <w:t xml:space="preserve"> and consequences for communication</w:t>
      </w:r>
    </w:p>
    <w:bookmarkEnd w:id="57"/>
    <w:p w14:paraId="5AFCAF62" w14:textId="77777777" w:rsidR="007506A9" w:rsidRPr="00BD22BC" w:rsidRDefault="007506A9" w:rsidP="6EEC262A"/>
    <w:p w14:paraId="78E7AD4F" w14:textId="477FB57A" w:rsidR="00A83015" w:rsidRPr="00BD22BC" w:rsidRDefault="00A83015" w:rsidP="00A83015">
      <w:r w:rsidRPr="00BD22BC">
        <w:t>Clarifying the ownership of macroeconomic forecasts fosters healthy internal debate between technical staff and policymakers, while also ensuring smooth coordination of external communication by individual members of the policymaking panel.</w:t>
      </w:r>
    </w:p>
    <w:p w14:paraId="1AECA4B7" w14:textId="77777777" w:rsidR="00A83015" w:rsidRPr="00BD22BC" w:rsidRDefault="00A83015" w:rsidP="00A83015"/>
    <w:p w14:paraId="3A07C5D2" w14:textId="69E539FB" w:rsidR="00A83015" w:rsidRPr="00BD22BC" w:rsidRDefault="00F44351" w:rsidP="00A83015">
      <w:r>
        <w:t>Here we discuss the features of</w:t>
      </w:r>
      <w:r w:rsidR="00A83015">
        <w:t xml:space="preserve"> each of the three main forecast ownership frameworks: “staff-owned,” “bank-owned,” and “</w:t>
      </w:r>
      <w:r w:rsidR="00412884">
        <w:t>b</w:t>
      </w:r>
      <w:r w:rsidR="00A83015">
        <w:t>oard-owned”.</w:t>
      </w:r>
    </w:p>
    <w:p w14:paraId="38F2975E" w14:textId="77777777" w:rsidR="00A83015" w:rsidRPr="00BD22BC" w:rsidRDefault="00A83015" w:rsidP="00A83015"/>
    <w:p w14:paraId="68E34386" w14:textId="402AF1BE" w:rsidR="00C31D91" w:rsidRPr="00BD22BC" w:rsidRDefault="00F44351" w:rsidP="6EEC262A">
      <w:r>
        <w:t xml:space="preserve">In general, the </w:t>
      </w:r>
      <w:r w:rsidR="00C31D91">
        <w:t xml:space="preserve">more distant policymakers are from the internal forecast and policy-formulation process at the technical staff level, the </w:t>
      </w:r>
      <w:r>
        <w:t>less possible</w:t>
      </w:r>
      <w:r w:rsidR="00C31D91">
        <w:t xml:space="preserve"> it is </w:t>
      </w:r>
      <w:r w:rsidR="00616146">
        <w:t xml:space="preserve">for a policy institution </w:t>
      </w:r>
      <w:r w:rsidR="00C31D91">
        <w:t xml:space="preserve">to embrace either the bank-owned or </w:t>
      </w:r>
      <w:r w:rsidR="00412884">
        <w:t>b</w:t>
      </w:r>
      <w:r w:rsidR="00C31D91">
        <w:t xml:space="preserve">oard-owned forecasts. </w:t>
      </w:r>
    </w:p>
    <w:p w14:paraId="03F611CC" w14:textId="77777777" w:rsidR="007D6175" w:rsidRPr="00BD22BC" w:rsidRDefault="007D6175" w:rsidP="6EEC262A"/>
    <w:p w14:paraId="0F95801C" w14:textId="77777777" w:rsidR="00035D02" w:rsidRPr="00BD22BC" w:rsidRDefault="00035D02" w:rsidP="6EEC262A"/>
    <w:p w14:paraId="1B302B73" w14:textId="77777777" w:rsidR="00C31D91" w:rsidRPr="00BD22BC" w:rsidRDefault="00C31D91" w:rsidP="00C31D91">
      <w:pPr>
        <w:keepNext/>
        <w:keepLines/>
        <w:spacing w:after="120"/>
        <w:jc w:val="center"/>
        <w:rPr>
          <w:rFonts w:cs="Arial"/>
          <w:b/>
        </w:rPr>
      </w:pPr>
      <w:r w:rsidRPr="00BD22BC">
        <w:rPr>
          <w:rFonts w:cs="Arial"/>
          <w:b/>
        </w:rPr>
        <w:lastRenderedPageBreak/>
        <w:t>Who Owns the Forecast?</w:t>
      </w:r>
    </w:p>
    <w:tbl>
      <w:tblPr>
        <w:tblStyle w:val="TableGrid"/>
        <w:tblW w:w="0" w:type="auto"/>
        <w:jc w:val="center"/>
        <w:tblLook w:val="04A0" w:firstRow="1" w:lastRow="0" w:firstColumn="1" w:lastColumn="0" w:noHBand="0" w:noVBand="1"/>
      </w:tblPr>
      <w:tblGrid>
        <w:gridCol w:w="1368"/>
        <w:gridCol w:w="2857"/>
        <w:gridCol w:w="3060"/>
        <w:gridCol w:w="2381"/>
      </w:tblGrid>
      <w:tr w:rsidR="00C31D91" w:rsidRPr="00BD22BC" w14:paraId="0AB1B22F" w14:textId="77777777" w:rsidTr="0077230A">
        <w:trPr>
          <w:jc w:val="center"/>
        </w:trPr>
        <w:tc>
          <w:tcPr>
            <w:tcW w:w="1368" w:type="dxa"/>
            <w:vAlign w:val="center"/>
          </w:tcPr>
          <w:p w14:paraId="21FFA209" w14:textId="77777777" w:rsidR="00C31D91" w:rsidRPr="00BD22BC" w:rsidRDefault="00C31D91">
            <w:pPr>
              <w:keepNext/>
              <w:keepLines/>
              <w:jc w:val="center"/>
              <w:rPr>
                <w:rFonts w:cs="Arial"/>
                <w:b/>
                <w:sz w:val="20"/>
              </w:rPr>
            </w:pPr>
            <w:r w:rsidRPr="00BD22BC">
              <w:rPr>
                <w:rFonts w:cs="Arial"/>
                <w:b/>
                <w:sz w:val="20"/>
              </w:rPr>
              <w:t>Format</w:t>
            </w:r>
          </w:p>
        </w:tc>
        <w:tc>
          <w:tcPr>
            <w:tcW w:w="2857" w:type="dxa"/>
            <w:vAlign w:val="center"/>
          </w:tcPr>
          <w:p w14:paraId="66F80324" w14:textId="77777777" w:rsidR="00C31D91" w:rsidRPr="00BD22BC" w:rsidRDefault="00C31D91">
            <w:pPr>
              <w:keepNext/>
              <w:keepLines/>
              <w:jc w:val="center"/>
              <w:rPr>
                <w:rFonts w:cs="Arial"/>
                <w:b/>
                <w:sz w:val="20"/>
              </w:rPr>
            </w:pPr>
            <w:r w:rsidRPr="00BD22BC">
              <w:rPr>
                <w:rFonts w:cs="Arial"/>
                <w:b/>
                <w:sz w:val="20"/>
              </w:rPr>
              <w:t>Who prepares the forecast</w:t>
            </w:r>
          </w:p>
        </w:tc>
        <w:tc>
          <w:tcPr>
            <w:tcW w:w="3060" w:type="dxa"/>
            <w:vAlign w:val="center"/>
          </w:tcPr>
          <w:p w14:paraId="539D6E0B" w14:textId="096F4262" w:rsidR="00C31D91" w:rsidRPr="00BD22BC" w:rsidRDefault="00C31D91">
            <w:pPr>
              <w:keepNext/>
              <w:keepLines/>
              <w:jc w:val="center"/>
              <w:rPr>
                <w:rFonts w:cs="Arial"/>
                <w:b/>
                <w:sz w:val="20"/>
              </w:rPr>
            </w:pPr>
            <w:r w:rsidRPr="00BD22BC">
              <w:rPr>
                <w:rFonts w:cs="Arial"/>
                <w:b/>
                <w:sz w:val="20"/>
              </w:rPr>
              <w:t>Policymakers</w:t>
            </w:r>
            <w:r w:rsidR="00D2146F" w:rsidRPr="00BD22BC">
              <w:rPr>
                <w:rFonts w:cs="Arial"/>
                <w:b/>
                <w:sz w:val="20"/>
              </w:rPr>
              <w:t>’</w:t>
            </w:r>
            <w:r w:rsidRPr="00BD22BC">
              <w:rPr>
                <w:rFonts w:cs="Arial"/>
                <w:b/>
                <w:sz w:val="20"/>
              </w:rPr>
              <w:t xml:space="preserve"> relation vis-à-vis the forecast</w:t>
            </w:r>
          </w:p>
        </w:tc>
        <w:tc>
          <w:tcPr>
            <w:tcW w:w="2381" w:type="dxa"/>
            <w:vAlign w:val="center"/>
          </w:tcPr>
          <w:p w14:paraId="59938066" w14:textId="77777777" w:rsidR="00C31D91" w:rsidRPr="00BD22BC" w:rsidRDefault="00C31D91">
            <w:pPr>
              <w:keepNext/>
              <w:keepLines/>
              <w:jc w:val="center"/>
              <w:rPr>
                <w:rFonts w:cs="Arial"/>
                <w:b/>
                <w:sz w:val="20"/>
              </w:rPr>
            </w:pPr>
            <w:r w:rsidRPr="00BD22BC">
              <w:rPr>
                <w:rFonts w:cs="Arial"/>
                <w:b/>
                <w:sz w:val="20"/>
              </w:rPr>
              <w:t>Example</w:t>
            </w:r>
          </w:p>
        </w:tc>
      </w:tr>
      <w:tr w:rsidR="00C31D91" w:rsidRPr="00BD22BC" w14:paraId="45933FFF" w14:textId="77777777" w:rsidTr="0077230A">
        <w:trPr>
          <w:jc w:val="center"/>
        </w:trPr>
        <w:tc>
          <w:tcPr>
            <w:tcW w:w="1368" w:type="dxa"/>
          </w:tcPr>
          <w:p w14:paraId="5E0D627B" w14:textId="77777777" w:rsidR="00C31D91" w:rsidRPr="00BD22BC" w:rsidRDefault="00C31D91">
            <w:pPr>
              <w:keepNext/>
              <w:keepLines/>
              <w:rPr>
                <w:rFonts w:cs="Arial"/>
                <w:sz w:val="20"/>
              </w:rPr>
            </w:pPr>
            <w:r w:rsidRPr="00BD22BC">
              <w:rPr>
                <w:rFonts w:cs="Arial"/>
                <w:sz w:val="20"/>
              </w:rPr>
              <w:t>Staff-owned</w:t>
            </w:r>
          </w:p>
        </w:tc>
        <w:tc>
          <w:tcPr>
            <w:tcW w:w="2857" w:type="dxa"/>
          </w:tcPr>
          <w:p w14:paraId="4287E55F" w14:textId="77777777" w:rsidR="00C31D91" w:rsidRPr="00BD22BC" w:rsidRDefault="00C31D91">
            <w:pPr>
              <w:keepNext/>
              <w:keepLines/>
              <w:rPr>
                <w:rFonts w:cs="Arial"/>
                <w:sz w:val="20"/>
              </w:rPr>
            </w:pPr>
            <w:r w:rsidRPr="00BD22BC">
              <w:rPr>
                <w:rFonts w:cs="Arial"/>
                <w:sz w:val="20"/>
              </w:rPr>
              <w:t>Staff independently; the policymaker asks for scenarios and may give ex post comments; the forecast typically has a strong technical underpinning (“model-based forecast”)</w:t>
            </w:r>
          </w:p>
        </w:tc>
        <w:tc>
          <w:tcPr>
            <w:tcW w:w="3060" w:type="dxa"/>
          </w:tcPr>
          <w:p w14:paraId="72773B6F" w14:textId="5064A771" w:rsidR="00C31D91" w:rsidRPr="00BD22BC" w:rsidRDefault="00D2146F">
            <w:pPr>
              <w:keepNext/>
              <w:keepLines/>
              <w:rPr>
                <w:rFonts w:cs="Arial"/>
                <w:sz w:val="20"/>
              </w:rPr>
            </w:pPr>
            <w:r w:rsidRPr="00BD22BC">
              <w:rPr>
                <w:rFonts w:cs="Arial"/>
                <w:sz w:val="20"/>
              </w:rPr>
              <w:t>Can</w:t>
            </w:r>
            <w:r w:rsidR="00C31D91" w:rsidRPr="00BD22BC">
              <w:rPr>
                <w:rFonts w:cs="Arial"/>
                <w:sz w:val="20"/>
              </w:rPr>
              <w:t xml:space="preserve"> publicly distance </w:t>
            </w:r>
            <w:r w:rsidRPr="00BD22BC">
              <w:rPr>
                <w:rFonts w:cs="Arial"/>
                <w:sz w:val="20"/>
              </w:rPr>
              <w:t xml:space="preserve">themselves </w:t>
            </w:r>
            <w:r w:rsidR="00C31D91" w:rsidRPr="00BD22BC">
              <w:rPr>
                <w:rFonts w:cs="Arial"/>
                <w:sz w:val="20"/>
              </w:rPr>
              <w:t>from the forecast; possibility of dissent from the majority view (suitable for an “individualist</w:t>
            </w:r>
            <w:r w:rsidR="00645459" w:rsidRPr="00BD22BC">
              <w:rPr>
                <w:rFonts w:cs="Arial"/>
                <w:sz w:val="20"/>
              </w:rPr>
              <w:t>ic</w:t>
            </w:r>
            <w:r w:rsidR="00C31D91" w:rsidRPr="00BD22BC">
              <w:rPr>
                <w:rFonts w:cs="Arial"/>
                <w:sz w:val="20"/>
              </w:rPr>
              <w:t>” policymaker)</w:t>
            </w:r>
          </w:p>
        </w:tc>
        <w:tc>
          <w:tcPr>
            <w:tcW w:w="2381" w:type="dxa"/>
          </w:tcPr>
          <w:p w14:paraId="63300DEE" w14:textId="77777777" w:rsidR="00C31D91" w:rsidRPr="00BD22BC" w:rsidRDefault="00C31D91">
            <w:pPr>
              <w:keepNext/>
              <w:keepLines/>
              <w:rPr>
                <w:rFonts w:cs="Arial"/>
                <w:sz w:val="20"/>
              </w:rPr>
            </w:pPr>
            <w:r w:rsidRPr="00BD22BC">
              <w:rPr>
                <w:rFonts w:cs="Arial"/>
                <w:sz w:val="20"/>
              </w:rPr>
              <w:t xml:space="preserve">Bank of Israel, Czech National Bank </w:t>
            </w:r>
          </w:p>
        </w:tc>
      </w:tr>
      <w:tr w:rsidR="00C31D91" w:rsidRPr="00BD22BC" w14:paraId="4D67A9EC" w14:textId="77777777" w:rsidTr="0077230A">
        <w:trPr>
          <w:jc w:val="center"/>
        </w:trPr>
        <w:tc>
          <w:tcPr>
            <w:tcW w:w="1368" w:type="dxa"/>
          </w:tcPr>
          <w:p w14:paraId="3D0AFFFD" w14:textId="77777777" w:rsidR="00C31D91" w:rsidRPr="00BD22BC" w:rsidRDefault="00C31D91">
            <w:pPr>
              <w:keepNext/>
              <w:keepLines/>
              <w:rPr>
                <w:rFonts w:cs="Arial"/>
                <w:sz w:val="20"/>
              </w:rPr>
            </w:pPr>
            <w:r w:rsidRPr="00BD22BC">
              <w:rPr>
                <w:rFonts w:cs="Arial"/>
                <w:sz w:val="20"/>
              </w:rPr>
              <w:t>Bank-owned</w:t>
            </w:r>
          </w:p>
        </w:tc>
        <w:tc>
          <w:tcPr>
            <w:tcW w:w="2857" w:type="dxa"/>
          </w:tcPr>
          <w:p w14:paraId="6A0B6B64" w14:textId="77777777" w:rsidR="00C31D91" w:rsidRPr="00BD22BC" w:rsidRDefault="00C31D91">
            <w:pPr>
              <w:keepNext/>
              <w:keepLines/>
              <w:rPr>
                <w:rFonts w:cs="Arial"/>
                <w:sz w:val="20"/>
              </w:rPr>
            </w:pPr>
            <w:r w:rsidRPr="00BD22BC">
              <w:rPr>
                <w:rFonts w:cs="Arial"/>
                <w:sz w:val="20"/>
              </w:rPr>
              <w:t>Staff closely interacting with the policymaker; the forecast may have a strong technical underpinning (“model-based forecast”)</w:t>
            </w:r>
          </w:p>
        </w:tc>
        <w:tc>
          <w:tcPr>
            <w:tcW w:w="3060" w:type="dxa"/>
          </w:tcPr>
          <w:p w14:paraId="5323DD67" w14:textId="1C1B39EF" w:rsidR="00C31D91" w:rsidRPr="00BD22BC" w:rsidRDefault="2EAD40A1" w:rsidP="611A6AA4">
            <w:pPr>
              <w:keepNext/>
              <w:keepLines/>
              <w:rPr>
                <w:rFonts w:cs="Arial"/>
                <w:sz w:val="20"/>
                <w:szCs w:val="20"/>
              </w:rPr>
            </w:pPr>
            <w:r w:rsidRPr="00BD22BC">
              <w:rPr>
                <w:rFonts w:cs="Arial"/>
                <w:sz w:val="20"/>
                <w:szCs w:val="20"/>
              </w:rPr>
              <w:t>Mostly</w:t>
            </w:r>
            <w:r w:rsidR="00C31D91" w:rsidRPr="00BD22BC">
              <w:rPr>
                <w:rFonts w:cs="Arial"/>
                <w:sz w:val="20"/>
                <w:szCs w:val="20"/>
              </w:rPr>
              <w:t xml:space="preserve"> defends the collective forecast of the institution; </w:t>
            </w:r>
            <w:r w:rsidRPr="00BD22BC">
              <w:rPr>
                <w:rFonts w:cs="Arial"/>
                <w:sz w:val="20"/>
                <w:szCs w:val="20"/>
              </w:rPr>
              <w:t xml:space="preserve">little room for </w:t>
            </w:r>
            <w:r w:rsidR="00C31D91" w:rsidRPr="00BD22BC">
              <w:rPr>
                <w:rFonts w:cs="Arial"/>
                <w:sz w:val="20"/>
                <w:szCs w:val="20"/>
              </w:rPr>
              <w:t>dissent (suitable for a “</w:t>
            </w:r>
            <w:r w:rsidR="75D765BD" w:rsidRPr="00BD22BC">
              <w:rPr>
                <w:rFonts w:cs="Arial"/>
                <w:sz w:val="20"/>
                <w:szCs w:val="20"/>
              </w:rPr>
              <w:t>collegial</w:t>
            </w:r>
            <w:r w:rsidR="00C31D91" w:rsidRPr="00BD22BC">
              <w:rPr>
                <w:rFonts w:cs="Arial"/>
                <w:sz w:val="20"/>
                <w:szCs w:val="20"/>
              </w:rPr>
              <w:t>” policymaker)</w:t>
            </w:r>
          </w:p>
        </w:tc>
        <w:tc>
          <w:tcPr>
            <w:tcW w:w="2381" w:type="dxa"/>
          </w:tcPr>
          <w:p w14:paraId="21F19ED9" w14:textId="6D77BE1A" w:rsidR="00C31D91" w:rsidRPr="00BD22BC" w:rsidRDefault="00C31D91" w:rsidP="1BB63DC4">
            <w:pPr>
              <w:keepNext/>
              <w:keepLines/>
              <w:rPr>
                <w:rFonts w:cs="Arial"/>
                <w:sz w:val="20"/>
                <w:szCs w:val="20"/>
              </w:rPr>
            </w:pPr>
            <w:proofErr w:type="spellStart"/>
            <w:r w:rsidRPr="38638030">
              <w:rPr>
                <w:rFonts w:cs="Arial"/>
                <w:sz w:val="20"/>
                <w:szCs w:val="20"/>
              </w:rPr>
              <w:t>Norges</w:t>
            </w:r>
            <w:proofErr w:type="spellEnd"/>
            <w:r w:rsidRPr="38638030">
              <w:rPr>
                <w:rFonts w:cs="Arial"/>
                <w:sz w:val="20"/>
                <w:szCs w:val="20"/>
              </w:rPr>
              <w:t xml:space="preserve"> Bank</w:t>
            </w:r>
            <w:r w:rsidR="791D20F0" w:rsidRPr="38638030">
              <w:rPr>
                <w:rFonts w:cs="Arial"/>
                <w:sz w:val="20"/>
                <w:szCs w:val="20"/>
              </w:rPr>
              <w:t>, Reserve Bank of New Zealand</w:t>
            </w:r>
            <w:r w:rsidR="065EE930" w:rsidRPr="38638030">
              <w:rPr>
                <w:rFonts w:cs="Arial"/>
                <w:sz w:val="20"/>
                <w:szCs w:val="20"/>
              </w:rPr>
              <w:t>,</w:t>
            </w:r>
            <w:r w:rsidR="00035488" w:rsidRPr="38638030">
              <w:rPr>
                <w:rFonts w:cs="Arial"/>
                <w:sz w:val="20"/>
                <w:szCs w:val="20"/>
              </w:rPr>
              <w:t xml:space="preserve"> </w:t>
            </w:r>
            <w:r w:rsidR="3109F7D6" w:rsidRPr="38638030">
              <w:rPr>
                <w:rFonts w:cs="Arial"/>
                <w:sz w:val="20"/>
                <w:szCs w:val="20"/>
              </w:rPr>
              <w:t>Bank of Uganda</w:t>
            </w:r>
            <w:r w:rsidR="065EE930" w:rsidRPr="38638030">
              <w:rPr>
                <w:rFonts w:cs="Arial"/>
                <w:sz w:val="20"/>
                <w:szCs w:val="20"/>
              </w:rPr>
              <w:t xml:space="preserve"> (all 3 deciding by consensus)</w:t>
            </w:r>
            <w:r w:rsidR="3109F7D6" w:rsidRPr="38638030">
              <w:rPr>
                <w:rFonts w:cs="Arial"/>
                <w:sz w:val="20"/>
                <w:szCs w:val="20"/>
              </w:rPr>
              <w:t>,</w:t>
            </w:r>
            <w:r w:rsidR="58DBDBC5" w:rsidRPr="38638030">
              <w:rPr>
                <w:rFonts w:cs="Arial"/>
                <w:sz w:val="20"/>
                <w:szCs w:val="20"/>
              </w:rPr>
              <w:t xml:space="preserve"> The Bank of Thailand (its </w:t>
            </w:r>
            <w:r w:rsidR="000458AB" w:rsidRPr="38638030">
              <w:rPr>
                <w:sz w:val="20"/>
                <w:szCs w:val="20"/>
              </w:rPr>
              <w:t xml:space="preserve">Monetary Policy Committee </w:t>
            </w:r>
            <w:r w:rsidR="58DBDBC5" w:rsidRPr="38638030">
              <w:rPr>
                <w:rFonts w:cs="Arial"/>
                <w:sz w:val="20"/>
                <w:szCs w:val="20"/>
              </w:rPr>
              <w:t>decides by a majority vote</w:t>
            </w:r>
            <w:r w:rsidR="19F454C3" w:rsidRPr="38638030">
              <w:rPr>
                <w:rFonts w:cs="Arial"/>
                <w:sz w:val="20"/>
                <w:szCs w:val="20"/>
              </w:rPr>
              <w:t>)</w:t>
            </w:r>
          </w:p>
        </w:tc>
      </w:tr>
      <w:tr w:rsidR="00C31D91" w:rsidRPr="00BD22BC" w14:paraId="1D280AA4" w14:textId="77777777" w:rsidTr="0077230A">
        <w:trPr>
          <w:jc w:val="center"/>
        </w:trPr>
        <w:tc>
          <w:tcPr>
            <w:tcW w:w="1368" w:type="dxa"/>
          </w:tcPr>
          <w:p w14:paraId="1CEE9A54" w14:textId="77777777" w:rsidR="00C31D91" w:rsidRPr="00BD22BC" w:rsidRDefault="00C31D91">
            <w:pPr>
              <w:keepNext/>
              <w:keepLines/>
              <w:rPr>
                <w:rFonts w:cs="Arial"/>
                <w:sz w:val="20"/>
              </w:rPr>
            </w:pPr>
            <w:r w:rsidRPr="00BD22BC">
              <w:rPr>
                <w:rFonts w:cs="Arial"/>
                <w:sz w:val="20"/>
              </w:rPr>
              <w:t>Board-owned</w:t>
            </w:r>
          </w:p>
        </w:tc>
        <w:tc>
          <w:tcPr>
            <w:tcW w:w="2857" w:type="dxa"/>
          </w:tcPr>
          <w:p w14:paraId="08A348F5" w14:textId="7E31A41A" w:rsidR="00C31D91" w:rsidRPr="00BD22BC" w:rsidRDefault="00C31D91" w:rsidP="38638030">
            <w:pPr>
              <w:keepNext/>
              <w:keepLines/>
              <w:rPr>
                <w:rFonts w:cs="Arial"/>
                <w:sz w:val="20"/>
                <w:szCs w:val="20"/>
              </w:rPr>
            </w:pPr>
            <w:r w:rsidRPr="38638030">
              <w:rPr>
                <w:rFonts w:cs="Arial"/>
                <w:sz w:val="20"/>
                <w:szCs w:val="20"/>
              </w:rPr>
              <w:t xml:space="preserve">Board members design the </w:t>
            </w:r>
            <w:r w:rsidR="3B0ACA23" w:rsidRPr="38638030">
              <w:rPr>
                <w:rFonts w:cs="Arial"/>
                <w:sz w:val="20"/>
                <w:szCs w:val="20"/>
              </w:rPr>
              <w:t>forecast,</w:t>
            </w:r>
            <w:r w:rsidRPr="38638030">
              <w:rPr>
                <w:rFonts w:cs="Arial"/>
                <w:sz w:val="20"/>
                <w:szCs w:val="20"/>
              </w:rPr>
              <w:t xml:space="preserve"> and the staff provide technical support; the </w:t>
            </w:r>
            <w:r w:rsidR="00412884" w:rsidRPr="38638030">
              <w:rPr>
                <w:rFonts w:cs="Arial"/>
                <w:sz w:val="20"/>
                <w:szCs w:val="20"/>
              </w:rPr>
              <w:t>b</w:t>
            </w:r>
            <w:r w:rsidRPr="38638030">
              <w:rPr>
                <w:rFonts w:cs="Arial"/>
                <w:sz w:val="20"/>
                <w:szCs w:val="20"/>
              </w:rPr>
              <w:t>oard members may ask for preparation of more than one baseline forecast; the technical underpinning is typically less important than in the staff-owned forecast</w:t>
            </w:r>
          </w:p>
        </w:tc>
        <w:tc>
          <w:tcPr>
            <w:tcW w:w="3060" w:type="dxa"/>
          </w:tcPr>
          <w:p w14:paraId="7B329A92" w14:textId="4F51968F" w:rsidR="00C31D91" w:rsidRPr="00BD22BC" w:rsidRDefault="00CC0128">
            <w:pPr>
              <w:keepNext/>
              <w:keepLines/>
              <w:rPr>
                <w:rFonts w:cs="Arial"/>
                <w:sz w:val="20"/>
              </w:rPr>
            </w:pPr>
            <w:r w:rsidRPr="00BD22BC">
              <w:rPr>
                <w:rFonts w:cs="Arial"/>
                <w:sz w:val="20"/>
              </w:rPr>
              <w:t xml:space="preserve">Policymaker </w:t>
            </w:r>
            <w:r w:rsidR="00C31D91" w:rsidRPr="00BD22BC">
              <w:rPr>
                <w:rFonts w:cs="Arial"/>
                <w:sz w:val="20"/>
              </w:rPr>
              <w:t>defends only her individual forecast; dissent communicated through minutes and interviews (suitable for a “</w:t>
            </w:r>
            <w:r w:rsidR="00C4107D" w:rsidRPr="00BD22BC">
              <w:rPr>
                <w:rFonts w:cs="Arial"/>
                <w:sz w:val="20"/>
              </w:rPr>
              <w:t>individualistic</w:t>
            </w:r>
            <w:r w:rsidR="00C31D91" w:rsidRPr="00BD22BC">
              <w:rPr>
                <w:rFonts w:cs="Arial"/>
                <w:sz w:val="20"/>
              </w:rPr>
              <w:t>” policymaker)</w:t>
            </w:r>
          </w:p>
        </w:tc>
        <w:tc>
          <w:tcPr>
            <w:tcW w:w="2381" w:type="dxa"/>
          </w:tcPr>
          <w:p w14:paraId="5F60BC63" w14:textId="007D6D5B" w:rsidR="00C31D91" w:rsidRPr="00BD22BC" w:rsidRDefault="6FE12B47" w:rsidP="611A6AA4">
            <w:pPr>
              <w:keepNext/>
              <w:keepLines/>
              <w:rPr>
                <w:rFonts w:cs="Arial"/>
                <w:sz w:val="20"/>
                <w:szCs w:val="20"/>
              </w:rPr>
            </w:pPr>
            <w:r w:rsidRPr="00BD22BC">
              <w:rPr>
                <w:rFonts w:cs="Arial"/>
                <w:sz w:val="20"/>
                <w:szCs w:val="20"/>
              </w:rPr>
              <w:t xml:space="preserve">Bank of England, </w:t>
            </w:r>
            <w:proofErr w:type="spellStart"/>
            <w:r w:rsidR="00C31D91" w:rsidRPr="00BD22BC">
              <w:rPr>
                <w:rFonts w:cs="Arial"/>
                <w:sz w:val="20"/>
                <w:szCs w:val="20"/>
              </w:rPr>
              <w:t>Riksbank</w:t>
            </w:r>
            <w:proofErr w:type="spellEnd"/>
          </w:p>
        </w:tc>
      </w:tr>
    </w:tbl>
    <w:p w14:paraId="242D05E7" w14:textId="77777777" w:rsidR="00C31D91" w:rsidRPr="00BD22BC" w:rsidRDefault="00C31D91" w:rsidP="00C31D91">
      <w:pPr>
        <w:pStyle w:val="ListParagraph"/>
        <w:ind w:left="0"/>
      </w:pPr>
    </w:p>
    <w:p w14:paraId="7E7374A7" w14:textId="2825DBC0" w:rsidR="00F44351" w:rsidRPr="00BD22BC" w:rsidRDefault="00F44351" w:rsidP="00F44351">
      <w:pPr>
        <w:rPr>
          <w:b/>
          <w:bCs/>
        </w:rPr>
      </w:pPr>
      <w:r w:rsidRPr="00BD22BC">
        <w:rPr>
          <w:b/>
          <w:bCs/>
        </w:rPr>
        <w:t>Consequences for policy communication</w:t>
      </w:r>
    </w:p>
    <w:p w14:paraId="7FC0EE06" w14:textId="77777777" w:rsidR="00F44351" w:rsidRPr="00BD22BC" w:rsidRDefault="00F44351" w:rsidP="00C31D91">
      <w:pPr>
        <w:pStyle w:val="ListParagraph"/>
        <w:ind w:left="0"/>
      </w:pPr>
    </w:p>
    <w:p w14:paraId="6A87A4EB" w14:textId="77777777" w:rsidR="00F73E68" w:rsidRPr="00BD22BC" w:rsidRDefault="0097312C" w:rsidP="00DE5773">
      <w:pPr>
        <w:pStyle w:val="ListParagraph"/>
        <w:ind w:left="0"/>
      </w:pPr>
      <w:r w:rsidRPr="00BD22BC">
        <w:t xml:space="preserve">The forecast and policy analyses give guidance on policy and provide the necessary content to develop a policy narrative for external communication by an institution and its policymakers. </w:t>
      </w:r>
    </w:p>
    <w:p w14:paraId="38CB9032" w14:textId="77777777" w:rsidR="00F73E68" w:rsidRPr="00BD22BC" w:rsidRDefault="00F73E68" w:rsidP="00DE5773">
      <w:pPr>
        <w:pStyle w:val="ListParagraph"/>
        <w:ind w:left="0"/>
      </w:pPr>
    </w:p>
    <w:p w14:paraId="4EDC674F" w14:textId="4E25AF9C" w:rsidR="007D6175" w:rsidRPr="00BD22BC" w:rsidRDefault="00C33B51" w:rsidP="00FC2222">
      <w:r>
        <w:t>F</w:t>
      </w:r>
      <w:r w:rsidR="00DE5773">
        <w:t>orecast ownership pre-determines the</w:t>
      </w:r>
      <w:r w:rsidR="0034065C">
        <w:t xml:space="preserve"> communications behavior of </w:t>
      </w:r>
      <w:r w:rsidR="003F0B86">
        <w:t>policymakers and</w:t>
      </w:r>
      <w:r w:rsidR="0034065C">
        <w:t xml:space="preserve"> </w:t>
      </w:r>
      <w:r w:rsidR="005C4F57">
        <w:t xml:space="preserve">requires </w:t>
      </w:r>
      <w:r w:rsidR="0034065C">
        <w:t>an institution to adopt specific guidelines for policymakers’ public engagement.</w:t>
      </w:r>
      <w:r w:rsidR="0097312C">
        <w:t xml:space="preserve"> The more institutional the forecast is (i.e., “bank-owned”), the less freedom is granted to policymakers to </w:t>
      </w:r>
      <w:r w:rsidR="00214337">
        <w:t xml:space="preserve">publicly </w:t>
      </w:r>
      <w:r w:rsidR="0097312C">
        <w:t xml:space="preserve">express their individual views of an economy’s future </w:t>
      </w:r>
      <w:r w:rsidR="007D6175">
        <w:t>course</w:t>
      </w:r>
      <w:r w:rsidR="0097312C">
        <w:t xml:space="preserve"> </w:t>
      </w:r>
      <w:r w:rsidR="00F94327" w:rsidRPr="38638030">
        <w:rPr>
          <w:i/>
          <w:iCs/>
        </w:rPr>
        <w:t>(</w:t>
      </w:r>
      <w:r w:rsidR="00F73E68" w:rsidRPr="38638030">
        <w:rPr>
          <w:i/>
          <w:iCs/>
        </w:rPr>
        <w:t xml:space="preserve">See </w:t>
      </w:r>
      <w:r w:rsidR="00F73E68">
        <w:t xml:space="preserve">"Effective monetary policy committee deliberation in New Zealand", RBNZ Bulletin, Vol. 82, No. 1 April 2019. Available at </w:t>
      </w:r>
      <w:hyperlink r:id="rId21">
        <w:r w:rsidR="00F73E68" w:rsidRPr="38638030">
          <w:rPr>
            <w:rStyle w:val="Hyperlink"/>
          </w:rPr>
          <w:t>https://www.rbnz.govt.nz/-/media/project/sites/rbnz/files/publications/bulletins/2019/rbb2019-82-01.pdf</w:t>
        </w:r>
      </w:hyperlink>
      <w:r w:rsidR="00F94327">
        <w:t>).</w:t>
      </w:r>
    </w:p>
    <w:p w14:paraId="74F340E3" w14:textId="77777777" w:rsidR="007D6175" w:rsidRPr="00BD22BC" w:rsidRDefault="007D6175" w:rsidP="00DE5773">
      <w:pPr>
        <w:pStyle w:val="ListParagraph"/>
        <w:ind w:left="0"/>
      </w:pPr>
    </w:p>
    <w:p w14:paraId="281AF82A" w14:textId="181B0A7F" w:rsidR="00C84890" w:rsidRPr="00BD22BC" w:rsidRDefault="00C84890" w:rsidP="00B01013">
      <w:pPr>
        <w:pStyle w:val="ListParagraph"/>
        <w:ind w:left="0"/>
      </w:pPr>
      <w:r>
        <w:t xml:space="preserve">Thanks to the publication of macroeconomic forecasts, and policymakers’ communication about them, private analysts tend to coordinate their own forecasts via central bank forecasts. </w:t>
      </w:r>
      <w:r w:rsidR="0097312C">
        <w:t xml:space="preserve">Empirical evidence </w:t>
      </w:r>
      <w:r w:rsidR="007D6175">
        <w:t xml:space="preserve">supports </w:t>
      </w:r>
      <w:r>
        <w:t xml:space="preserve">this </w:t>
      </w:r>
      <w:r w:rsidR="007D6175">
        <w:t>idea</w:t>
      </w:r>
      <w:r w:rsidR="00B06910">
        <w:t>,</w:t>
      </w:r>
      <w:r w:rsidR="007D6175">
        <w:t xml:space="preserve"> that</w:t>
      </w:r>
      <w:r w:rsidR="0097312C">
        <w:t xml:space="preserve"> central bank forecasts </w:t>
      </w:r>
      <w:r w:rsidR="77B3677C">
        <w:t>coordinate</w:t>
      </w:r>
      <w:r w:rsidR="0097312C">
        <w:t xml:space="preserve"> the forecasts of private agents</w:t>
      </w:r>
      <w:r>
        <w:t>, particularly those of central bank watchers, such as private sector analysts</w:t>
      </w:r>
      <w:r w:rsidR="007D6175">
        <w:t xml:space="preserve"> (</w:t>
      </w:r>
      <w:r w:rsidR="00AE7139" w:rsidRPr="38638030">
        <w:rPr>
          <w:i/>
          <w:iCs/>
        </w:rPr>
        <w:t>See</w:t>
      </w:r>
      <w:r w:rsidR="00AE7139">
        <w:t xml:space="preserve"> </w:t>
      </w:r>
      <w:r w:rsidR="00412884">
        <w:t xml:space="preserve">J. </w:t>
      </w:r>
      <w:proofErr w:type="spellStart"/>
      <w:r w:rsidR="00AE7139">
        <w:t>Filáček</w:t>
      </w:r>
      <w:proofErr w:type="spellEnd"/>
      <w:r w:rsidR="00412884">
        <w:t xml:space="preserve"> and B.</w:t>
      </w:r>
      <w:r w:rsidR="00AE7139">
        <w:t xml:space="preserve"> </w:t>
      </w:r>
      <w:proofErr w:type="spellStart"/>
      <w:r w:rsidR="00AE7139">
        <w:t>Saxa</w:t>
      </w:r>
      <w:proofErr w:type="spellEnd"/>
      <w:r w:rsidR="00AE7139">
        <w:t>. (2012): </w:t>
      </w:r>
      <w:hyperlink r:id="rId22">
        <w:r w:rsidR="00AE7139" w:rsidRPr="38638030">
          <w:rPr>
            <w:rStyle w:val="Hyperlink"/>
          </w:rPr>
          <w:t>Central Bank Forecasts as a Coordination Device: Evidence from the Czech Republic</w:t>
        </w:r>
      </w:hyperlink>
      <w:r w:rsidR="00AE7139">
        <w:t>. Czech Economic Review. Available at https://www.cnb.cz/en/economic-research/research-publications/cnb-working-paper-series/Central-Bank-Forecasts-as-a-Coordination-Device-00001</w:t>
      </w:r>
      <w:r w:rsidR="007D6175">
        <w:t>)</w:t>
      </w:r>
      <w:r w:rsidR="00B01013">
        <w:t xml:space="preserve">. </w:t>
      </w:r>
    </w:p>
    <w:p w14:paraId="6835335F" w14:textId="77777777" w:rsidR="00C84890" w:rsidRPr="00BD22BC" w:rsidRDefault="00C84890" w:rsidP="00B01013">
      <w:pPr>
        <w:pStyle w:val="ListParagraph"/>
        <w:ind w:left="0"/>
      </w:pPr>
    </w:p>
    <w:p w14:paraId="57644B1D" w14:textId="0F61CC7F" w:rsidR="002C103A" w:rsidRPr="00BD22BC" w:rsidRDefault="002C103A" w:rsidP="002C103A">
      <w:pPr>
        <w:pStyle w:val="ListParagraph"/>
        <w:ind w:left="0"/>
      </w:pPr>
      <w:r>
        <w:t xml:space="preserve">As an expression of an institution’s transparency, it is useful to explain the staff-to-policymaker interactions publicly in </w:t>
      </w:r>
      <w:r w:rsidR="00412884">
        <w:t>m</w:t>
      </w:r>
      <w:r>
        <w:t xml:space="preserve">onetary </w:t>
      </w:r>
      <w:r w:rsidR="00412884">
        <w:t>p</w:t>
      </w:r>
      <w:r>
        <w:t xml:space="preserve">olicy </w:t>
      </w:r>
      <w:r w:rsidR="00412884">
        <w:t>r</w:t>
      </w:r>
      <w:r>
        <w:t>eports and on the official website.</w:t>
      </w:r>
    </w:p>
    <w:p w14:paraId="2898754A" w14:textId="77777777" w:rsidR="002C103A" w:rsidRPr="00BD22BC" w:rsidRDefault="002C103A" w:rsidP="00B01013">
      <w:pPr>
        <w:pStyle w:val="ListParagraph"/>
        <w:ind w:left="0"/>
      </w:pPr>
    </w:p>
    <w:p w14:paraId="0597E8F9" w14:textId="3E0E809D" w:rsidR="00AE7139" w:rsidRPr="00BD22BC" w:rsidRDefault="00B01013" w:rsidP="00B01013">
      <w:pPr>
        <w:pStyle w:val="ListParagraph"/>
        <w:ind w:left="0"/>
      </w:pPr>
      <w:r>
        <w:lastRenderedPageBreak/>
        <w:t xml:space="preserve">In the case of the Czech National Bank (CNB), </w:t>
      </w:r>
      <w:r w:rsidR="00C84890">
        <w:t>policy Board members are free to publicly express their individual reservations vis-à-vis the published “staff-owned” forecasts</w:t>
      </w:r>
      <w:r w:rsidR="00AE7139">
        <w:t>, including their alternative view of the staff-forecast interest rate trajectory (the CNB is one central bank that publish</w:t>
      </w:r>
      <w:r w:rsidR="00412884">
        <w:t>es</w:t>
      </w:r>
      <w:r w:rsidR="00AE7139">
        <w:t xml:space="preserve"> an </w:t>
      </w:r>
      <w:r w:rsidR="0010091D">
        <w:t xml:space="preserve">endogenous </w:t>
      </w:r>
      <w:r w:rsidR="00AE7139">
        <w:t>interest rate path embedded in its macroeconomic projections)</w:t>
      </w:r>
      <w:r w:rsidR="00C84890">
        <w:t xml:space="preserve">. </w:t>
      </w:r>
    </w:p>
    <w:p w14:paraId="0AF08649" w14:textId="77777777" w:rsidR="00AE7139" w:rsidRPr="00BD22BC" w:rsidRDefault="00AE7139" w:rsidP="00B01013">
      <w:pPr>
        <w:pStyle w:val="ListParagraph"/>
        <w:ind w:left="0"/>
      </w:pPr>
    </w:p>
    <w:p w14:paraId="3D7FAA06" w14:textId="5FB4CB80" w:rsidR="00035D02" w:rsidRPr="00BD22BC" w:rsidRDefault="00C84890" w:rsidP="00EB2491">
      <w:pPr>
        <w:pStyle w:val="ListParagraph"/>
        <w:ind w:left="0"/>
      </w:pPr>
      <w:r>
        <w:t xml:space="preserve">The </w:t>
      </w:r>
      <w:r w:rsidR="00035D02">
        <w:t xml:space="preserve">publication </w:t>
      </w:r>
      <w:r w:rsidR="00B01013">
        <w:t xml:space="preserve">of the </w:t>
      </w:r>
      <w:r>
        <w:t xml:space="preserve">CNB’s </w:t>
      </w:r>
      <w:r w:rsidR="00C712A8">
        <w:t xml:space="preserve">endogenous </w:t>
      </w:r>
      <w:r w:rsidR="00B01013">
        <w:t xml:space="preserve">interest rate forecast was found to </w:t>
      </w:r>
      <w:r w:rsidR="00FE33C6">
        <w:t xml:space="preserve">have </w:t>
      </w:r>
      <w:r w:rsidR="00035D02">
        <w:t>reduce</w:t>
      </w:r>
      <w:r w:rsidR="00FE33C6">
        <w:t>d</w:t>
      </w:r>
      <w:r w:rsidR="00035D02">
        <w:t xml:space="preserve"> the uncertainty of private forecasts</w:t>
      </w:r>
      <w:r w:rsidR="00B01013">
        <w:t xml:space="preserve">, which along with </w:t>
      </w:r>
      <w:r w:rsidR="007F5375">
        <w:t xml:space="preserve">routine </w:t>
      </w:r>
      <w:r w:rsidR="00035D02">
        <w:t>communication has supported the coordination of private forecasters in the case of inflation</w:t>
      </w:r>
      <w:r w:rsidR="00B01013">
        <w:t xml:space="preserve">. The </w:t>
      </w:r>
      <w:r w:rsidR="00DE5773">
        <w:t xml:space="preserve">forecast for inflation </w:t>
      </w:r>
      <w:r w:rsidR="00B01013">
        <w:t xml:space="preserve">was, </w:t>
      </w:r>
      <w:r w:rsidR="12BEF7F7">
        <w:t>predictably</w:t>
      </w:r>
      <w:r w:rsidR="00B01013">
        <w:t xml:space="preserve">, considered </w:t>
      </w:r>
      <w:r w:rsidR="00DE5773">
        <w:t>sensitive to the risk assessment made</w:t>
      </w:r>
      <w:r w:rsidR="00B01013">
        <w:t xml:space="preserve"> publicly by policymakers on the CNB’s Board.</w:t>
      </w:r>
      <w:r>
        <w:t xml:space="preserve"> </w:t>
      </w:r>
      <w:r w:rsidR="00F759AF">
        <w:t>S</w:t>
      </w:r>
      <w:r w:rsidR="00B01013">
        <w:t>ince the Board votes individually, each member</w:t>
      </w:r>
      <w:r w:rsidR="00412884">
        <w:t>’</w:t>
      </w:r>
      <w:r w:rsidR="00B01013">
        <w:t>s public pronouncement is watched closely and may become a market-moving event.</w:t>
      </w:r>
    </w:p>
    <w:p w14:paraId="1A05E6A8" w14:textId="3DA26CE1" w:rsidR="0061487B" w:rsidRPr="00BD22BC" w:rsidRDefault="0061487B" w:rsidP="00C31D91">
      <w:pPr>
        <w:pStyle w:val="ListParagraph"/>
        <w:ind w:left="0"/>
      </w:pPr>
    </w:p>
    <w:p w14:paraId="4CF46B03" w14:textId="77777777" w:rsidR="00C31D91" w:rsidRPr="00BD22BC" w:rsidRDefault="00C31D91" w:rsidP="00C31D91">
      <w:pPr>
        <w:rPr>
          <w:rFonts w:eastAsia="Arial" w:cs="Arial"/>
          <w:szCs w:val="22"/>
        </w:rPr>
      </w:pPr>
      <w:r w:rsidRPr="00BD22BC">
        <w:rPr>
          <w:rFonts w:eastAsia="Arial" w:cs="Arial"/>
          <w:b/>
          <w:bCs/>
          <w:color w:val="000000" w:themeColor="text1"/>
          <w:szCs w:val="22"/>
          <w:highlight w:val="yellow"/>
        </w:rPr>
        <w:t>&lt;END OF PDF&gt;</w:t>
      </w:r>
    </w:p>
    <w:p w14:paraId="57BA1DD7" w14:textId="77777777" w:rsidR="00C31D91" w:rsidRPr="00BD22BC" w:rsidRDefault="00C31D91" w:rsidP="00C31D91">
      <w:pPr>
        <w:pBdr>
          <w:bottom w:val="single" w:sz="6" w:space="1" w:color="auto"/>
        </w:pBdr>
        <w:rPr>
          <w:b/>
          <w:bCs/>
        </w:rPr>
      </w:pPr>
    </w:p>
    <w:p w14:paraId="1C0C822E" w14:textId="77777777" w:rsidR="00C31D91" w:rsidRPr="00BD22BC" w:rsidRDefault="00C31D91" w:rsidP="6EEC262A"/>
    <w:p w14:paraId="6E8F44EC" w14:textId="07112926" w:rsidR="3F38A383" w:rsidRPr="00BD22BC" w:rsidRDefault="333581D6" w:rsidP="6EEC262A">
      <w:pPr>
        <w:pStyle w:val="Heading2"/>
      </w:pPr>
      <w:bookmarkStart w:id="58" w:name="_Toc1743901479"/>
      <w:r w:rsidRPr="7EEFCAA8">
        <w:rPr>
          <w:highlight w:val="yellow"/>
        </w:rPr>
        <w:t xml:space="preserve">UNIT </w:t>
      </w:r>
      <w:r w:rsidR="4F34885C" w:rsidRPr="7EEFCAA8">
        <w:rPr>
          <w:highlight w:val="yellow"/>
        </w:rPr>
        <w:t>2</w:t>
      </w:r>
      <w:r w:rsidRPr="7EEFCAA8">
        <w:rPr>
          <w:highlight w:val="yellow"/>
        </w:rPr>
        <w:t>.</w:t>
      </w:r>
      <w:r w:rsidR="00C31D91" w:rsidRPr="7EEFCAA8">
        <w:rPr>
          <w:highlight w:val="yellow"/>
        </w:rPr>
        <w:t>3</w:t>
      </w:r>
      <w:r>
        <w:t xml:space="preserve">: </w:t>
      </w:r>
      <w:r w:rsidR="3BB0228D">
        <w:t xml:space="preserve">Communication Routines: </w:t>
      </w:r>
      <w:r w:rsidR="4F34885C">
        <w:t>“Drip feed” vs “</w:t>
      </w:r>
      <w:r w:rsidR="6CD4E8CA">
        <w:t>D</w:t>
      </w:r>
      <w:r w:rsidR="4F34885C">
        <w:t>ump all”</w:t>
      </w:r>
      <w:bookmarkEnd w:id="58"/>
    </w:p>
    <w:p w14:paraId="08A0CDDC" w14:textId="77777777" w:rsidR="00FC2222" w:rsidRPr="00BD22BC" w:rsidRDefault="00FC2222" w:rsidP="00441EB1">
      <w:bookmarkStart w:id="59" w:name="_Hlk169551574"/>
    </w:p>
    <w:p w14:paraId="7584A329" w14:textId="62C4E28A" w:rsidR="00441EB1" w:rsidRPr="00BD22BC" w:rsidRDefault="00441EB1" w:rsidP="00441EB1">
      <w:r w:rsidRPr="00BD22BC">
        <w:t xml:space="preserve">When pursuing their communication routines, central banks </w:t>
      </w:r>
      <w:r w:rsidR="00641B2B" w:rsidRPr="00BD22BC">
        <w:t xml:space="preserve">tend to </w:t>
      </w:r>
      <w:r w:rsidRPr="00BD22BC">
        <w:t>follow one of two distinct approaches.</w:t>
      </w:r>
    </w:p>
    <w:p w14:paraId="7C744DA2" w14:textId="77777777" w:rsidR="00441EB1" w:rsidRPr="00BD22BC" w:rsidRDefault="00441EB1" w:rsidP="00441EB1"/>
    <w:p w14:paraId="447BF8D3" w14:textId="2B40D8B2" w:rsidR="00441EB1" w:rsidRPr="00BD22BC" w:rsidRDefault="00441EB1" w:rsidP="00441EB1">
      <w:r>
        <w:t>One approach is to provide a “drip feed” of information.</w:t>
      </w:r>
      <w:r w:rsidR="00E76EAC">
        <w:t xml:space="preserve"> </w:t>
      </w:r>
      <w:r>
        <w:t>This means</w:t>
      </w:r>
      <w:r w:rsidR="005420AB">
        <w:t xml:space="preserve"> first</w:t>
      </w:r>
      <w:r>
        <w:t xml:space="preserve"> </w:t>
      </w:r>
      <w:r w:rsidR="00AE7139">
        <w:t>publishing a policy decision and</w:t>
      </w:r>
      <w:r w:rsidR="005420AB">
        <w:t xml:space="preserve"> headline economic rationale</w:t>
      </w:r>
      <w:r w:rsidR="00412884" w:rsidRPr="38638030">
        <w:rPr>
          <w:rFonts w:cs="Arial"/>
        </w:rPr>
        <w:t>—</w:t>
      </w:r>
      <w:r w:rsidR="005420AB">
        <w:t xml:space="preserve">and then </w:t>
      </w:r>
      <w:r>
        <w:t>releasing more detail and background over time after a</w:t>
      </w:r>
      <w:r w:rsidR="005420AB">
        <w:t>n initial</w:t>
      </w:r>
      <w:r>
        <w:t xml:space="preserve"> decision announcement</w:t>
      </w:r>
      <w:r w:rsidR="00E76EAC">
        <w:t xml:space="preserve">, usually </w:t>
      </w:r>
      <w:r w:rsidR="005420AB">
        <w:t>over</w:t>
      </w:r>
      <w:r w:rsidR="00E76EAC">
        <w:t xml:space="preserve"> a period of one or more weeks</w:t>
      </w:r>
      <w:r>
        <w:t>.</w:t>
      </w:r>
    </w:p>
    <w:p w14:paraId="630599C8" w14:textId="77777777" w:rsidR="00441EB1" w:rsidRPr="00BD22BC" w:rsidRDefault="00441EB1" w:rsidP="00441EB1"/>
    <w:p w14:paraId="36FC5734" w14:textId="7FBEE091" w:rsidR="00441EB1" w:rsidRPr="00BD22BC" w:rsidRDefault="00441EB1" w:rsidP="00441EB1">
      <w:r w:rsidRPr="00BD22BC">
        <w:t>The other approach is to “dump all” information at once.</w:t>
      </w:r>
      <w:r w:rsidR="00E76EAC" w:rsidRPr="00BD22BC">
        <w:t xml:space="preserve"> </w:t>
      </w:r>
      <w:r w:rsidRPr="00BD22BC">
        <w:t>This involves providing all necessary detail</w:t>
      </w:r>
      <w:r w:rsidR="74482FDF" w:rsidRPr="00BD22BC">
        <w:t>s</w:t>
      </w:r>
      <w:r w:rsidR="00AA430D" w:rsidRPr="00BD22BC">
        <w:t>, including the policy report,</w:t>
      </w:r>
      <w:r w:rsidRPr="00BD22BC">
        <w:t xml:space="preserve"> and </w:t>
      </w:r>
      <w:r w:rsidR="00AA430D" w:rsidRPr="00BD22BC">
        <w:t xml:space="preserve">all </w:t>
      </w:r>
      <w:r w:rsidRPr="00BD22BC">
        <w:t>background</w:t>
      </w:r>
      <w:r w:rsidR="00AA430D" w:rsidRPr="00BD22BC">
        <w:t xml:space="preserve"> material</w:t>
      </w:r>
      <w:r w:rsidRPr="00BD22BC">
        <w:t xml:space="preserve"> in </w:t>
      </w:r>
      <w:r w:rsidR="005420AB" w:rsidRPr="00BD22BC">
        <w:t xml:space="preserve">one, all-encompassing, </w:t>
      </w:r>
      <w:r w:rsidRPr="00BD22BC">
        <w:t>“big bang” policy announcement.</w:t>
      </w:r>
    </w:p>
    <w:p w14:paraId="09AA4953" w14:textId="77777777" w:rsidR="00441EB1" w:rsidRPr="00BD22BC" w:rsidRDefault="00441EB1" w:rsidP="00441EB1"/>
    <w:p w14:paraId="54605F45" w14:textId="6A4A1F4E" w:rsidR="00B329C0" w:rsidRPr="00BD22BC" w:rsidRDefault="00B329C0" w:rsidP="00B329C0">
      <w:r>
        <w:t>Leading inflation-oriented central banks use either of the</w:t>
      </w:r>
      <w:r w:rsidR="00992E9C">
        <w:t>se</w:t>
      </w:r>
      <w:r>
        <w:t xml:space="preserve"> two communication approaches. </w:t>
      </w:r>
      <w:r w:rsidR="00576CA1">
        <w:t>For example, t</w:t>
      </w:r>
      <w:r w:rsidR="00A823EF">
        <w:t>he European Central Bank, the Czech National Bank</w:t>
      </w:r>
      <w:r w:rsidR="00412884">
        <w:t>,</w:t>
      </w:r>
      <w:r w:rsidR="00A823EF">
        <w:t xml:space="preserve"> and the Reserve Bank of Australia belong to the “drip feeders”, while the Bank of England</w:t>
      </w:r>
      <w:r w:rsidR="00576CA1">
        <w:t xml:space="preserve"> or </w:t>
      </w:r>
      <w:r w:rsidR="00A823EF">
        <w:t>the Bank of Canada</w:t>
      </w:r>
      <w:r w:rsidR="00D53FF7">
        <w:t xml:space="preserve"> can be categorized as “dump all” practitioners</w:t>
      </w:r>
      <w:r w:rsidR="00576CA1">
        <w:t>.</w:t>
      </w:r>
      <w:r w:rsidR="00D53FF7">
        <w:t xml:space="preserve"> </w:t>
      </w:r>
    </w:p>
    <w:p w14:paraId="2BE09E71" w14:textId="77777777" w:rsidR="008D3AEE" w:rsidRPr="00BD22BC" w:rsidRDefault="008D3AEE" w:rsidP="008D3AEE"/>
    <w:p w14:paraId="632B314A" w14:textId="77777777" w:rsidR="008D3AEE" w:rsidRDefault="008D3AEE" w:rsidP="008D3AEE">
      <w:r>
        <w:t>The following table provides a summary of communication tactics of leading inflation-oriented central banks:</w:t>
      </w:r>
    </w:p>
    <w:p w14:paraId="0D437DBE" w14:textId="77777777" w:rsidR="000E356C" w:rsidRDefault="000E356C" w:rsidP="000E356C">
      <w:pPr>
        <w:rPr>
          <w:b/>
          <w:bCs/>
          <w:highlight w:val="yellow"/>
        </w:rPr>
      </w:pPr>
    </w:p>
    <w:p w14:paraId="24B7D25D" w14:textId="314F9A24" w:rsidR="000E356C" w:rsidRPr="00BD22BC" w:rsidRDefault="000E356C" w:rsidP="008D3AEE">
      <w:r w:rsidRPr="38638030">
        <w:rPr>
          <w:b/>
          <w:bCs/>
          <w:highlight w:val="yellow"/>
        </w:rPr>
        <w:t>&lt;</w:t>
      </w:r>
      <w:r>
        <w:rPr>
          <w:b/>
          <w:bCs/>
          <w:highlight w:val="yellow"/>
        </w:rPr>
        <w:t xml:space="preserve">Asset 4.2.3_Table_communication </w:t>
      </w:r>
      <w:r w:rsidR="00015404">
        <w:rPr>
          <w:b/>
          <w:bCs/>
          <w:highlight w:val="yellow"/>
        </w:rPr>
        <w:t>tactics</w:t>
      </w:r>
      <w:r w:rsidRPr="38638030">
        <w:rPr>
          <w:b/>
          <w:bCs/>
          <w:highlight w:val="yellow"/>
        </w:rPr>
        <w:t>&gt;</w:t>
      </w:r>
    </w:p>
    <w:tbl>
      <w:tblPr>
        <w:tblStyle w:val="TableGrid"/>
        <w:tblpPr w:leftFromText="180" w:rightFromText="180" w:vertAnchor="text" w:horzAnchor="margin" w:tblpY="198"/>
        <w:tblOverlap w:val="never"/>
        <w:tblW w:w="9985" w:type="dxa"/>
        <w:tblLayout w:type="fixed"/>
        <w:tblLook w:val="04A0" w:firstRow="1" w:lastRow="0" w:firstColumn="1" w:lastColumn="0" w:noHBand="0" w:noVBand="1"/>
      </w:tblPr>
      <w:tblGrid>
        <w:gridCol w:w="1885"/>
        <w:gridCol w:w="1938"/>
        <w:gridCol w:w="2202"/>
        <w:gridCol w:w="1980"/>
        <w:gridCol w:w="1980"/>
      </w:tblGrid>
      <w:tr w:rsidR="008D3AEE" w:rsidRPr="00BD22BC" w14:paraId="43833B48" w14:textId="77777777" w:rsidTr="38638030">
        <w:trPr>
          <w:trHeight w:val="1255"/>
        </w:trPr>
        <w:tc>
          <w:tcPr>
            <w:tcW w:w="1885" w:type="dxa"/>
            <w:hideMark/>
          </w:tcPr>
          <w:p w14:paraId="0B0EC55E" w14:textId="77777777" w:rsidR="008D3AEE" w:rsidRPr="00BD22BC" w:rsidRDefault="008D3AEE" w:rsidP="008A2385">
            <w:pPr>
              <w:spacing w:line="240" w:lineRule="auto"/>
              <w:ind w:left="-746"/>
              <w:rPr>
                <w:rFonts w:eastAsia="Times New Roman"/>
                <w:szCs w:val="22"/>
              </w:rPr>
            </w:pPr>
          </w:p>
        </w:tc>
        <w:tc>
          <w:tcPr>
            <w:tcW w:w="1938" w:type="dxa"/>
            <w:hideMark/>
          </w:tcPr>
          <w:p w14:paraId="50B666B0" w14:textId="6D7CE2AA" w:rsidR="008D3AEE" w:rsidRPr="00BD22BC" w:rsidRDefault="008D3AEE" w:rsidP="38638030">
            <w:pPr>
              <w:spacing w:line="240" w:lineRule="auto"/>
              <w:jc w:val="center"/>
              <w:rPr>
                <w:rFonts w:eastAsia="Times New Roman"/>
                <w:b/>
                <w:bCs/>
                <w:color w:val="000000"/>
              </w:rPr>
            </w:pPr>
            <w:r w:rsidRPr="38638030">
              <w:rPr>
                <w:rFonts w:eastAsia="Times New Roman"/>
                <w:b/>
                <w:bCs/>
                <w:color w:val="000000" w:themeColor="text1"/>
              </w:rPr>
              <w:t xml:space="preserve">Monetary Policy Statement: Publication on the </w:t>
            </w:r>
            <w:r w:rsidR="00412884" w:rsidRPr="38638030">
              <w:rPr>
                <w:rFonts w:eastAsia="Times New Roman"/>
                <w:b/>
                <w:bCs/>
                <w:color w:val="000000" w:themeColor="text1"/>
              </w:rPr>
              <w:t xml:space="preserve">Day </w:t>
            </w:r>
            <w:r w:rsidRPr="38638030">
              <w:rPr>
                <w:rFonts w:eastAsia="Times New Roman"/>
                <w:b/>
                <w:bCs/>
                <w:color w:val="000000" w:themeColor="text1"/>
              </w:rPr>
              <w:t xml:space="preserve">of </w:t>
            </w:r>
            <w:r w:rsidR="00412884" w:rsidRPr="38638030">
              <w:rPr>
                <w:rFonts w:eastAsia="Times New Roman"/>
                <w:b/>
                <w:bCs/>
                <w:color w:val="000000" w:themeColor="text1"/>
              </w:rPr>
              <w:t>Monetary Policy Decision</w:t>
            </w:r>
          </w:p>
        </w:tc>
        <w:tc>
          <w:tcPr>
            <w:tcW w:w="2202" w:type="dxa"/>
            <w:hideMark/>
          </w:tcPr>
          <w:p w14:paraId="008E48FB" w14:textId="77777777" w:rsidR="008D3AEE" w:rsidRPr="00BD22BC" w:rsidRDefault="008D3AEE" w:rsidP="008A2385">
            <w:pPr>
              <w:spacing w:line="240" w:lineRule="auto"/>
              <w:jc w:val="center"/>
              <w:rPr>
                <w:rFonts w:eastAsia="Times New Roman"/>
                <w:b/>
                <w:bCs/>
                <w:color w:val="000000"/>
                <w:szCs w:val="22"/>
              </w:rPr>
            </w:pPr>
            <w:r w:rsidRPr="00BD22BC">
              <w:rPr>
                <w:rFonts w:eastAsia="Times New Roman"/>
                <w:b/>
                <w:bCs/>
                <w:color w:val="000000"/>
                <w:szCs w:val="22"/>
              </w:rPr>
              <w:t>Monetary Policy Statement:</w:t>
            </w:r>
          </w:p>
          <w:p w14:paraId="6D926CE5" w14:textId="77777777" w:rsidR="008D3AEE" w:rsidRPr="00BD22BC" w:rsidRDefault="008D3AEE" w:rsidP="008A2385">
            <w:pPr>
              <w:spacing w:line="240" w:lineRule="auto"/>
              <w:jc w:val="center"/>
              <w:rPr>
                <w:rFonts w:eastAsia="Times New Roman"/>
                <w:b/>
                <w:bCs/>
                <w:color w:val="000000"/>
                <w:szCs w:val="22"/>
              </w:rPr>
            </w:pPr>
            <w:r w:rsidRPr="00BD22BC">
              <w:rPr>
                <w:rFonts w:eastAsia="Times New Roman"/>
                <w:b/>
                <w:bCs/>
                <w:color w:val="000000"/>
                <w:szCs w:val="22"/>
              </w:rPr>
              <w:t>Standard, Pre–Set Time for Publication</w:t>
            </w:r>
          </w:p>
        </w:tc>
        <w:tc>
          <w:tcPr>
            <w:tcW w:w="1980" w:type="dxa"/>
            <w:hideMark/>
          </w:tcPr>
          <w:p w14:paraId="25687160" w14:textId="5FC40E11" w:rsidR="008D3AEE" w:rsidRPr="00BD22BC" w:rsidRDefault="008D3AEE" w:rsidP="008A2385">
            <w:pPr>
              <w:spacing w:line="240" w:lineRule="auto"/>
              <w:jc w:val="center"/>
              <w:rPr>
                <w:rFonts w:eastAsia="Times New Roman"/>
                <w:b/>
                <w:bCs/>
                <w:color w:val="000000"/>
                <w:szCs w:val="22"/>
              </w:rPr>
            </w:pPr>
            <w:r w:rsidRPr="00BD22BC">
              <w:rPr>
                <w:rFonts w:eastAsia="Times New Roman"/>
                <w:b/>
                <w:bCs/>
                <w:color w:val="000000"/>
                <w:szCs w:val="22"/>
              </w:rPr>
              <w:t xml:space="preserve">Press Conference: Number of </w:t>
            </w:r>
            <w:r w:rsidR="00412884" w:rsidRPr="00BD22BC">
              <w:rPr>
                <w:rFonts w:eastAsia="Times New Roman"/>
                <w:b/>
                <w:bCs/>
                <w:color w:val="000000"/>
                <w:szCs w:val="22"/>
              </w:rPr>
              <w:t xml:space="preserve">Hours Since </w:t>
            </w:r>
            <w:r w:rsidRPr="00BD22BC">
              <w:rPr>
                <w:rFonts w:eastAsia="Times New Roman"/>
                <w:b/>
                <w:bCs/>
                <w:color w:val="000000"/>
                <w:szCs w:val="22"/>
              </w:rPr>
              <w:t xml:space="preserve">Statement </w:t>
            </w:r>
            <w:r w:rsidR="00412884" w:rsidRPr="00BD22BC">
              <w:rPr>
                <w:rFonts w:eastAsia="Times New Roman"/>
                <w:b/>
                <w:bCs/>
                <w:color w:val="000000"/>
                <w:szCs w:val="22"/>
              </w:rPr>
              <w:t xml:space="preserve">Publication </w:t>
            </w:r>
          </w:p>
        </w:tc>
        <w:tc>
          <w:tcPr>
            <w:tcW w:w="1980" w:type="dxa"/>
            <w:hideMark/>
          </w:tcPr>
          <w:p w14:paraId="32D22932" w14:textId="22BB87B8" w:rsidR="008D3AEE" w:rsidRPr="00BD22BC" w:rsidRDefault="008D3AEE" w:rsidP="38638030">
            <w:pPr>
              <w:spacing w:line="240" w:lineRule="auto"/>
              <w:jc w:val="center"/>
              <w:rPr>
                <w:rFonts w:eastAsia="Times New Roman"/>
                <w:b/>
                <w:bCs/>
                <w:color w:val="000000"/>
              </w:rPr>
            </w:pPr>
            <w:r w:rsidRPr="38638030">
              <w:rPr>
                <w:rFonts w:eastAsia="Times New Roman"/>
                <w:b/>
                <w:bCs/>
                <w:color w:val="000000" w:themeColor="text1"/>
              </w:rPr>
              <w:t>Monetary Policy Report: Number of calendar days from M</w:t>
            </w:r>
            <w:r w:rsidR="00412884" w:rsidRPr="38638030">
              <w:rPr>
                <w:rFonts w:eastAsia="Times New Roman"/>
                <w:b/>
                <w:bCs/>
                <w:color w:val="000000" w:themeColor="text1"/>
              </w:rPr>
              <w:t>onetary Policy</w:t>
            </w:r>
            <w:r w:rsidRPr="38638030">
              <w:rPr>
                <w:rFonts w:eastAsia="Times New Roman"/>
                <w:b/>
                <w:bCs/>
                <w:color w:val="000000" w:themeColor="text1"/>
              </w:rPr>
              <w:t xml:space="preserve"> </w:t>
            </w:r>
            <w:r w:rsidR="00412884" w:rsidRPr="38638030">
              <w:rPr>
                <w:rFonts w:eastAsia="Times New Roman"/>
                <w:b/>
                <w:bCs/>
                <w:color w:val="000000" w:themeColor="text1"/>
              </w:rPr>
              <w:t>Decision Publication</w:t>
            </w:r>
          </w:p>
        </w:tc>
      </w:tr>
      <w:tr w:rsidR="008D3AEE" w:rsidRPr="00BD22BC" w14:paraId="5C54AC2C" w14:textId="77777777" w:rsidTr="38638030">
        <w:trPr>
          <w:trHeight w:val="249"/>
        </w:trPr>
        <w:tc>
          <w:tcPr>
            <w:tcW w:w="9985" w:type="dxa"/>
            <w:gridSpan w:val="5"/>
            <w:noWrap/>
          </w:tcPr>
          <w:p w14:paraId="1C860403" w14:textId="77777777" w:rsidR="008D3AEE" w:rsidRPr="00BD22BC" w:rsidRDefault="008D3AEE" w:rsidP="008A2385">
            <w:pPr>
              <w:spacing w:line="240" w:lineRule="auto"/>
              <w:rPr>
                <w:b/>
                <w:bCs/>
                <w:szCs w:val="22"/>
              </w:rPr>
            </w:pPr>
            <w:r w:rsidRPr="00BD22BC">
              <w:rPr>
                <w:b/>
                <w:bCs/>
                <w:szCs w:val="22"/>
              </w:rPr>
              <w:t>Advanced economies</w:t>
            </w:r>
          </w:p>
        </w:tc>
      </w:tr>
      <w:tr w:rsidR="008D3AEE" w:rsidRPr="00BD22BC" w14:paraId="430D54B4" w14:textId="77777777" w:rsidTr="38638030">
        <w:trPr>
          <w:trHeight w:val="249"/>
        </w:trPr>
        <w:tc>
          <w:tcPr>
            <w:tcW w:w="1885" w:type="dxa"/>
            <w:noWrap/>
            <w:hideMark/>
          </w:tcPr>
          <w:p w14:paraId="375DFFF5" w14:textId="77777777" w:rsidR="008D3AEE" w:rsidRPr="00BD22BC" w:rsidRDefault="008D3AEE" w:rsidP="008A2385">
            <w:pPr>
              <w:spacing w:line="240" w:lineRule="auto"/>
              <w:rPr>
                <w:rFonts w:eastAsia="Times New Roman"/>
                <w:color w:val="000000"/>
                <w:szCs w:val="22"/>
              </w:rPr>
            </w:pPr>
            <w:r w:rsidRPr="00BD22BC">
              <w:rPr>
                <w:rFonts w:eastAsia="Times New Roman"/>
                <w:color w:val="000000"/>
                <w:szCs w:val="22"/>
              </w:rPr>
              <w:t>Australia</w:t>
            </w:r>
          </w:p>
        </w:tc>
        <w:tc>
          <w:tcPr>
            <w:tcW w:w="1938" w:type="dxa"/>
            <w:noWrap/>
            <w:vAlign w:val="bottom"/>
            <w:hideMark/>
          </w:tcPr>
          <w:p w14:paraId="2C312A07" w14:textId="77777777" w:rsidR="008D3AEE" w:rsidRPr="00BD22BC" w:rsidRDefault="008D3AEE" w:rsidP="008A2385">
            <w:pPr>
              <w:spacing w:line="240" w:lineRule="auto"/>
              <w:jc w:val="center"/>
              <w:rPr>
                <w:rFonts w:eastAsia="Times New Roman"/>
                <w:color w:val="000000"/>
                <w:szCs w:val="22"/>
              </w:rPr>
            </w:pPr>
            <w:r w:rsidRPr="00BD22BC">
              <w:rPr>
                <w:rFonts w:ascii="Segoe UI Symbol" w:hAnsi="Segoe UI Symbol" w:cs="Segoe UI Symbol"/>
                <w:szCs w:val="22"/>
              </w:rPr>
              <w:t>✓</w:t>
            </w:r>
          </w:p>
        </w:tc>
        <w:tc>
          <w:tcPr>
            <w:tcW w:w="2202" w:type="dxa"/>
            <w:noWrap/>
            <w:vAlign w:val="bottom"/>
            <w:hideMark/>
          </w:tcPr>
          <w:p w14:paraId="75262814" w14:textId="77777777" w:rsidR="008D3AEE" w:rsidRPr="00BD22BC" w:rsidRDefault="008D3AEE" w:rsidP="008A2385">
            <w:pPr>
              <w:spacing w:line="240" w:lineRule="auto"/>
              <w:jc w:val="center"/>
              <w:rPr>
                <w:rFonts w:eastAsia="Times New Roman"/>
                <w:color w:val="000000"/>
                <w:szCs w:val="22"/>
              </w:rPr>
            </w:pPr>
            <w:r w:rsidRPr="00BD22BC">
              <w:rPr>
                <w:rFonts w:ascii="Segoe UI Symbol" w:hAnsi="Segoe UI Symbol" w:cs="Segoe UI Symbol"/>
                <w:szCs w:val="22"/>
              </w:rPr>
              <w:t>✓</w:t>
            </w:r>
            <w:r w:rsidRPr="00BD22BC">
              <w:rPr>
                <w:szCs w:val="22"/>
              </w:rPr>
              <w:t xml:space="preserve"> (2:30 p.m.)</w:t>
            </w:r>
          </w:p>
        </w:tc>
        <w:tc>
          <w:tcPr>
            <w:tcW w:w="1980" w:type="dxa"/>
            <w:noWrap/>
            <w:vAlign w:val="bottom"/>
            <w:hideMark/>
          </w:tcPr>
          <w:p w14:paraId="53DC89CA" w14:textId="77777777" w:rsidR="008D3AEE" w:rsidRPr="00BD22BC" w:rsidRDefault="008D3AEE" w:rsidP="008A2385">
            <w:pPr>
              <w:spacing w:line="240" w:lineRule="auto"/>
              <w:jc w:val="center"/>
              <w:rPr>
                <w:rFonts w:eastAsia="Times New Roman"/>
                <w:color w:val="000000"/>
                <w:szCs w:val="22"/>
              </w:rPr>
            </w:pPr>
            <w:r w:rsidRPr="00BD22BC">
              <w:rPr>
                <w:szCs w:val="22"/>
              </w:rPr>
              <w:t>1 (3:30 p.m.)</w:t>
            </w:r>
          </w:p>
        </w:tc>
        <w:tc>
          <w:tcPr>
            <w:tcW w:w="1980" w:type="dxa"/>
            <w:noWrap/>
            <w:vAlign w:val="bottom"/>
            <w:hideMark/>
          </w:tcPr>
          <w:p w14:paraId="4E9EF442" w14:textId="77777777" w:rsidR="008D3AEE" w:rsidRPr="00BD22BC" w:rsidRDefault="008D3AEE" w:rsidP="008A2385">
            <w:pPr>
              <w:spacing w:line="240" w:lineRule="auto"/>
              <w:jc w:val="center"/>
              <w:rPr>
                <w:rFonts w:eastAsia="Times New Roman"/>
                <w:color w:val="000000"/>
                <w:szCs w:val="22"/>
              </w:rPr>
            </w:pPr>
            <w:r w:rsidRPr="00BD22BC">
              <w:rPr>
                <w:szCs w:val="22"/>
              </w:rPr>
              <w:t>2</w:t>
            </w:r>
          </w:p>
        </w:tc>
      </w:tr>
      <w:tr w:rsidR="008D3AEE" w:rsidRPr="00BD22BC" w14:paraId="52010AB3" w14:textId="77777777" w:rsidTr="38638030">
        <w:trPr>
          <w:trHeight w:val="249"/>
        </w:trPr>
        <w:tc>
          <w:tcPr>
            <w:tcW w:w="1885" w:type="dxa"/>
            <w:noWrap/>
            <w:hideMark/>
          </w:tcPr>
          <w:p w14:paraId="7177573A" w14:textId="77777777" w:rsidR="008D3AEE" w:rsidRPr="00BD22BC" w:rsidRDefault="008D3AEE" w:rsidP="008A2385">
            <w:pPr>
              <w:spacing w:line="240" w:lineRule="auto"/>
              <w:rPr>
                <w:rFonts w:eastAsia="Times New Roman"/>
                <w:color w:val="000000"/>
                <w:szCs w:val="22"/>
              </w:rPr>
            </w:pPr>
            <w:r w:rsidRPr="00BD22BC">
              <w:rPr>
                <w:rFonts w:eastAsia="Times New Roman"/>
                <w:color w:val="000000"/>
                <w:szCs w:val="22"/>
              </w:rPr>
              <w:t>Canada</w:t>
            </w:r>
          </w:p>
        </w:tc>
        <w:tc>
          <w:tcPr>
            <w:tcW w:w="1938" w:type="dxa"/>
            <w:noWrap/>
            <w:vAlign w:val="bottom"/>
            <w:hideMark/>
          </w:tcPr>
          <w:p w14:paraId="0A5A441C" w14:textId="77777777" w:rsidR="008D3AEE" w:rsidRPr="00BD22BC" w:rsidRDefault="008D3AEE" w:rsidP="008A2385">
            <w:pPr>
              <w:spacing w:line="240" w:lineRule="auto"/>
              <w:jc w:val="center"/>
              <w:rPr>
                <w:rFonts w:eastAsia="Times New Roman"/>
                <w:color w:val="000000"/>
                <w:szCs w:val="22"/>
              </w:rPr>
            </w:pPr>
            <w:r w:rsidRPr="00BD22BC">
              <w:rPr>
                <w:szCs w:val="22"/>
              </w:rPr>
              <w:t>next day</w:t>
            </w:r>
          </w:p>
        </w:tc>
        <w:tc>
          <w:tcPr>
            <w:tcW w:w="2202" w:type="dxa"/>
            <w:noWrap/>
            <w:vAlign w:val="bottom"/>
            <w:hideMark/>
          </w:tcPr>
          <w:p w14:paraId="43F39933" w14:textId="77777777" w:rsidR="008D3AEE" w:rsidRPr="00BD22BC" w:rsidRDefault="008D3AEE" w:rsidP="008A2385">
            <w:pPr>
              <w:spacing w:line="240" w:lineRule="auto"/>
              <w:jc w:val="center"/>
              <w:rPr>
                <w:rFonts w:eastAsia="Times New Roman"/>
                <w:color w:val="000000"/>
                <w:szCs w:val="22"/>
              </w:rPr>
            </w:pPr>
            <w:r w:rsidRPr="00BD22BC">
              <w:rPr>
                <w:rFonts w:ascii="Segoe UI Symbol" w:hAnsi="Segoe UI Symbol" w:cs="Segoe UI Symbol"/>
                <w:szCs w:val="22"/>
              </w:rPr>
              <w:t>✓</w:t>
            </w:r>
            <w:r w:rsidRPr="00BD22BC">
              <w:rPr>
                <w:szCs w:val="22"/>
              </w:rPr>
              <w:t xml:space="preserve"> (10:00 a.m.)</w:t>
            </w:r>
          </w:p>
        </w:tc>
        <w:tc>
          <w:tcPr>
            <w:tcW w:w="1980" w:type="dxa"/>
            <w:noWrap/>
            <w:vAlign w:val="bottom"/>
            <w:hideMark/>
          </w:tcPr>
          <w:p w14:paraId="734907C0" w14:textId="77777777" w:rsidR="008D3AEE" w:rsidRPr="00BD22BC" w:rsidRDefault="008D3AEE" w:rsidP="008A2385">
            <w:pPr>
              <w:spacing w:line="240" w:lineRule="auto"/>
              <w:jc w:val="center"/>
              <w:rPr>
                <w:rFonts w:eastAsia="Times New Roman"/>
                <w:color w:val="000000"/>
                <w:szCs w:val="22"/>
              </w:rPr>
            </w:pPr>
            <w:r w:rsidRPr="00BD22BC">
              <w:rPr>
                <w:szCs w:val="22"/>
              </w:rPr>
              <w:t>0 (10:00 a.m.)</w:t>
            </w:r>
          </w:p>
        </w:tc>
        <w:tc>
          <w:tcPr>
            <w:tcW w:w="1980" w:type="dxa"/>
            <w:noWrap/>
            <w:vAlign w:val="bottom"/>
            <w:hideMark/>
          </w:tcPr>
          <w:p w14:paraId="53BB42DD" w14:textId="77777777" w:rsidR="008D3AEE" w:rsidRPr="00BD22BC" w:rsidRDefault="008D3AEE" w:rsidP="008A2385">
            <w:pPr>
              <w:spacing w:line="240" w:lineRule="auto"/>
              <w:jc w:val="center"/>
              <w:rPr>
                <w:rFonts w:eastAsia="Times New Roman"/>
                <w:color w:val="000000"/>
                <w:szCs w:val="22"/>
              </w:rPr>
            </w:pPr>
            <w:r w:rsidRPr="00BD22BC">
              <w:rPr>
                <w:szCs w:val="22"/>
              </w:rPr>
              <w:t>0</w:t>
            </w:r>
          </w:p>
        </w:tc>
      </w:tr>
      <w:tr w:rsidR="008D3AEE" w:rsidRPr="00BD22BC" w14:paraId="2917E2B3" w14:textId="77777777" w:rsidTr="38638030">
        <w:trPr>
          <w:trHeight w:val="249"/>
        </w:trPr>
        <w:tc>
          <w:tcPr>
            <w:tcW w:w="1885" w:type="dxa"/>
            <w:noWrap/>
            <w:hideMark/>
          </w:tcPr>
          <w:p w14:paraId="0D045CE2" w14:textId="77777777" w:rsidR="008D3AEE" w:rsidRPr="00BD22BC" w:rsidRDefault="008D3AEE" w:rsidP="008A2385">
            <w:pPr>
              <w:spacing w:line="240" w:lineRule="auto"/>
              <w:rPr>
                <w:rFonts w:eastAsia="Times New Roman"/>
                <w:color w:val="000000"/>
                <w:szCs w:val="22"/>
              </w:rPr>
            </w:pPr>
            <w:r w:rsidRPr="00BD22BC">
              <w:rPr>
                <w:rFonts w:eastAsia="Times New Roman"/>
                <w:color w:val="000000"/>
                <w:szCs w:val="22"/>
              </w:rPr>
              <w:t>Czech Republic</w:t>
            </w:r>
          </w:p>
        </w:tc>
        <w:tc>
          <w:tcPr>
            <w:tcW w:w="1938" w:type="dxa"/>
            <w:noWrap/>
            <w:vAlign w:val="bottom"/>
            <w:hideMark/>
          </w:tcPr>
          <w:p w14:paraId="7B6BF422" w14:textId="77777777" w:rsidR="008D3AEE" w:rsidRPr="00BD22BC" w:rsidRDefault="008D3AEE" w:rsidP="008A2385">
            <w:pPr>
              <w:spacing w:line="240" w:lineRule="auto"/>
              <w:jc w:val="center"/>
              <w:rPr>
                <w:rFonts w:eastAsia="Times New Roman"/>
                <w:color w:val="000000"/>
                <w:szCs w:val="22"/>
              </w:rPr>
            </w:pPr>
            <w:r w:rsidRPr="00BD22BC">
              <w:rPr>
                <w:rFonts w:ascii="Segoe UI Symbol" w:hAnsi="Segoe UI Symbol" w:cs="Segoe UI Symbol"/>
                <w:szCs w:val="22"/>
              </w:rPr>
              <w:t>✓</w:t>
            </w:r>
          </w:p>
        </w:tc>
        <w:tc>
          <w:tcPr>
            <w:tcW w:w="2202" w:type="dxa"/>
            <w:noWrap/>
            <w:vAlign w:val="bottom"/>
            <w:hideMark/>
          </w:tcPr>
          <w:p w14:paraId="7781B8BB" w14:textId="77777777" w:rsidR="008D3AEE" w:rsidRPr="00BD22BC" w:rsidRDefault="008D3AEE" w:rsidP="008A2385">
            <w:pPr>
              <w:spacing w:line="240" w:lineRule="auto"/>
              <w:jc w:val="center"/>
              <w:rPr>
                <w:szCs w:val="22"/>
              </w:rPr>
            </w:pPr>
            <w:r w:rsidRPr="00BD22BC">
              <w:rPr>
                <w:rFonts w:ascii="Segoe UI Symbol" w:hAnsi="Segoe UI Symbol" w:cs="Segoe UI Symbol"/>
                <w:szCs w:val="22"/>
              </w:rPr>
              <w:t>✓</w:t>
            </w:r>
            <w:r w:rsidRPr="00BD22BC">
              <w:rPr>
                <w:szCs w:val="22"/>
              </w:rPr>
              <w:t xml:space="preserve"> (2:30 p.m.)</w:t>
            </w:r>
          </w:p>
        </w:tc>
        <w:tc>
          <w:tcPr>
            <w:tcW w:w="1980" w:type="dxa"/>
            <w:noWrap/>
            <w:vAlign w:val="bottom"/>
            <w:hideMark/>
          </w:tcPr>
          <w:p w14:paraId="4698CBDA" w14:textId="77777777" w:rsidR="008D3AEE" w:rsidRPr="00BD22BC" w:rsidRDefault="008D3AEE" w:rsidP="008A2385">
            <w:pPr>
              <w:spacing w:line="240" w:lineRule="auto"/>
              <w:jc w:val="center"/>
              <w:rPr>
                <w:szCs w:val="22"/>
              </w:rPr>
            </w:pPr>
            <w:r w:rsidRPr="00BD22BC">
              <w:rPr>
                <w:szCs w:val="22"/>
              </w:rPr>
              <w:t>1 1/4 (3:45 p.m.)</w:t>
            </w:r>
          </w:p>
          <w:p w14:paraId="6ED15604" w14:textId="77777777" w:rsidR="008D3AEE" w:rsidRPr="00BD22BC" w:rsidRDefault="008D3AEE" w:rsidP="008A2385">
            <w:pPr>
              <w:spacing w:line="240" w:lineRule="auto"/>
              <w:rPr>
                <w:rFonts w:eastAsia="Times New Roman"/>
                <w:color w:val="000000"/>
                <w:szCs w:val="22"/>
              </w:rPr>
            </w:pPr>
          </w:p>
        </w:tc>
        <w:tc>
          <w:tcPr>
            <w:tcW w:w="1980" w:type="dxa"/>
            <w:noWrap/>
            <w:vAlign w:val="bottom"/>
            <w:hideMark/>
          </w:tcPr>
          <w:p w14:paraId="6FDDBFE7" w14:textId="77777777" w:rsidR="008D3AEE" w:rsidRPr="00BD22BC" w:rsidRDefault="008D3AEE" w:rsidP="008A2385">
            <w:pPr>
              <w:spacing w:line="240" w:lineRule="auto"/>
              <w:jc w:val="center"/>
              <w:rPr>
                <w:rFonts w:eastAsia="Times New Roman"/>
                <w:color w:val="000000"/>
                <w:szCs w:val="22"/>
              </w:rPr>
            </w:pPr>
            <w:r w:rsidRPr="00BD22BC">
              <w:rPr>
                <w:szCs w:val="22"/>
              </w:rPr>
              <w:t>7</w:t>
            </w:r>
          </w:p>
        </w:tc>
      </w:tr>
      <w:tr w:rsidR="008D3AEE" w:rsidRPr="00BD22BC" w14:paraId="0EACD88C" w14:textId="77777777" w:rsidTr="38638030">
        <w:trPr>
          <w:trHeight w:val="249"/>
        </w:trPr>
        <w:tc>
          <w:tcPr>
            <w:tcW w:w="1885" w:type="dxa"/>
            <w:noWrap/>
            <w:hideMark/>
          </w:tcPr>
          <w:p w14:paraId="1460C885" w14:textId="77777777" w:rsidR="008D3AEE" w:rsidRPr="00BD22BC" w:rsidRDefault="008D3AEE" w:rsidP="008A2385">
            <w:pPr>
              <w:spacing w:line="240" w:lineRule="auto"/>
              <w:rPr>
                <w:rFonts w:eastAsia="Times New Roman"/>
                <w:color w:val="000000"/>
                <w:szCs w:val="22"/>
              </w:rPr>
            </w:pPr>
            <w:r w:rsidRPr="00BD22BC">
              <w:rPr>
                <w:rFonts w:eastAsia="Times New Roman"/>
                <w:color w:val="000000"/>
                <w:szCs w:val="22"/>
              </w:rPr>
              <w:t>Euro area</w:t>
            </w:r>
          </w:p>
        </w:tc>
        <w:tc>
          <w:tcPr>
            <w:tcW w:w="1938" w:type="dxa"/>
            <w:noWrap/>
            <w:vAlign w:val="bottom"/>
            <w:hideMark/>
          </w:tcPr>
          <w:p w14:paraId="5FF94179" w14:textId="77777777" w:rsidR="008D3AEE" w:rsidRPr="00BD22BC" w:rsidRDefault="008D3AEE" w:rsidP="008A2385">
            <w:pPr>
              <w:spacing w:line="240" w:lineRule="auto"/>
              <w:jc w:val="center"/>
              <w:rPr>
                <w:rFonts w:eastAsia="Times New Roman"/>
                <w:color w:val="000000"/>
                <w:szCs w:val="22"/>
              </w:rPr>
            </w:pPr>
            <w:r w:rsidRPr="00BD22BC">
              <w:rPr>
                <w:rFonts w:ascii="Segoe UI Symbol" w:hAnsi="Segoe UI Symbol" w:cs="Segoe UI Symbol"/>
                <w:szCs w:val="22"/>
              </w:rPr>
              <w:t>✓</w:t>
            </w:r>
          </w:p>
        </w:tc>
        <w:tc>
          <w:tcPr>
            <w:tcW w:w="2202" w:type="dxa"/>
            <w:noWrap/>
            <w:vAlign w:val="bottom"/>
            <w:hideMark/>
          </w:tcPr>
          <w:p w14:paraId="7851B0C5" w14:textId="77777777" w:rsidR="008D3AEE" w:rsidRPr="00BD22BC" w:rsidRDefault="008D3AEE" w:rsidP="008A2385">
            <w:pPr>
              <w:spacing w:line="240" w:lineRule="auto"/>
              <w:jc w:val="center"/>
              <w:rPr>
                <w:rFonts w:eastAsia="Times New Roman"/>
                <w:color w:val="000000"/>
                <w:szCs w:val="22"/>
              </w:rPr>
            </w:pPr>
            <w:r w:rsidRPr="00BD22BC">
              <w:rPr>
                <w:rFonts w:ascii="Segoe UI Symbol" w:hAnsi="Segoe UI Symbol" w:cs="Segoe UI Symbol"/>
                <w:szCs w:val="22"/>
              </w:rPr>
              <w:t>✓</w:t>
            </w:r>
            <w:r w:rsidRPr="00BD22BC">
              <w:rPr>
                <w:szCs w:val="22"/>
              </w:rPr>
              <w:t xml:space="preserve"> (2:15 p.m.)</w:t>
            </w:r>
          </w:p>
        </w:tc>
        <w:tc>
          <w:tcPr>
            <w:tcW w:w="1980" w:type="dxa"/>
            <w:noWrap/>
            <w:vAlign w:val="bottom"/>
            <w:hideMark/>
          </w:tcPr>
          <w:p w14:paraId="70F77265" w14:textId="77777777" w:rsidR="008D3AEE" w:rsidRPr="00BD22BC" w:rsidRDefault="008D3AEE" w:rsidP="008A2385">
            <w:pPr>
              <w:spacing w:line="240" w:lineRule="auto"/>
              <w:jc w:val="center"/>
              <w:rPr>
                <w:rFonts w:eastAsia="Times New Roman"/>
                <w:color w:val="000000"/>
                <w:szCs w:val="22"/>
              </w:rPr>
            </w:pPr>
            <w:r w:rsidRPr="00BD22BC">
              <w:rPr>
                <w:szCs w:val="22"/>
              </w:rPr>
              <w:t>1/2 (2:45 p.m.)</w:t>
            </w:r>
          </w:p>
        </w:tc>
        <w:tc>
          <w:tcPr>
            <w:tcW w:w="1980" w:type="dxa"/>
            <w:noWrap/>
            <w:vAlign w:val="bottom"/>
            <w:hideMark/>
          </w:tcPr>
          <w:p w14:paraId="5FEC7E0E" w14:textId="77777777" w:rsidR="008D3AEE" w:rsidRPr="00BD22BC" w:rsidRDefault="008D3AEE" w:rsidP="008A2385">
            <w:pPr>
              <w:spacing w:line="240" w:lineRule="auto"/>
              <w:jc w:val="center"/>
              <w:rPr>
                <w:rFonts w:eastAsia="Times New Roman"/>
                <w:color w:val="000000"/>
                <w:szCs w:val="22"/>
              </w:rPr>
            </w:pPr>
            <w:r w:rsidRPr="00BD22BC">
              <w:rPr>
                <w:szCs w:val="22"/>
              </w:rPr>
              <w:t>8</w:t>
            </w:r>
          </w:p>
        </w:tc>
      </w:tr>
      <w:tr w:rsidR="008D3AEE" w:rsidRPr="00BD22BC" w14:paraId="44476892" w14:textId="77777777" w:rsidTr="38638030">
        <w:trPr>
          <w:trHeight w:val="249"/>
        </w:trPr>
        <w:tc>
          <w:tcPr>
            <w:tcW w:w="1885" w:type="dxa"/>
            <w:noWrap/>
            <w:hideMark/>
          </w:tcPr>
          <w:p w14:paraId="17FC3732" w14:textId="77777777" w:rsidR="008D3AEE" w:rsidRPr="00BD22BC" w:rsidRDefault="008D3AEE" w:rsidP="008A2385">
            <w:pPr>
              <w:spacing w:line="240" w:lineRule="auto"/>
              <w:rPr>
                <w:rFonts w:eastAsia="Times New Roman"/>
                <w:color w:val="000000"/>
                <w:szCs w:val="22"/>
              </w:rPr>
            </w:pPr>
            <w:r w:rsidRPr="00BD22BC">
              <w:rPr>
                <w:rFonts w:eastAsia="Times New Roman"/>
                <w:color w:val="000000"/>
                <w:szCs w:val="22"/>
              </w:rPr>
              <w:lastRenderedPageBreak/>
              <w:t>Israel</w:t>
            </w:r>
          </w:p>
        </w:tc>
        <w:tc>
          <w:tcPr>
            <w:tcW w:w="1938" w:type="dxa"/>
            <w:noWrap/>
          </w:tcPr>
          <w:p w14:paraId="41DE45D1" w14:textId="77777777" w:rsidR="008D3AEE" w:rsidRPr="00BD22BC" w:rsidRDefault="008D3AEE" w:rsidP="008A2385">
            <w:pPr>
              <w:spacing w:line="240" w:lineRule="auto"/>
              <w:jc w:val="center"/>
              <w:rPr>
                <w:rFonts w:eastAsia="Times New Roman"/>
                <w:color w:val="000000"/>
                <w:szCs w:val="22"/>
              </w:rPr>
            </w:pPr>
            <w:r w:rsidRPr="00BD22BC">
              <w:rPr>
                <w:rFonts w:ascii="Segoe UI Symbol" w:hAnsi="Segoe UI Symbol" w:cs="Segoe UI Symbol"/>
                <w:szCs w:val="22"/>
              </w:rPr>
              <w:t>✓</w:t>
            </w:r>
          </w:p>
        </w:tc>
        <w:tc>
          <w:tcPr>
            <w:tcW w:w="2202" w:type="dxa"/>
            <w:noWrap/>
          </w:tcPr>
          <w:p w14:paraId="072935CD" w14:textId="77777777" w:rsidR="008D3AEE" w:rsidRPr="00BD22BC" w:rsidRDefault="008D3AEE" w:rsidP="008A2385">
            <w:pPr>
              <w:spacing w:line="240" w:lineRule="auto"/>
              <w:jc w:val="center"/>
              <w:rPr>
                <w:rFonts w:eastAsia="Times New Roman"/>
                <w:color w:val="000000"/>
                <w:szCs w:val="22"/>
              </w:rPr>
            </w:pPr>
            <w:r w:rsidRPr="00BD22BC">
              <w:rPr>
                <w:rFonts w:ascii="Segoe UI Symbol" w:hAnsi="Segoe UI Symbol" w:cs="Segoe UI Symbol"/>
                <w:szCs w:val="22"/>
              </w:rPr>
              <w:t>✓</w:t>
            </w:r>
            <w:r w:rsidRPr="00BD22BC">
              <w:rPr>
                <w:szCs w:val="22"/>
              </w:rPr>
              <w:t xml:space="preserve"> (4:00 p.m.)</w:t>
            </w:r>
          </w:p>
        </w:tc>
        <w:tc>
          <w:tcPr>
            <w:tcW w:w="1980" w:type="dxa"/>
            <w:noWrap/>
            <w:vAlign w:val="bottom"/>
          </w:tcPr>
          <w:p w14:paraId="5301A8E7" w14:textId="77777777" w:rsidR="008D3AEE" w:rsidRPr="00BD22BC" w:rsidRDefault="008D3AEE" w:rsidP="008A2385">
            <w:pPr>
              <w:spacing w:line="240" w:lineRule="auto"/>
              <w:jc w:val="center"/>
              <w:rPr>
                <w:rFonts w:eastAsia="Times New Roman"/>
                <w:color w:val="000000"/>
                <w:szCs w:val="22"/>
              </w:rPr>
            </w:pPr>
            <w:r w:rsidRPr="00BD22BC">
              <w:rPr>
                <w:szCs w:val="22"/>
              </w:rPr>
              <w:t xml:space="preserve">Same afternoon </w:t>
            </w:r>
          </w:p>
        </w:tc>
        <w:tc>
          <w:tcPr>
            <w:tcW w:w="1980" w:type="dxa"/>
            <w:noWrap/>
            <w:vAlign w:val="bottom"/>
          </w:tcPr>
          <w:p w14:paraId="01B97EF0" w14:textId="77777777" w:rsidR="008D3AEE" w:rsidRPr="00BD22BC" w:rsidRDefault="008D3AEE" w:rsidP="008A2385">
            <w:pPr>
              <w:spacing w:line="240" w:lineRule="auto"/>
              <w:jc w:val="center"/>
              <w:rPr>
                <w:rFonts w:eastAsia="Times New Roman"/>
                <w:color w:val="000000"/>
                <w:szCs w:val="22"/>
              </w:rPr>
            </w:pPr>
            <w:r w:rsidRPr="00BD22BC">
              <w:rPr>
                <w:szCs w:val="22"/>
              </w:rPr>
              <w:t>0</w:t>
            </w:r>
          </w:p>
        </w:tc>
      </w:tr>
      <w:tr w:rsidR="008D3AEE" w:rsidRPr="00BD22BC" w14:paraId="19745991" w14:textId="77777777" w:rsidTr="38638030">
        <w:trPr>
          <w:trHeight w:val="249"/>
        </w:trPr>
        <w:tc>
          <w:tcPr>
            <w:tcW w:w="1885" w:type="dxa"/>
            <w:noWrap/>
            <w:hideMark/>
          </w:tcPr>
          <w:p w14:paraId="02838967" w14:textId="77777777" w:rsidR="008D3AEE" w:rsidRPr="00BD22BC" w:rsidRDefault="008D3AEE" w:rsidP="008A2385">
            <w:pPr>
              <w:spacing w:line="240" w:lineRule="auto"/>
              <w:rPr>
                <w:rFonts w:eastAsia="Times New Roman"/>
                <w:color w:val="000000"/>
                <w:szCs w:val="22"/>
              </w:rPr>
            </w:pPr>
            <w:r w:rsidRPr="00BD22BC">
              <w:rPr>
                <w:rFonts w:eastAsia="Times New Roman"/>
                <w:color w:val="000000"/>
                <w:szCs w:val="22"/>
              </w:rPr>
              <w:t>New Zealand</w:t>
            </w:r>
          </w:p>
        </w:tc>
        <w:tc>
          <w:tcPr>
            <w:tcW w:w="1938" w:type="dxa"/>
            <w:noWrap/>
            <w:vAlign w:val="bottom"/>
          </w:tcPr>
          <w:p w14:paraId="0B3AEF2A" w14:textId="77777777" w:rsidR="008D3AEE" w:rsidRPr="00BD22BC" w:rsidRDefault="008D3AEE" w:rsidP="008A2385">
            <w:pPr>
              <w:spacing w:line="240" w:lineRule="auto"/>
              <w:jc w:val="center"/>
              <w:rPr>
                <w:rFonts w:eastAsia="Times New Roman"/>
                <w:color w:val="000000"/>
                <w:szCs w:val="22"/>
              </w:rPr>
            </w:pPr>
            <w:r w:rsidRPr="00BD22BC">
              <w:rPr>
                <w:rFonts w:ascii="Segoe UI Symbol" w:hAnsi="Segoe UI Symbol" w:cs="Segoe UI Symbol"/>
                <w:szCs w:val="22"/>
              </w:rPr>
              <w:t>✓</w:t>
            </w:r>
          </w:p>
        </w:tc>
        <w:tc>
          <w:tcPr>
            <w:tcW w:w="2202" w:type="dxa"/>
            <w:noWrap/>
            <w:vAlign w:val="bottom"/>
          </w:tcPr>
          <w:p w14:paraId="6EF5E152" w14:textId="77777777" w:rsidR="008D3AEE" w:rsidRPr="00BD22BC" w:rsidRDefault="008D3AEE" w:rsidP="008A2385">
            <w:pPr>
              <w:spacing w:line="240" w:lineRule="auto"/>
              <w:jc w:val="center"/>
              <w:rPr>
                <w:rFonts w:eastAsia="Times New Roman"/>
                <w:color w:val="000000"/>
                <w:szCs w:val="22"/>
              </w:rPr>
            </w:pPr>
            <w:r w:rsidRPr="00BD22BC">
              <w:rPr>
                <w:rFonts w:ascii="Segoe UI Symbol" w:hAnsi="Segoe UI Symbol" w:cs="Segoe UI Symbol"/>
                <w:szCs w:val="22"/>
              </w:rPr>
              <w:t>✓</w:t>
            </w:r>
            <w:r w:rsidRPr="00BD22BC">
              <w:rPr>
                <w:szCs w:val="22"/>
              </w:rPr>
              <w:t xml:space="preserve"> (2:00 p.m.)</w:t>
            </w:r>
          </w:p>
        </w:tc>
        <w:tc>
          <w:tcPr>
            <w:tcW w:w="1980" w:type="dxa"/>
            <w:noWrap/>
            <w:vAlign w:val="bottom"/>
          </w:tcPr>
          <w:p w14:paraId="69D1E70F" w14:textId="77777777" w:rsidR="008D3AEE" w:rsidRPr="00BD22BC" w:rsidRDefault="008D3AEE" w:rsidP="008A2385">
            <w:pPr>
              <w:spacing w:line="240" w:lineRule="auto"/>
              <w:jc w:val="center"/>
              <w:rPr>
                <w:rFonts w:eastAsia="Times New Roman"/>
                <w:color w:val="000000"/>
                <w:szCs w:val="22"/>
              </w:rPr>
            </w:pPr>
            <w:r w:rsidRPr="00BD22BC">
              <w:rPr>
                <w:szCs w:val="22"/>
              </w:rPr>
              <w:t>1 (3:00 p.m.)</w:t>
            </w:r>
          </w:p>
        </w:tc>
        <w:tc>
          <w:tcPr>
            <w:tcW w:w="1980" w:type="dxa"/>
            <w:noWrap/>
            <w:vAlign w:val="bottom"/>
          </w:tcPr>
          <w:p w14:paraId="349A2B1A" w14:textId="77777777" w:rsidR="008D3AEE" w:rsidRPr="00BD22BC" w:rsidRDefault="008D3AEE" w:rsidP="008A2385">
            <w:pPr>
              <w:spacing w:line="240" w:lineRule="auto"/>
              <w:jc w:val="center"/>
              <w:rPr>
                <w:rFonts w:eastAsia="Times New Roman"/>
                <w:color w:val="000000"/>
                <w:szCs w:val="22"/>
              </w:rPr>
            </w:pPr>
            <w:r w:rsidRPr="00BD22BC">
              <w:rPr>
                <w:szCs w:val="22"/>
              </w:rPr>
              <w:t>0</w:t>
            </w:r>
          </w:p>
        </w:tc>
      </w:tr>
      <w:tr w:rsidR="008D3AEE" w:rsidRPr="00BD22BC" w14:paraId="129D43A6" w14:textId="77777777" w:rsidTr="38638030">
        <w:trPr>
          <w:trHeight w:val="249"/>
        </w:trPr>
        <w:tc>
          <w:tcPr>
            <w:tcW w:w="1885" w:type="dxa"/>
            <w:noWrap/>
            <w:hideMark/>
          </w:tcPr>
          <w:p w14:paraId="1F9CD057" w14:textId="77777777" w:rsidR="008D3AEE" w:rsidRPr="00BD22BC" w:rsidRDefault="008D3AEE" w:rsidP="008A2385">
            <w:pPr>
              <w:spacing w:line="240" w:lineRule="auto"/>
              <w:rPr>
                <w:rFonts w:eastAsia="Times New Roman"/>
                <w:color w:val="000000"/>
                <w:szCs w:val="22"/>
              </w:rPr>
            </w:pPr>
            <w:r w:rsidRPr="00BD22BC">
              <w:rPr>
                <w:rFonts w:eastAsia="Times New Roman"/>
                <w:color w:val="000000"/>
                <w:szCs w:val="22"/>
              </w:rPr>
              <w:t>Norway</w:t>
            </w:r>
          </w:p>
        </w:tc>
        <w:tc>
          <w:tcPr>
            <w:tcW w:w="1938" w:type="dxa"/>
            <w:noWrap/>
            <w:vAlign w:val="bottom"/>
          </w:tcPr>
          <w:p w14:paraId="5DF16A14" w14:textId="77777777" w:rsidR="008D3AEE" w:rsidRPr="00BD22BC" w:rsidRDefault="008D3AEE" w:rsidP="008A2385">
            <w:pPr>
              <w:spacing w:line="240" w:lineRule="auto"/>
              <w:jc w:val="center"/>
              <w:rPr>
                <w:rFonts w:eastAsia="Times New Roman"/>
                <w:color w:val="000000"/>
                <w:szCs w:val="22"/>
              </w:rPr>
            </w:pPr>
            <w:r w:rsidRPr="00BD22BC">
              <w:rPr>
                <w:szCs w:val="22"/>
              </w:rPr>
              <w:t>next day</w:t>
            </w:r>
          </w:p>
        </w:tc>
        <w:tc>
          <w:tcPr>
            <w:tcW w:w="2202" w:type="dxa"/>
            <w:noWrap/>
            <w:vAlign w:val="bottom"/>
          </w:tcPr>
          <w:p w14:paraId="117F5E41" w14:textId="77777777" w:rsidR="008D3AEE" w:rsidRPr="00BD22BC" w:rsidRDefault="008D3AEE" w:rsidP="008A2385">
            <w:pPr>
              <w:spacing w:line="240" w:lineRule="auto"/>
              <w:jc w:val="center"/>
              <w:rPr>
                <w:rFonts w:eastAsia="Times New Roman"/>
                <w:color w:val="000000"/>
                <w:szCs w:val="22"/>
              </w:rPr>
            </w:pPr>
            <w:r w:rsidRPr="00BD22BC">
              <w:rPr>
                <w:rFonts w:ascii="Segoe UI Symbol" w:hAnsi="Segoe UI Symbol" w:cs="Segoe UI Symbol"/>
                <w:szCs w:val="22"/>
              </w:rPr>
              <w:t>✓</w:t>
            </w:r>
            <w:r w:rsidRPr="00BD22BC">
              <w:rPr>
                <w:szCs w:val="22"/>
              </w:rPr>
              <w:t xml:space="preserve"> (10:00 a.m.)</w:t>
            </w:r>
          </w:p>
        </w:tc>
        <w:tc>
          <w:tcPr>
            <w:tcW w:w="1980" w:type="dxa"/>
            <w:noWrap/>
            <w:vAlign w:val="bottom"/>
          </w:tcPr>
          <w:p w14:paraId="5E4FA70C" w14:textId="77777777" w:rsidR="008D3AEE" w:rsidRPr="00BD22BC" w:rsidRDefault="008D3AEE" w:rsidP="008A2385">
            <w:pPr>
              <w:spacing w:line="240" w:lineRule="auto"/>
              <w:jc w:val="center"/>
              <w:rPr>
                <w:rFonts w:eastAsia="Times New Roman"/>
                <w:color w:val="000000"/>
                <w:szCs w:val="22"/>
              </w:rPr>
            </w:pPr>
            <w:r w:rsidRPr="00BD22BC">
              <w:rPr>
                <w:szCs w:val="22"/>
              </w:rPr>
              <w:t>1/2 (10:30 a.m.)</w:t>
            </w:r>
          </w:p>
        </w:tc>
        <w:tc>
          <w:tcPr>
            <w:tcW w:w="1980" w:type="dxa"/>
            <w:noWrap/>
            <w:vAlign w:val="bottom"/>
          </w:tcPr>
          <w:p w14:paraId="30C8637B" w14:textId="77777777" w:rsidR="008D3AEE" w:rsidRPr="00BD22BC" w:rsidRDefault="008D3AEE" w:rsidP="008A2385">
            <w:pPr>
              <w:spacing w:line="240" w:lineRule="auto"/>
              <w:jc w:val="center"/>
              <w:rPr>
                <w:rFonts w:eastAsia="Times New Roman"/>
                <w:color w:val="000000"/>
                <w:szCs w:val="22"/>
              </w:rPr>
            </w:pPr>
            <w:r w:rsidRPr="00BD22BC">
              <w:rPr>
                <w:szCs w:val="22"/>
              </w:rPr>
              <w:t>0</w:t>
            </w:r>
          </w:p>
        </w:tc>
      </w:tr>
      <w:tr w:rsidR="008D3AEE" w:rsidRPr="00BD22BC" w14:paraId="7ADE64D3" w14:textId="77777777" w:rsidTr="38638030">
        <w:trPr>
          <w:trHeight w:val="249"/>
        </w:trPr>
        <w:tc>
          <w:tcPr>
            <w:tcW w:w="1885" w:type="dxa"/>
            <w:noWrap/>
            <w:hideMark/>
          </w:tcPr>
          <w:p w14:paraId="3638E23D" w14:textId="77777777" w:rsidR="008D3AEE" w:rsidRPr="00BD22BC" w:rsidRDefault="008D3AEE" w:rsidP="008A2385">
            <w:pPr>
              <w:spacing w:line="240" w:lineRule="auto"/>
              <w:rPr>
                <w:rFonts w:eastAsia="Times New Roman"/>
                <w:color w:val="000000"/>
                <w:szCs w:val="22"/>
              </w:rPr>
            </w:pPr>
            <w:r w:rsidRPr="00BD22BC">
              <w:rPr>
                <w:rFonts w:eastAsia="Times New Roman"/>
                <w:color w:val="000000"/>
                <w:szCs w:val="22"/>
              </w:rPr>
              <w:t>Sweden</w:t>
            </w:r>
          </w:p>
        </w:tc>
        <w:tc>
          <w:tcPr>
            <w:tcW w:w="1938" w:type="dxa"/>
            <w:noWrap/>
            <w:vAlign w:val="bottom"/>
          </w:tcPr>
          <w:p w14:paraId="3F4C1B12" w14:textId="77777777" w:rsidR="008D3AEE" w:rsidRPr="00BD22BC" w:rsidRDefault="008D3AEE" w:rsidP="008A2385">
            <w:pPr>
              <w:spacing w:line="240" w:lineRule="auto"/>
              <w:jc w:val="center"/>
              <w:rPr>
                <w:rFonts w:eastAsia="Times New Roman"/>
                <w:color w:val="000000"/>
                <w:szCs w:val="22"/>
              </w:rPr>
            </w:pPr>
            <w:r w:rsidRPr="00BD22BC">
              <w:rPr>
                <w:szCs w:val="22"/>
              </w:rPr>
              <w:t>next day</w:t>
            </w:r>
          </w:p>
        </w:tc>
        <w:tc>
          <w:tcPr>
            <w:tcW w:w="2202" w:type="dxa"/>
            <w:noWrap/>
            <w:vAlign w:val="bottom"/>
          </w:tcPr>
          <w:p w14:paraId="65B7645E" w14:textId="77777777" w:rsidR="008D3AEE" w:rsidRPr="00BD22BC" w:rsidRDefault="008D3AEE" w:rsidP="008A2385">
            <w:pPr>
              <w:spacing w:line="240" w:lineRule="auto"/>
              <w:jc w:val="center"/>
              <w:rPr>
                <w:rFonts w:eastAsia="Times New Roman"/>
                <w:color w:val="000000"/>
                <w:szCs w:val="22"/>
              </w:rPr>
            </w:pPr>
            <w:r w:rsidRPr="00BD22BC">
              <w:rPr>
                <w:rFonts w:ascii="Segoe UI Symbol" w:hAnsi="Segoe UI Symbol" w:cs="Segoe UI Symbol"/>
                <w:szCs w:val="22"/>
              </w:rPr>
              <w:t>✓</w:t>
            </w:r>
            <w:r w:rsidRPr="00BD22BC">
              <w:rPr>
                <w:szCs w:val="22"/>
              </w:rPr>
              <w:t xml:space="preserve"> (9:30 a.m.)</w:t>
            </w:r>
          </w:p>
        </w:tc>
        <w:tc>
          <w:tcPr>
            <w:tcW w:w="1980" w:type="dxa"/>
            <w:noWrap/>
            <w:vAlign w:val="bottom"/>
          </w:tcPr>
          <w:p w14:paraId="47925A64" w14:textId="77777777" w:rsidR="008D3AEE" w:rsidRPr="00BD22BC" w:rsidRDefault="008D3AEE" w:rsidP="008A2385">
            <w:pPr>
              <w:spacing w:line="240" w:lineRule="auto"/>
              <w:jc w:val="center"/>
              <w:rPr>
                <w:rFonts w:eastAsia="Times New Roman"/>
                <w:color w:val="000000"/>
                <w:szCs w:val="22"/>
              </w:rPr>
            </w:pPr>
            <w:r w:rsidRPr="00BD22BC">
              <w:rPr>
                <w:szCs w:val="22"/>
              </w:rPr>
              <w:t>1 1/2 (11:00 a.m.)</w:t>
            </w:r>
          </w:p>
        </w:tc>
        <w:tc>
          <w:tcPr>
            <w:tcW w:w="1980" w:type="dxa"/>
            <w:noWrap/>
            <w:vAlign w:val="bottom"/>
          </w:tcPr>
          <w:p w14:paraId="54A28BEA" w14:textId="77777777" w:rsidR="008D3AEE" w:rsidRPr="00BD22BC" w:rsidRDefault="008D3AEE" w:rsidP="008A2385">
            <w:pPr>
              <w:spacing w:line="240" w:lineRule="auto"/>
              <w:jc w:val="center"/>
              <w:rPr>
                <w:rFonts w:eastAsia="Times New Roman"/>
                <w:color w:val="000000"/>
                <w:szCs w:val="22"/>
              </w:rPr>
            </w:pPr>
            <w:r w:rsidRPr="00BD22BC">
              <w:rPr>
                <w:szCs w:val="22"/>
              </w:rPr>
              <w:t>0</w:t>
            </w:r>
          </w:p>
        </w:tc>
      </w:tr>
      <w:tr w:rsidR="008D3AEE" w:rsidRPr="00BD22BC" w14:paraId="1B7B3B76" w14:textId="77777777" w:rsidTr="38638030">
        <w:trPr>
          <w:trHeight w:val="249"/>
        </w:trPr>
        <w:tc>
          <w:tcPr>
            <w:tcW w:w="1885" w:type="dxa"/>
            <w:noWrap/>
            <w:hideMark/>
          </w:tcPr>
          <w:p w14:paraId="40CEE42B" w14:textId="77777777" w:rsidR="008D3AEE" w:rsidRPr="00BD22BC" w:rsidRDefault="008D3AEE" w:rsidP="008A2385">
            <w:pPr>
              <w:spacing w:line="240" w:lineRule="auto"/>
              <w:rPr>
                <w:rFonts w:eastAsia="Times New Roman"/>
                <w:color w:val="000000"/>
                <w:szCs w:val="22"/>
              </w:rPr>
            </w:pPr>
            <w:r w:rsidRPr="00BD22BC">
              <w:rPr>
                <w:rFonts w:eastAsia="Times New Roman"/>
                <w:color w:val="000000"/>
                <w:szCs w:val="22"/>
              </w:rPr>
              <w:t>U.K.</w:t>
            </w:r>
          </w:p>
        </w:tc>
        <w:tc>
          <w:tcPr>
            <w:tcW w:w="1938" w:type="dxa"/>
            <w:noWrap/>
            <w:vAlign w:val="bottom"/>
          </w:tcPr>
          <w:p w14:paraId="5C1426A7" w14:textId="77777777" w:rsidR="008D3AEE" w:rsidRPr="00BD22BC" w:rsidRDefault="008D3AEE" w:rsidP="008A2385">
            <w:pPr>
              <w:spacing w:line="240" w:lineRule="auto"/>
              <w:jc w:val="center"/>
              <w:rPr>
                <w:rFonts w:eastAsia="Times New Roman"/>
                <w:color w:val="000000"/>
                <w:szCs w:val="22"/>
              </w:rPr>
            </w:pPr>
            <w:r w:rsidRPr="00BD22BC">
              <w:rPr>
                <w:szCs w:val="22"/>
              </w:rPr>
              <w:t>next day</w:t>
            </w:r>
          </w:p>
        </w:tc>
        <w:tc>
          <w:tcPr>
            <w:tcW w:w="2202" w:type="dxa"/>
            <w:noWrap/>
            <w:vAlign w:val="bottom"/>
          </w:tcPr>
          <w:p w14:paraId="0C1BB721" w14:textId="77777777" w:rsidR="008D3AEE" w:rsidRPr="00BD22BC" w:rsidRDefault="008D3AEE" w:rsidP="008A2385">
            <w:pPr>
              <w:spacing w:line="240" w:lineRule="auto"/>
              <w:jc w:val="center"/>
              <w:rPr>
                <w:rFonts w:eastAsia="Times New Roman"/>
                <w:color w:val="000000"/>
                <w:szCs w:val="22"/>
              </w:rPr>
            </w:pPr>
            <w:r w:rsidRPr="00BD22BC">
              <w:rPr>
                <w:rFonts w:ascii="Segoe UI Symbol" w:hAnsi="Segoe UI Symbol" w:cs="Segoe UI Symbol"/>
                <w:szCs w:val="22"/>
              </w:rPr>
              <w:t>✓</w:t>
            </w:r>
            <w:r w:rsidRPr="00BD22BC">
              <w:rPr>
                <w:szCs w:val="22"/>
              </w:rPr>
              <w:t xml:space="preserve"> (12:00 p.m.)</w:t>
            </w:r>
          </w:p>
        </w:tc>
        <w:tc>
          <w:tcPr>
            <w:tcW w:w="1980" w:type="dxa"/>
            <w:noWrap/>
            <w:vAlign w:val="bottom"/>
          </w:tcPr>
          <w:p w14:paraId="1E4D1407" w14:textId="77777777" w:rsidR="008D3AEE" w:rsidRPr="00BD22BC" w:rsidRDefault="008D3AEE" w:rsidP="008A2385">
            <w:pPr>
              <w:spacing w:line="240" w:lineRule="auto"/>
              <w:jc w:val="center"/>
              <w:rPr>
                <w:rFonts w:eastAsia="Times New Roman"/>
                <w:color w:val="000000"/>
                <w:szCs w:val="22"/>
              </w:rPr>
            </w:pPr>
            <w:r w:rsidRPr="00BD22BC">
              <w:rPr>
                <w:szCs w:val="22"/>
              </w:rPr>
              <w:t>0 (12:00 p.m.)</w:t>
            </w:r>
          </w:p>
        </w:tc>
        <w:tc>
          <w:tcPr>
            <w:tcW w:w="1980" w:type="dxa"/>
            <w:noWrap/>
            <w:vAlign w:val="bottom"/>
          </w:tcPr>
          <w:p w14:paraId="0E061C60" w14:textId="77777777" w:rsidR="008D3AEE" w:rsidRPr="00BD22BC" w:rsidRDefault="008D3AEE" w:rsidP="008A2385">
            <w:pPr>
              <w:spacing w:line="240" w:lineRule="auto"/>
              <w:jc w:val="center"/>
              <w:rPr>
                <w:rFonts w:eastAsia="Times New Roman"/>
                <w:color w:val="000000"/>
                <w:szCs w:val="22"/>
              </w:rPr>
            </w:pPr>
            <w:r w:rsidRPr="00BD22BC">
              <w:rPr>
                <w:szCs w:val="22"/>
              </w:rPr>
              <w:t>0</w:t>
            </w:r>
          </w:p>
        </w:tc>
      </w:tr>
      <w:tr w:rsidR="008D3AEE" w:rsidRPr="00BD22BC" w14:paraId="761294D2" w14:textId="77777777" w:rsidTr="38638030">
        <w:trPr>
          <w:trHeight w:val="249"/>
        </w:trPr>
        <w:tc>
          <w:tcPr>
            <w:tcW w:w="1885" w:type="dxa"/>
            <w:noWrap/>
            <w:hideMark/>
          </w:tcPr>
          <w:p w14:paraId="61A4D443" w14:textId="77777777" w:rsidR="008D3AEE" w:rsidRPr="00BD22BC" w:rsidRDefault="008D3AEE" w:rsidP="008A2385">
            <w:pPr>
              <w:spacing w:line="240" w:lineRule="auto"/>
              <w:rPr>
                <w:rFonts w:eastAsia="Times New Roman"/>
                <w:color w:val="000000"/>
                <w:szCs w:val="22"/>
              </w:rPr>
            </w:pPr>
            <w:r w:rsidRPr="00BD22BC">
              <w:rPr>
                <w:rFonts w:eastAsia="Times New Roman"/>
                <w:color w:val="000000"/>
                <w:szCs w:val="22"/>
              </w:rPr>
              <w:t>U.S.</w:t>
            </w:r>
          </w:p>
        </w:tc>
        <w:tc>
          <w:tcPr>
            <w:tcW w:w="1938" w:type="dxa"/>
            <w:noWrap/>
            <w:vAlign w:val="bottom"/>
          </w:tcPr>
          <w:p w14:paraId="0B70099A" w14:textId="77777777" w:rsidR="008D3AEE" w:rsidRPr="00BD22BC" w:rsidRDefault="008D3AEE" w:rsidP="008A2385">
            <w:pPr>
              <w:spacing w:line="240" w:lineRule="auto"/>
              <w:jc w:val="center"/>
              <w:rPr>
                <w:rFonts w:eastAsia="Times New Roman"/>
                <w:color w:val="000000"/>
                <w:szCs w:val="22"/>
              </w:rPr>
            </w:pPr>
            <w:r w:rsidRPr="00BD22BC">
              <w:rPr>
                <w:rFonts w:ascii="Segoe UI Symbol" w:hAnsi="Segoe UI Symbol" w:cs="Segoe UI Symbol"/>
                <w:szCs w:val="22"/>
              </w:rPr>
              <w:t>✓</w:t>
            </w:r>
          </w:p>
        </w:tc>
        <w:tc>
          <w:tcPr>
            <w:tcW w:w="2202" w:type="dxa"/>
            <w:noWrap/>
            <w:vAlign w:val="bottom"/>
          </w:tcPr>
          <w:p w14:paraId="642D04B4" w14:textId="77777777" w:rsidR="008D3AEE" w:rsidRPr="00BD22BC" w:rsidRDefault="008D3AEE" w:rsidP="008A2385">
            <w:pPr>
              <w:spacing w:line="240" w:lineRule="auto"/>
              <w:jc w:val="center"/>
              <w:rPr>
                <w:rFonts w:eastAsia="Times New Roman"/>
                <w:color w:val="000000"/>
                <w:szCs w:val="22"/>
              </w:rPr>
            </w:pPr>
            <w:r w:rsidRPr="00BD22BC">
              <w:rPr>
                <w:rFonts w:ascii="Segoe UI Symbol" w:hAnsi="Segoe UI Symbol" w:cs="Segoe UI Symbol"/>
                <w:szCs w:val="22"/>
              </w:rPr>
              <w:t>✓</w:t>
            </w:r>
            <w:r w:rsidRPr="00BD22BC">
              <w:rPr>
                <w:szCs w:val="22"/>
              </w:rPr>
              <w:t xml:space="preserve"> (2:00 p.m.)</w:t>
            </w:r>
          </w:p>
        </w:tc>
        <w:tc>
          <w:tcPr>
            <w:tcW w:w="1980" w:type="dxa"/>
            <w:noWrap/>
            <w:vAlign w:val="bottom"/>
          </w:tcPr>
          <w:p w14:paraId="2E1A4A3A" w14:textId="77777777" w:rsidR="008D3AEE" w:rsidRPr="00BD22BC" w:rsidRDefault="008D3AEE" w:rsidP="008A2385">
            <w:pPr>
              <w:spacing w:line="240" w:lineRule="auto"/>
              <w:jc w:val="center"/>
              <w:rPr>
                <w:rFonts w:eastAsia="Times New Roman"/>
                <w:color w:val="000000"/>
                <w:szCs w:val="22"/>
              </w:rPr>
            </w:pPr>
            <w:r w:rsidRPr="00BD22BC">
              <w:rPr>
                <w:szCs w:val="22"/>
              </w:rPr>
              <w:t>1/2 (2:30 p.m.)</w:t>
            </w:r>
          </w:p>
        </w:tc>
        <w:tc>
          <w:tcPr>
            <w:tcW w:w="1980" w:type="dxa"/>
            <w:noWrap/>
            <w:vAlign w:val="bottom"/>
          </w:tcPr>
          <w:p w14:paraId="419E6EEF" w14:textId="77777777" w:rsidR="008D3AEE" w:rsidRPr="00BD22BC" w:rsidRDefault="008D3AEE" w:rsidP="008A2385">
            <w:pPr>
              <w:spacing w:line="240" w:lineRule="auto"/>
              <w:jc w:val="center"/>
              <w:rPr>
                <w:rFonts w:eastAsia="Times New Roman"/>
                <w:color w:val="000000"/>
                <w:szCs w:val="22"/>
              </w:rPr>
            </w:pPr>
            <w:r w:rsidRPr="00BD22BC">
              <w:rPr>
                <w:szCs w:val="22"/>
              </w:rPr>
              <w:t>0</w:t>
            </w:r>
          </w:p>
        </w:tc>
      </w:tr>
    </w:tbl>
    <w:p w14:paraId="41E43FDD" w14:textId="77777777" w:rsidR="008D3AEE" w:rsidRPr="00BD22BC" w:rsidRDefault="008D3AEE" w:rsidP="008D3AEE">
      <w:bookmarkStart w:id="60" w:name="_Hlk173059625"/>
      <w:r w:rsidRPr="00BD22BC">
        <w:rPr>
          <w:b/>
          <w:bCs/>
        </w:rPr>
        <w:t>Sources:</w:t>
      </w:r>
      <w:r w:rsidRPr="00BD22BC">
        <w:t xml:space="preserve"> Central bank websites and IMF staff calculations.</w:t>
      </w:r>
    </w:p>
    <w:bookmarkEnd w:id="60"/>
    <w:p w14:paraId="74256E3F" w14:textId="77777777" w:rsidR="00A823EF" w:rsidRPr="00BD22BC" w:rsidRDefault="00A823EF" w:rsidP="00A823EF"/>
    <w:p w14:paraId="5B034CB7" w14:textId="02E9118C" w:rsidR="00A823EF" w:rsidRPr="00BD22BC" w:rsidRDefault="00A823EF" w:rsidP="00A823EF">
      <w:r>
        <w:t xml:space="preserve">The “dump all” approach </w:t>
      </w:r>
      <w:r w:rsidR="00992E9C">
        <w:t xml:space="preserve">requires </w:t>
      </w:r>
      <w:r>
        <w:t xml:space="preserve">thorough preparation of all communication outputs prior to simultaneous publication. It is no surprise then that the </w:t>
      </w:r>
      <w:r w:rsidR="00920D21">
        <w:t xml:space="preserve">“dump all” </w:t>
      </w:r>
      <w:r>
        <w:t xml:space="preserve">central banks make their policy announcements only the next day after a decision was adopted. This provides staff with several extra hours to finalize the monetary policy statements, put finishing touches on the speaking notes for the press conference, and make any last-minute adjustments to the </w:t>
      </w:r>
      <w:r w:rsidR="00412884">
        <w:t>m</w:t>
      </w:r>
      <w:r>
        <w:t xml:space="preserve">onetary </w:t>
      </w:r>
      <w:r w:rsidR="00412884">
        <w:t>p</w:t>
      </w:r>
      <w:r>
        <w:t xml:space="preserve">olicy </w:t>
      </w:r>
      <w:r w:rsidR="00412884">
        <w:t>r</w:t>
      </w:r>
      <w:r>
        <w:t>eport before all these are simultaneously published.</w:t>
      </w:r>
      <w:r w:rsidR="00AE5179">
        <w:t xml:space="preserve"> </w:t>
      </w:r>
      <w:r w:rsidR="00412884">
        <w:t>Notably,</w:t>
      </w:r>
      <w:r w:rsidR="00A77530">
        <w:t xml:space="preserve"> </w:t>
      </w:r>
      <w:r w:rsidR="00537CEE">
        <w:t xml:space="preserve">most </w:t>
      </w:r>
      <w:r w:rsidR="00A77530">
        <w:t>“dump all” central banks</w:t>
      </w:r>
      <w:r w:rsidR="00537CEE">
        <w:t>, with the notable exception of bilingual Canada,</w:t>
      </w:r>
      <w:r w:rsidR="00A77530">
        <w:t xml:space="preserve"> are those where the </w:t>
      </w:r>
      <w:r w:rsidR="004B77E8">
        <w:t>report is published in one language only.</w:t>
      </w:r>
    </w:p>
    <w:p w14:paraId="28A2DCA0" w14:textId="77777777" w:rsidR="00A823EF" w:rsidRPr="00BD22BC" w:rsidRDefault="00A823EF" w:rsidP="00A823EF"/>
    <w:p w14:paraId="5E2095E4" w14:textId="71E2BC7F" w:rsidR="00A823EF" w:rsidRPr="00BD22BC" w:rsidRDefault="00A823EF" w:rsidP="00441EB1">
      <w:r w:rsidRPr="00BD22BC">
        <w:t xml:space="preserve">In contrast, the “drip feed” tactic gives the central banks’ policymakers and staff more time to finalize the documents for publication. </w:t>
      </w:r>
      <w:r w:rsidRPr="00BD22BC">
        <w:rPr>
          <w:shd w:val="clear" w:color="auto" w:fill="FFFFFF"/>
        </w:rPr>
        <w:t xml:space="preserve">It also </w:t>
      </w:r>
      <w:bookmarkStart w:id="61" w:name="_Hlk173057061"/>
      <w:r w:rsidRPr="00BD22BC">
        <w:rPr>
          <w:shd w:val="clear" w:color="auto" w:fill="FFFFFF"/>
        </w:rPr>
        <w:t>allows audiences to gradually digest all the relevant information, with the amount of detail and complexity of information increasing over time</w:t>
      </w:r>
      <w:bookmarkEnd w:id="61"/>
      <w:r w:rsidRPr="00BD22BC">
        <w:rPr>
          <w:shd w:val="clear" w:color="auto" w:fill="FFFFFF"/>
        </w:rPr>
        <w:t xml:space="preserve">. In practice, the general public and mainstream media pay </w:t>
      </w:r>
      <w:r w:rsidR="08467353" w:rsidRPr="00BD22BC">
        <w:rPr>
          <w:shd w:val="clear" w:color="auto" w:fill="FFFFFF"/>
        </w:rPr>
        <w:t xml:space="preserve">more </w:t>
      </w:r>
      <w:r w:rsidRPr="00BD22BC">
        <w:rPr>
          <w:shd w:val="clear" w:color="auto" w:fill="FFFFFF"/>
        </w:rPr>
        <w:t xml:space="preserve">attention to the first drip of policy news on the decision day. The subsequent “feeding” of more detailed forecast and policy analysis is usually closely watched only by </w:t>
      </w:r>
      <w:r w:rsidR="0051628A" w:rsidRPr="00BD22BC">
        <w:rPr>
          <w:shd w:val="clear" w:color="auto" w:fill="FFFFFF"/>
        </w:rPr>
        <w:t xml:space="preserve">smaller </w:t>
      </w:r>
      <w:r w:rsidRPr="00BD22BC">
        <w:rPr>
          <w:shd w:val="clear" w:color="auto" w:fill="FFFFFF"/>
        </w:rPr>
        <w:t>expert audiences, such as private sector economists and financial market participants.</w:t>
      </w:r>
      <w:r w:rsidR="0051628A" w:rsidRPr="00BD22BC">
        <w:rPr>
          <w:shd w:val="clear" w:color="auto" w:fill="FFFFFF"/>
        </w:rPr>
        <w:t xml:space="preserve"> Needless to say, </w:t>
      </w:r>
      <w:r w:rsidR="003B5BD2" w:rsidRPr="00BD22BC">
        <w:rPr>
          <w:shd w:val="clear" w:color="auto" w:fill="FFFFFF"/>
        </w:rPr>
        <w:t>“drip feed” makes it easier to prepare documents in two or more language</w:t>
      </w:r>
      <w:r w:rsidR="00D7345D" w:rsidRPr="00BD22BC">
        <w:rPr>
          <w:shd w:val="clear" w:color="auto" w:fill="FFFFFF"/>
        </w:rPr>
        <w:t>s</w:t>
      </w:r>
      <w:r w:rsidR="003B5BD2" w:rsidRPr="00BD22BC">
        <w:rPr>
          <w:shd w:val="clear" w:color="auto" w:fill="FFFFFF"/>
        </w:rPr>
        <w:t xml:space="preserve"> </w:t>
      </w:r>
      <w:r w:rsidR="00937697" w:rsidRPr="00BD22BC">
        <w:rPr>
          <w:shd w:val="clear" w:color="auto" w:fill="FFFFFF"/>
        </w:rPr>
        <w:t xml:space="preserve">for </w:t>
      </w:r>
      <w:r w:rsidR="00062E23" w:rsidRPr="00BD22BC">
        <w:rPr>
          <w:shd w:val="clear" w:color="auto" w:fill="FFFFFF"/>
        </w:rPr>
        <w:t>smaller</w:t>
      </w:r>
      <w:r w:rsidR="00D7345D" w:rsidRPr="00BD22BC">
        <w:rPr>
          <w:shd w:val="clear" w:color="auto" w:fill="FFFFFF"/>
        </w:rPr>
        <w:t xml:space="preserve"> and more resource-constrained</w:t>
      </w:r>
      <w:r w:rsidR="00062E23" w:rsidRPr="00BD22BC">
        <w:rPr>
          <w:shd w:val="clear" w:color="auto" w:fill="FFFFFF"/>
        </w:rPr>
        <w:t xml:space="preserve"> institutions</w:t>
      </w:r>
      <w:r w:rsidR="00307E58" w:rsidRPr="00BD22BC">
        <w:rPr>
          <w:shd w:val="clear" w:color="auto" w:fill="FFFFFF"/>
        </w:rPr>
        <w:t xml:space="preserve">, </w:t>
      </w:r>
      <w:r w:rsidR="006C60FC" w:rsidRPr="00BD22BC">
        <w:rPr>
          <w:shd w:val="clear" w:color="auto" w:fill="FFFFFF"/>
        </w:rPr>
        <w:t xml:space="preserve">such </w:t>
      </w:r>
      <w:r w:rsidR="00307E58" w:rsidRPr="00BD22BC">
        <w:rPr>
          <w:shd w:val="clear" w:color="auto" w:fill="FFFFFF"/>
        </w:rPr>
        <w:t>as the Czech National Bank (Czech/English)</w:t>
      </w:r>
      <w:r w:rsidR="006C60FC" w:rsidRPr="00BD22BC">
        <w:rPr>
          <w:shd w:val="clear" w:color="auto" w:fill="FFFFFF"/>
        </w:rPr>
        <w:t>,</w:t>
      </w:r>
      <w:r w:rsidR="00307E58" w:rsidRPr="00BD22BC">
        <w:rPr>
          <w:shd w:val="clear" w:color="auto" w:fill="FFFFFF"/>
        </w:rPr>
        <w:t xml:space="preserve"> </w:t>
      </w:r>
      <w:proofErr w:type="spellStart"/>
      <w:r w:rsidR="00307E58" w:rsidRPr="00BD22BC">
        <w:rPr>
          <w:shd w:val="clear" w:color="auto" w:fill="FFFFFF"/>
        </w:rPr>
        <w:t>Riksbank</w:t>
      </w:r>
      <w:proofErr w:type="spellEnd"/>
      <w:r w:rsidR="00307E58" w:rsidRPr="00BD22BC">
        <w:rPr>
          <w:shd w:val="clear" w:color="auto" w:fill="FFFFFF"/>
        </w:rPr>
        <w:t xml:space="preserve"> (Swedish/English)</w:t>
      </w:r>
      <w:r w:rsidR="006C60FC" w:rsidRPr="00BD22BC">
        <w:rPr>
          <w:shd w:val="clear" w:color="auto" w:fill="FFFFFF"/>
        </w:rPr>
        <w:t>,</w:t>
      </w:r>
      <w:r w:rsidR="002E2AEA" w:rsidRPr="00BD22BC">
        <w:rPr>
          <w:shd w:val="clear" w:color="auto" w:fill="FFFFFF"/>
        </w:rPr>
        <w:t xml:space="preserve"> Bank of Thailand (Thai/English)</w:t>
      </w:r>
      <w:r w:rsidR="006C60FC" w:rsidRPr="00BD22BC">
        <w:rPr>
          <w:shd w:val="clear" w:color="auto" w:fill="FFFFFF"/>
        </w:rPr>
        <w:t>,</w:t>
      </w:r>
      <w:r w:rsidR="00307E58" w:rsidRPr="00BD22BC">
        <w:rPr>
          <w:shd w:val="clear" w:color="auto" w:fill="FFFFFF"/>
        </w:rPr>
        <w:t xml:space="preserve"> </w:t>
      </w:r>
      <w:r w:rsidR="1AFAA9AF" w:rsidRPr="00BD22BC">
        <w:rPr>
          <w:shd w:val="clear" w:color="auto" w:fill="FFFFFF"/>
        </w:rPr>
        <w:t>and</w:t>
      </w:r>
      <w:r w:rsidR="00307E58" w:rsidRPr="00BD22BC">
        <w:rPr>
          <w:shd w:val="clear" w:color="auto" w:fill="FFFFFF"/>
        </w:rPr>
        <w:t xml:space="preserve"> Bank Al-Maghrib (French/Arabic/English).</w:t>
      </w:r>
    </w:p>
    <w:p w14:paraId="171DFAA6" w14:textId="77777777" w:rsidR="00A823EF" w:rsidRPr="00BD22BC" w:rsidRDefault="00A823EF" w:rsidP="00441EB1"/>
    <w:p w14:paraId="75F54EAD" w14:textId="573A3017" w:rsidR="00441EB1" w:rsidRPr="00BD22BC" w:rsidRDefault="006034C9" w:rsidP="00441EB1">
      <w:bookmarkStart w:id="62" w:name="_Hlk174802175"/>
      <w:r w:rsidRPr="00BD22BC">
        <w:t>This document &lt;INSERT PDF #</w:t>
      </w:r>
      <w:r w:rsidR="06DEA40E" w:rsidRPr="00BD22BC">
        <w:t>6</w:t>
      </w:r>
      <w:r w:rsidRPr="00BD22BC">
        <w:t xml:space="preserve">&gt; </w:t>
      </w:r>
      <w:r w:rsidR="00441EB1" w:rsidRPr="00BD22BC">
        <w:t>explore</w:t>
      </w:r>
      <w:r w:rsidRPr="00BD22BC">
        <w:t>s</w:t>
      </w:r>
      <w:r w:rsidR="00441EB1" w:rsidRPr="00BD22BC">
        <w:t xml:space="preserve"> </w:t>
      </w:r>
      <w:r w:rsidR="00D53FF7" w:rsidRPr="00BD22BC">
        <w:t>in greater detail examples of both “dump all” and “drip feed” approach</w:t>
      </w:r>
      <w:r w:rsidR="007475CC" w:rsidRPr="00BD22BC">
        <w:t>, and their</w:t>
      </w:r>
      <w:r w:rsidR="0021231A" w:rsidRPr="00BD22BC">
        <w:t xml:space="preserve"> respective</w:t>
      </w:r>
      <w:r w:rsidR="007475CC" w:rsidRPr="00BD22BC">
        <w:t xml:space="preserve"> pros and cons</w:t>
      </w:r>
      <w:r w:rsidR="00D53FF7" w:rsidRPr="00BD22BC">
        <w:t xml:space="preserve"> from the perspective of developing and emerging markets</w:t>
      </w:r>
      <w:r w:rsidR="00441EB1" w:rsidRPr="00BD22BC">
        <w:t>.</w:t>
      </w:r>
    </w:p>
    <w:bookmarkEnd w:id="59"/>
    <w:bookmarkEnd w:id="62"/>
    <w:p w14:paraId="6369E8A3" w14:textId="463C11B2" w:rsidR="6EEC262A" w:rsidRPr="00BD22BC" w:rsidRDefault="6EEC262A" w:rsidP="6EEC262A"/>
    <w:p w14:paraId="26F0CCA7" w14:textId="2EB16C31" w:rsidR="0088777E" w:rsidRPr="00BD22BC" w:rsidRDefault="0CB3C067" w:rsidP="0088777E">
      <w:pPr>
        <w:pStyle w:val="Heading3"/>
        <w:rPr>
          <w:rFonts w:eastAsia="Arial"/>
          <w:color w:val="000000" w:themeColor="text1"/>
        </w:rPr>
      </w:pPr>
      <w:bookmarkStart w:id="63" w:name="_Toc655133495"/>
      <w:bookmarkStart w:id="64" w:name="_Hlk169560542"/>
      <w:bookmarkStart w:id="65" w:name="_Hlk170163211"/>
      <w:r w:rsidRPr="7EEFCAA8">
        <w:rPr>
          <w:rFonts w:eastAsia="Arial"/>
          <w:color w:val="000000" w:themeColor="text1"/>
          <w:highlight w:val="yellow"/>
        </w:rPr>
        <w:t>&lt;PDF #</w:t>
      </w:r>
      <w:r w:rsidR="2BC4984B" w:rsidRPr="7EEFCAA8">
        <w:rPr>
          <w:rFonts w:eastAsia="Arial"/>
          <w:color w:val="000000" w:themeColor="text1"/>
          <w:highlight w:val="yellow"/>
        </w:rPr>
        <w:t>6</w:t>
      </w:r>
      <w:r w:rsidRPr="7EEFCAA8">
        <w:rPr>
          <w:rFonts w:eastAsia="Arial"/>
          <w:color w:val="000000" w:themeColor="text1"/>
          <w:highlight w:val="yellow"/>
        </w:rPr>
        <w:t>&gt;</w:t>
      </w:r>
      <w:bookmarkEnd w:id="63"/>
      <w:r w:rsidR="1B44D816" w:rsidRPr="7EEFCAA8">
        <w:rPr>
          <w:rFonts w:eastAsia="Arial"/>
          <w:color w:val="000000" w:themeColor="text1"/>
        </w:rPr>
        <w:t xml:space="preserve"> </w:t>
      </w:r>
      <w:bookmarkEnd w:id="64"/>
    </w:p>
    <w:bookmarkEnd w:id="65"/>
    <w:p w14:paraId="22FCDC28" w14:textId="08E95576" w:rsidR="002851B1" w:rsidRPr="00BD22BC" w:rsidRDefault="00366116" w:rsidP="6EEC262A">
      <w:pPr>
        <w:rPr>
          <w:b/>
          <w:bCs/>
        </w:rPr>
      </w:pPr>
      <w:r w:rsidRPr="00BD22BC">
        <w:rPr>
          <w:b/>
          <w:bCs/>
        </w:rPr>
        <w:t xml:space="preserve">Country Examples: </w:t>
      </w:r>
      <w:r w:rsidR="002851B1" w:rsidRPr="00BD22BC">
        <w:rPr>
          <w:b/>
          <w:bCs/>
        </w:rPr>
        <w:t>“</w:t>
      </w:r>
      <w:r w:rsidRPr="00BD22BC">
        <w:rPr>
          <w:b/>
          <w:bCs/>
        </w:rPr>
        <w:t>D</w:t>
      </w:r>
      <w:r w:rsidR="00B43082" w:rsidRPr="00BD22BC">
        <w:rPr>
          <w:b/>
          <w:bCs/>
        </w:rPr>
        <w:t>ump all</w:t>
      </w:r>
      <w:r w:rsidR="002851B1" w:rsidRPr="00BD22BC">
        <w:rPr>
          <w:b/>
          <w:bCs/>
        </w:rPr>
        <w:t>”</w:t>
      </w:r>
      <w:r w:rsidRPr="00BD22BC">
        <w:rPr>
          <w:b/>
          <w:bCs/>
        </w:rPr>
        <w:t xml:space="preserve"> vs “Drip feed”</w:t>
      </w:r>
    </w:p>
    <w:p w14:paraId="00D5D4FB" w14:textId="77777777" w:rsidR="00B16D1F" w:rsidRPr="00BD22BC" w:rsidRDefault="00B16D1F" w:rsidP="6EEC262A"/>
    <w:p w14:paraId="58ACBA2F" w14:textId="42B7B605" w:rsidR="00116AE4" w:rsidRPr="00BD22BC" w:rsidRDefault="00116AE4" w:rsidP="005420AB">
      <w:pPr>
        <w:rPr>
          <w:b/>
          <w:bCs/>
        </w:rPr>
      </w:pPr>
      <w:r w:rsidRPr="1BB63DC4">
        <w:rPr>
          <w:b/>
          <w:bCs/>
        </w:rPr>
        <w:t xml:space="preserve">“Dump all” Examples: </w:t>
      </w:r>
      <w:r w:rsidR="00196FB2" w:rsidRPr="1BB63DC4">
        <w:rPr>
          <w:b/>
          <w:bCs/>
        </w:rPr>
        <w:t>Bank of England and Bank of Canada</w:t>
      </w:r>
    </w:p>
    <w:p w14:paraId="27BCF853" w14:textId="77777777" w:rsidR="00116AE4" w:rsidRPr="00BD22BC" w:rsidRDefault="00116AE4" w:rsidP="005420AB"/>
    <w:p w14:paraId="0AD563BD" w14:textId="5E18532A" w:rsidR="00387447" w:rsidRPr="00BD22BC" w:rsidRDefault="00387447" w:rsidP="6EEC262A">
      <w:r>
        <w:t>In contrast to other central banks that adopt a “dump all” approach, the Bank of England and the Bank of Canada are notable exceptions. Both central banks promptly release all information at once, without any delay between the publication of a decision and the subsequent explanatory and background communication.</w:t>
      </w:r>
      <w:bookmarkStart w:id="66" w:name="_Hlk173052936"/>
    </w:p>
    <w:p w14:paraId="7EF93104" w14:textId="77777777" w:rsidR="00D53FF7" w:rsidRPr="00BD22BC" w:rsidRDefault="00D53FF7" w:rsidP="6EEC262A"/>
    <w:p w14:paraId="2D509067" w14:textId="52B22DC7" w:rsidR="00D53FF7" w:rsidRPr="00BD22BC" w:rsidRDefault="00D53FF7" w:rsidP="6EEC262A">
      <w:r>
        <w:t xml:space="preserve">Other advanced countries’ central banks </w:t>
      </w:r>
      <w:bookmarkStart w:id="67" w:name="_Hlk174799094"/>
      <w:r>
        <w:t xml:space="preserve">following the “dump all” approach </w:t>
      </w:r>
      <w:bookmarkEnd w:id="67"/>
      <w:r>
        <w:t>have a 30-minute to 1-hour gap between the publication of a decision and a press conference.</w:t>
      </w:r>
    </w:p>
    <w:p w14:paraId="77DB20C1" w14:textId="77777777" w:rsidR="00387447" w:rsidRPr="00BD22BC" w:rsidRDefault="00387447" w:rsidP="6EEC262A"/>
    <w:p w14:paraId="0209FC05" w14:textId="3DF0F049" w:rsidR="008B504B" w:rsidRPr="00BD22BC" w:rsidRDefault="00965D4C" w:rsidP="6EEC262A">
      <w:r>
        <w:t>The Bank of England</w:t>
      </w:r>
      <w:r w:rsidR="00851AAE">
        <w:t xml:space="preserve">, as of mid-2024, </w:t>
      </w:r>
      <w:r>
        <w:t>simultaneously publishes</w:t>
      </w:r>
      <w:r w:rsidR="00851AAE">
        <w:t xml:space="preserve"> </w:t>
      </w:r>
      <w:r>
        <w:t xml:space="preserve">its policy decision, the breakdown of policymakers' votes along with a summary of their debate (the so-called “minutes”), its quarterly </w:t>
      </w:r>
      <w:r>
        <w:lastRenderedPageBreak/>
        <w:t>forecasts in the Monetary Policy Report, and holds a press conference</w:t>
      </w:r>
      <w:r w:rsidR="00851AAE" w:rsidRPr="38638030">
        <w:rPr>
          <w:rFonts w:cs="Arial"/>
        </w:rPr>
        <w:t>—</w:t>
      </w:r>
      <w:r>
        <w:t xml:space="preserve">all </w:t>
      </w:r>
      <w:r w:rsidR="008B504B">
        <w:t>at the same time</w:t>
      </w:r>
      <w:r>
        <w:t>, at 12 p.m. the day after a decision was adopted</w:t>
      </w:r>
      <w:r w:rsidR="008B504B">
        <w:t>.</w:t>
      </w:r>
    </w:p>
    <w:bookmarkEnd w:id="66"/>
    <w:p w14:paraId="767F7D6A" w14:textId="77777777" w:rsidR="008B504B" w:rsidRPr="00BD22BC" w:rsidRDefault="008B504B" w:rsidP="6EEC262A"/>
    <w:p w14:paraId="671B4256" w14:textId="311319F3" w:rsidR="00062E23" w:rsidRPr="00BD22BC" w:rsidRDefault="008B504B" w:rsidP="6EEC262A">
      <w:r>
        <w:t xml:space="preserve">The </w:t>
      </w:r>
      <w:r w:rsidR="00851AAE">
        <w:t xml:space="preserve">Bank of England </w:t>
      </w:r>
      <w:r>
        <w:t xml:space="preserve">changed the way it announces its monetary policy decisions as part of its push for greater clarity in 2015. </w:t>
      </w:r>
    </w:p>
    <w:p w14:paraId="7F2BC8E6" w14:textId="77777777" w:rsidR="00366116" w:rsidRPr="00BD22BC" w:rsidRDefault="00366116" w:rsidP="00515B10"/>
    <w:p w14:paraId="4CC2EDEB" w14:textId="1C73A928" w:rsidR="008B504B" w:rsidRPr="00BD22BC" w:rsidRDefault="005802BB" w:rsidP="6EEC262A">
      <w:r>
        <w:t>Pre-2015</w:t>
      </w:r>
      <w:r w:rsidR="008B504B">
        <w:t xml:space="preserve">, the announcements </w:t>
      </w:r>
      <w:r w:rsidR="00C61BB7">
        <w:t>were</w:t>
      </w:r>
      <w:r w:rsidR="008B504B">
        <w:t xml:space="preserve"> made on separate days, in what </w:t>
      </w:r>
      <w:r w:rsidR="00C102C0">
        <w:t xml:space="preserve">the </w:t>
      </w:r>
      <w:r w:rsidR="00424C50">
        <w:t xml:space="preserve">then </w:t>
      </w:r>
      <w:r w:rsidR="00851AAE">
        <w:t xml:space="preserve">Bank of England </w:t>
      </w:r>
      <w:r w:rsidR="008B504B">
        <w:t>Governor Mark Carney</w:t>
      </w:r>
      <w:r w:rsidR="00424C50">
        <w:t xml:space="preserve"> </w:t>
      </w:r>
      <w:r w:rsidR="008B504B">
        <w:t>called "a drip-feed of news".</w:t>
      </w:r>
    </w:p>
    <w:p w14:paraId="7FC53AE1" w14:textId="77777777" w:rsidR="008D21FB" w:rsidRPr="00BD22BC" w:rsidRDefault="008D21FB" w:rsidP="6EEC262A"/>
    <w:p w14:paraId="36E88A52" w14:textId="77777777" w:rsidR="00DB04AF" w:rsidRPr="00BD22BC" w:rsidRDefault="00DB04AF" w:rsidP="00DB04AF">
      <w:pPr>
        <w:rPr>
          <w:b/>
          <w:bCs/>
        </w:rPr>
      </w:pPr>
      <w:bookmarkStart w:id="68" w:name="_Hlk170163231"/>
      <w:r w:rsidRPr="00BD22BC">
        <w:rPr>
          <w:b/>
          <w:bCs/>
        </w:rPr>
        <w:t>“Drip feed” Examples: The European Central Bank and Czech National Bank</w:t>
      </w:r>
    </w:p>
    <w:p w14:paraId="120F4675" w14:textId="77777777" w:rsidR="00DB04AF" w:rsidRPr="00BD22BC" w:rsidRDefault="00DB04AF" w:rsidP="00DB04AF"/>
    <w:p w14:paraId="6F0EA1BC" w14:textId="77777777" w:rsidR="00DB04AF" w:rsidRPr="00BD22BC" w:rsidRDefault="00DB04AF" w:rsidP="00DB04AF">
      <w:r>
        <w:t xml:space="preserve">Among advanced economies’ central banks, the European Central Bank (ECB), the Czech National Bank, and the Reserve Bank of Australia, belong to the “drip feeders”. </w:t>
      </w:r>
    </w:p>
    <w:p w14:paraId="1F5FA215" w14:textId="77777777" w:rsidR="00DB04AF" w:rsidRPr="00BD22BC" w:rsidRDefault="00DB04AF" w:rsidP="00DB04AF"/>
    <w:p w14:paraId="32D9D1FA" w14:textId="77777777" w:rsidR="00DB04AF" w:rsidRPr="00BD22BC" w:rsidRDefault="00DB04AF" w:rsidP="00DB04AF">
      <w:r>
        <w:t>In the case of both central banks, the day of the decision is reserved for discussing main highlights. The details and expert background about policy and forecasts are published in their Monetary Policy Reports with a delay of about one week from the day of a decision. The Czech National Bank Board’s minutes of policy deliberations also come a week later.</w:t>
      </w:r>
    </w:p>
    <w:p w14:paraId="69592F32" w14:textId="77777777" w:rsidR="00DB04AF" w:rsidRPr="00BD22BC" w:rsidRDefault="00DB04AF" w:rsidP="00DB04AF"/>
    <w:p w14:paraId="1D748707" w14:textId="77777777" w:rsidR="00DB04AF" w:rsidRPr="00BD22BC" w:rsidRDefault="00DB04AF" w:rsidP="00DB04AF">
      <w:r w:rsidRPr="00BD22BC">
        <w:t xml:space="preserve">Using the example of the Czech National Bank, this schedule details how a “drip feed” communication sequence looks in practice. </w:t>
      </w:r>
    </w:p>
    <w:p w14:paraId="1A6CE6AB" w14:textId="77777777" w:rsidR="00DB04AF" w:rsidRDefault="00DB04AF" w:rsidP="00DB04AF"/>
    <w:tbl>
      <w:tblPr>
        <w:tblStyle w:val="TableGrid"/>
        <w:tblW w:w="0" w:type="auto"/>
        <w:shd w:val="clear" w:color="auto" w:fill="D9D9D9" w:themeFill="background1" w:themeFillShade="D9"/>
        <w:tblCellMar>
          <w:top w:w="115" w:type="dxa"/>
          <w:bottom w:w="115" w:type="dxa"/>
        </w:tblCellMar>
        <w:tblLook w:val="04A0" w:firstRow="1" w:lastRow="0" w:firstColumn="1" w:lastColumn="0" w:noHBand="0" w:noVBand="1"/>
      </w:tblPr>
      <w:tblGrid>
        <w:gridCol w:w="10070"/>
      </w:tblGrid>
      <w:tr w:rsidR="00DB04AF" w14:paraId="797C4E34" w14:textId="77777777" w:rsidTr="00414D4E">
        <w:tc>
          <w:tcPr>
            <w:tcW w:w="10070" w:type="dxa"/>
            <w:shd w:val="clear" w:color="auto" w:fill="D9D9D9" w:themeFill="background1" w:themeFillShade="D9"/>
          </w:tcPr>
          <w:p w14:paraId="5EDA00C4" w14:textId="77777777" w:rsidR="00DB04AF" w:rsidRPr="00F01E06" w:rsidRDefault="00DB04AF" w:rsidP="00414D4E">
            <w:pPr>
              <w:rPr>
                <w:i/>
                <w:iCs/>
                <w:sz w:val="20"/>
                <w:szCs w:val="20"/>
              </w:rPr>
            </w:pPr>
            <w:r w:rsidRPr="00F01E06">
              <w:rPr>
                <w:rStyle w:val="Strong"/>
                <w:rFonts w:cs="Arial"/>
                <w:i/>
                <w:iCs/>
                <w:sz w:val="20"/>
                <w:szCs w:val="20"/>
              </w:rPr>
              <w:t>9.00 a.m.</w:t>
            </w:r>
            <w:r w:rsidRPr="00F01E06">
              <w:rPr>
                <w:i/>
                <w:iCs/>
                <w:sz w:val="20"/>
                <w:szCs w:val="20"/>
              </w:rPr>
              <w:t> – Start of the Bank Board’s monetary policy meeting</w:t>
            </w:r>
          </w:p>
          <w:p w14:paraId="6C5C4674" w14:textId="77777777" w:rsidR="00DB04AF" w:rsidRPr="00F01E06" w:rsidRDefault="00DB04AF" w:rsidP="00414D4E">
            <w:pPr>
              <w:rPr>
                <w:i/>
                <w:iCs/>
                <w:sz w:val="20"/>
                <w:szCs w:val="20"/>
              </w:rPr>
            </w:pPr>
            <w:r w:rsidRPr="00F01E06">
              <w:rPr>
                <w:rStyle w:val="Strong"/>
                <w:rFonts w:cs="Arial"/>
                <w:i/>
                <w:iCs/>
                <w:sz w:val="20"/>
                <w:szCs w:val="20"/>
              </w:rPr>
              <w:t>2.30 p.m.</w:t>
            </w:r>
            <w:r w:rsidRPr="00F01E06">
              <w:rPr>
                <w:i/>
                <w:iCs/>
                <w:sz w:val="20"/>
                <w:szCs w:val="20"/>
              </w:rPr>
              <w:t> – Publication of the Bank Board’s decision</w:t>
            </w:r>
          </w:p>
          <w:p w14:paraId="2B07B585" w14:textId="77777777" w:rsidR="00DB04AF" w:rsidRPr="00F01E06" w:rsidRDefault="00DB04AF" w:rsidP="00414D4E">
            <w:pPr>
              <w:rPr>
                <w:i/>
                <w:iCs/>
                <w:sz w:val="20"/>
                <w:szCs w:val="20"/>
              </w:rPr>
            </w:pPr>
            <w:r w:rsidRPr="00F01E06">
              <w:rPr>
                <w:rStyle w:val="Strong"/>
                <w:rFonts w:cs="Arial"/>
                <w:i/>
                <w:iCs/>
                <w:sz w:val="20"/>
                <w:szCs w:val="20"/>
              </w:rPr>
              <w:t>3.45 p.m.</w:t>
            </w:r>
            <w:r w:rsidRPr="00F01E06">
              <w:rPr>
                <w:i/>
                <w:iCs/>
                <w:sz w:val="20"/>
                <w:szCs w:val="20"/>
              </w:rPr>
              <w:t> – Press conference</w:t>
            </w:r>
          </w:p>
          <w:p w14:paraId="61CB8003" w14:textId="77777777" w:rsidR="00DB04AF" w:rsidRPr="00F2747E" w:rsidRDefault="00DB04AF" w:rsidP="00414D4E">
            <w:pPr>
              <w:rPr>
                <w:sz w:val="20"/>
                <w:szCs w:val="20"/>
              </w:rPr>
            </w:pPr>
          </w:p>
          <w:p w14:paraId="56FAE4FB" w14:textId="77777777" w:rsidR="00DB04AF" w:rsidRPr="00F2747E" w:rsidRDefault="00DB04AF" w:rsidP="00414D4E">
            <w:pPr>
              <w:rPr>
                <w:b/>
                <w:bCs/>
                <w:sz w:val="20"/>
                <w:szCs w:val="20"/>
              </w:rPr>
            </w:pPr>
            <w:r w:rsidRPr="00F2747E">
              <w:rPr>
                <w:b/>
                <w:bCs/>
                <w:sz w:val="20"/>
                <w:szCs w:val="20"/>
              </w:rPr>
              <w:t>On the day of the rate decision</w:t>
            </w:r>
          </w:p>
          <w:p w14:paraId="722F4E9E" w14:textId="77777777" w:rsidR="00DB04AF" w:rsidRPr="00F2747E" w:rsidRDefault="00DB04AF" w:rsidP="00414D4E">
            <w:pPr>
              <w:rPr>
                <w:sz w:val="20"/>
                <w:szCs w:val="20"/>
              </w:rPr>
            </w:pPr>
            <w:r w:rsidRPr="00F2747E">
              <w:rPr>
                <w:sz w:val="20"/>
                <w:szCs w:val="20"/>
              </w:rPr>
              <w:t>The monetary policy meeting opens with the Monetary Department presenting the </w:t>
            </w:r>
            <w:hyperlink r:id="rId23" w:history="1">
              <w:r w:rsidRPr="00F2747E">
                <w:rPr>
                  <w:rStyle w:val="Hyperlink"/>
                  <w:rFonts w:cs="Arial"/>
                  <w:color w:val="2526A9"/>
                  <w:sz w:val="20"/>
                  <w:szCs w:val="20"/>
                </w:rPr>
                <w:t>macroeconomic forecast</w:t>
              </w:r>
            </w:hyperlink>
            <w:r w:rsidRPr="00F2747E">
              <w:rPr>
                <w:sz w:val="20"/>
                <w:szCs w:val="20"/>
              </w:rPr>
              <w:t>, its risks and uncertainties, and other monetary policy considerations. In addition, the Monetary Department gives the Bank Board its recommendation on interest rates and overall communication. The meeting is also attended by representatives of the Financial Stability Department, the Financial Markets and Resolution Department and the Communications Division.</w:t>
            </w:r>
          </w:p>
          <w:p w14:paraId="1BE7F0A5" w14:textId="77777777" w:rsidR="00DB04AF" w:rsidRPr="00F2747E" w:rsidRDefault="00DB04AF" w:rsidP="00414D4E">
            <w:pPr>
              <w:rPr>
                <w:sz w:val="20"/>
                <w:szCs w:val="20"/>
              </w:rPr>
            </w:pPr>
            <w:r w:rsidRPr="00F2747E">
              <w:rPr>
                <w:sz w:val="20"/>
                <w:szCs w:val="20"/>
              </w:rPr>
              <w:t>The presentation and the first round of questions is followed by the second part of the meeting, where only the Bank Board and the heads of these units are present. The Bank Board members express their views on the current situation and indicate how they will vote. At the end of the meeting, the Bank Board votes on interest rates and exceptionally also on other monetary policy measures.</w:t>
            </w:r>
          </w:p>
          <w:p w14:paraId="2C07BD7D" w14:textId="77777777" w:rsidR="00DB04AF" w:rsidRPr="00F2747E" w:rsidRDefault="00DB04AF" w:rsidP="00414D4E">
            <w:pPr>
              <w:rPr>
                <w:sz w:val="20"/>
                <w:szCs w:val="20"/>
              </w:rPr>
            </w:pPr>
            <w:r w:rsidRPr="00F2747E">
              <w:rPr>
                <w:sz w:val="20"/>
                <w:szCs w:val="20"/>
              </w:rPr>
              <w:t>The outcome of the meeting is then published and presented at a press conference in the afternoon in the form of a statement of the Bank Board. The ratio of the votes cast and the reasons for the decision are disclosed along with the decision itself.</w:t>
            </w:r>
          </w:p>
          <w:p w14:paraId="3FFD2C31" w14:textId="77777777" w:rsidR="00DB04AF" w:rsidRDefault="00DB04AF" w:rsidP="00414D4E">
            <w:pPr>
              <w:rPr>
                <w:b/>
                <w:bCs/>
                <w:sz w:val="20"/>
                <w:szCs w:val="20"/>
              </w:rPr>
            </w:pPr>
          </w:p>
          <w:p w14:paraId="6E952E16" w14:textId="77777777" w:rsidR="00DB04AF" w:rsidRPr="00F2747E" w:rsidRDefault="00DB04AF" w:rsidP="00414D4E">
            <w:pPr>
              <w:rPr>
                <w:b/>
                <w:bCs/>
                <w:sz w:val="20"/>
                <w:szCs w:val="20"/>
              </w:rPr>
            </w:pPr>
            <w:r w:rsidRPr="00F2747E">
              <w:rPr>
                <w:b/>
                <w:bCs/>
                <w:sz w:val="20"/>
                <w:szCs w:val="20"/>
              </w:rPr>
              <w:t>Eight days later</w:t>
            </w:r>
          </w:p>
          <w:p w14:paraId="6C15FD79" w14:textId="77777777" w:rsidR="00DB04AF" w:rsidRPr="00F2747E" w:rsidRDefault="00000000" w:rsidP="00414D4E">
            <w:pPr>
              <w:rPr>
                <w:sz w:val="20"/>
                <w:szCs w:val="20"/>
              </w:rPr>
            </w:pPr>
            <w:hyperlink r:id="rId24" w:history="1">
              <w:r w:rsidR="00DB04AF" w:rsidRPr="00F2747E">
                <w:rPr>
                  <w:rStyle w:val="Hyperlink"/>
                  <w:rFonts w:cs="Arial"/>
                  <w:color w:val="2526A9"/>
                  <w:sz w:val="20"/>
                  <w:szCs w:val="20"/>
                </w:rPr>
                <w:t>Minutes of the Bank Board meeting</w:t>
              </w:r>
            </w:hyperlink>
            <w:r w:rsidR="00DB04AF" w:rsidRPr="00F2747E">
              <w:rPr>
                <w:sz w:val="20"/>
                <w:szCs w:val="20"/>
              </w:rPr>
              <w:t> are published on the Friday following the monetary policy meeting. They present key arguments attributed to specific Bank Board members so the public can learn about the arguments made during the meeting.</w:t>
            </w:r>
          </w:p>
          <w:p w14:paraId="22A9F1FC" w14:textId="77777777" w:rsidR="00DB04AF" w:rsidRPr="00F2747E" w:rsidRDefault="00DB04AF" w:rsidP="00414D4E">
            <w:pPr>
              <w:rPr>
                <w:sz w:val="20"/>
                <w:szCs w:val="20"/>
              </w:rPr>
            </w:pPr>
            <w:r w:rsidRPr="00F2747E">
              <w:rPr>
                <w:sz w:val="20"/>
                <w:szCs w:val="20"/>
              </w:rPr>
              <w:t>When a new forecast is available, the </w:t>
            </w:r>
            <w:hyperlink r:id="rId25" w:history="1">
              <w:r w:rsidRPr="00F2747E">
                <w:rPr>
                  <w:rStyle w:val="Hyperlink"/>
                  <w:rFonts w:cs="Arial"/>
                  <w:color w:val="2526A9"/>
                  <w:sz w:val="20"/>
                  <w:szCs w:val="20"/>
                </w:rPr>
                <w:t>Monetary Policy Report</w:t>
              </w:r>
            </w:hyperlink>
            <w:r w:rsidRPr="00F2747E">
              <w:rPr>
                <w:sz w:val="20"/>
                <w:szCs w:val="20"/>
              </w:rPr>
              <w:t> is published together with the minutes of the meeting. It describes the forecast, the baseline and additional scenarios, and monetary policy considerations. When a new forecast is not available, a description of the risks to the inflation forecast assessed by economists from the Monetary Department is published.</w:t>
            </w:r>
          </w:p>
          <w:p w14:paraId="6CB52118" w14:textId="77777777" w:rsidR="00DB04AF" w:rsidRDefault="00DB04AF" w:rsidP="00414D4E">
            <w:pPr>
              <w:rPr>
                <w:b/>
                <w:bCs/>
                <w:sz w:val="20"/>
                <w:szCs w:val="20"/>
              </w:rPr>
            </w:pPr>
          </w:p>
          <w:p w14:paraId="7BC379AB" w14:textId="77777777" w:rsidR="00DB04AF" w:rsidRPr="00F2747E" w:rsidRDefault="00DB04AF" w:rsidP="00414D4E">
            <w:pPr>
              <w:rPr>
                <w:b/>
                <w:bCs/>
                <w:sz w:val="20"/>
                <w:szCs w:val="20"/>
              </w:rPr>
            </w:pPr>
            <w:r w:rsidRPr="00F2747E">
              <w:rPr>
                <w:b/>
                <w:bCs/>
                <w:sz w:val="20"/>
                <w:szCs w:val="20"/>
              </w:rPr>
              <w:t>Six years after the monetary policy meeting</w:t>
            </w:r>
          </w:p>
          <w:p w14:paraId="151FA151" w14:textId="77777777" w:rsidR="00DB04AF" w:rsidRDefault="00DB04AF" w:rsidP="00414D4E">
            <w:r w:rsidRPr="00F2747E">
              <w:rPr>
                <w:sz w:val="20"/>
                <w:szCs w:val="20"/>
              </w:rPr>
              <w:lastRenderedPageBreak/>
              <w:t>All detailed transcripts of the Bank Board’s monetary policy meetings, along with all the inputs that were available to the Bank Board for its decisions in the whole of the given year, are published at the end of January six years later.</w:t>
            </w:r>
          </w:p>
        </w:tc>
      </w:tr>
    </w:tbl>
    <w:p w14:paraId="30D1206B" w14:textId="77777777" w:rsidR="00DB04AF" w:rsidRDefault="00DB04AF" w:rsidP="00DB04AF">
      <w:pPr>
        <w:rPr>
          <w:b/>
          <w:bCs/>
          <w:sz w:val="18"/>
          <w:szCs w:val="18"/>
        </w:rPr>
      </w:pPr>
    </w:p>
    <w:p w14:paraId="61D588B4" w14:textId="77777777" w:rsidR="00DB04AF" w:rsidRPr="00193157" w:rsidRDefault="00DB04AF" w:rsidP="00DB04AF">
      <w:pPr>
        <w:rPr>
          <w:sz w:val="20"/>
          <w:szCs w:val="20"/>
        </w:rPr>
      </w:pPr>
      <w:r w:rsidRPr="00193157">
        <w:rPr>
          <w:b/>
          <w:bCs/>
          <w:sz w:val="20"/>
          <w:szCs w:val="20"/>
        </w:rPr>
        <w:t>Source:</w:t>
      </w:r>
      <w:r w:rsidRPr="00193157">
        <w:rPr>
          <w:sz w:val="20"/>
          <w:szCs w:val="20"/>
        </w:rPr>
        <w:t xml:space="preserve"> </w:t>
      </w:r>
      <w:hyperlink r:id="rId26" w:history="1">
        <w:r w:rsidRPr="00193157">
          <w:rPr>
            <w:rStyle w:val="Hyperlink"/>
            <w:sz w:val="20"/>
            <w:szCs w:val="20"/>
          </w:rPr>
          <w:t>Czech National Bank</w:t>
        </w:r>
      </w:hyperlink>
      <w:r w:rsidRPr="00193157">
        <w:rPr>
          <w:sz w:val="20"/>
          <w:szCs w:val="20"/>
        </w:rPr>
        <w:t xml:space="preserve">. </w:t>
      </w:r>
    </w:p>
    <w:p w14:paraId="57EA4771" w14:textId="77777777" w:rsidR="00DB04AF" w:rsidRPr="00BD22BC" w:rsidRDefault="00DB04AF" w:rsidP="00DB04AF"/>
    <w:p w14:paraId="51C3A306" w14:textId="77777777" w:rsidR="00DB04AF" w:rsidRDefault="00DB04AF" w:rsidP="00DB04AF"/>
    <w:p w14:paraId="59520960" w14:textId="77777777" w:rsidR="00DB04AF" w:rsidRPr="00BD22BC" w:rsidRDefault="00DB04AF" w:rsidP="00DB04AF">
      <w:r w:rsidRPr="00BD22BC">
        <w:t>The practices of “drip feeders” seem better suited to developing and emerging market central banks. In Southeast Asia, the Bank of Thailand is a good example of a “drip feeding” central bank. Its monetary policy communication sequence is presented below:</w:t>
      </w:r>
    </w:p>
    <w:p w14:paraId="3B3E8CCE" w14:textId="77777777" w:rsidR="00DB04AF" w:rsidRDefault="00DB04AF" w:rsidP="00DB04AF"/>
    <w:p w14:paraId="69AC8803" w14:textId="77777777" w:rsidR="00DB04AF" w:rsidRDefault="00DB04AF" w:rsidP="00DB04AF"/>
    <w:tbl>
      <w:tblPr>
        <w:tblStyle w:val="TableGrid"/>
        <w:tblW w:w="0" w:type="auto"/>
        <w:shd w:val="clear" w:color="auto" w:fill="D9D9D9" w:themeFill="background1" w:themeFillShade="D9"/>
        <w:tblCellMar>
          <w:top w:w="115" w:type="dxa"/>
          <w:bottom w:w="115" w:type="dxa"/>
        </w:tblCellMar>
        <w:tblLook w:val="04A0" w:firstRow="1" w:lastRow="0" w:firstColumn="1" w:lastColumn="0" w:noHBand="0" w:noVBand="1"/>
      </w:tblPr>
      <w:tblGrid>
        <w:gridCol w:w="10070"/>
      </w:tblGrid>
      <w:tr w:rsidR="00DB04AF" w14:paraId="0ED78965" w14:textId="77777777" w:rsidTr="00414D4E">
        <w:tc>
          <w:tcPr>
            <w:tcW w:w="10070" w:type="dxa"/>
            <w:shd w:val="clear" w:color="auto" w:fill="D9D9D9" w:themeFill="background1" w:themeFillShade="D9"/>
          </w:tcPr>
          <w:p w14:paraId="1AEAB861" w14:textId="77777777" w:rsidR="00DB04AF" w:rsidRPr="00193157" w:rsidRDefault="00DB04AF" w:rsidP="00414D4E">
            <w:pPr>
              <w:rPr>
                <w:rStyle w:val="Strong"/>
                <w:rFonts w:cs="Arial"/>
                <w:sz w:val="20"/>
                <w:szCs w:val="20"/>
              </w:rPr>
            </w:pPr>
            <w:r w:rsidRPr="00193157">
              <w:rPr>
                <w:rStyle w:val="Strong"/>
                <w:rFonts w:cs="Arial"/>
                <w:sz w:val="20"/>
                <w:szCs w:val="20"/>
              </w:rPr>
              <w:t>Monetary Policy Communication</w:t>
            </w:r>
          </w:p>
          <w:p w14:paraId="39B01A2F" w14:textId="77777777" w:rsidR="00DB04AF" w:rsidRPr="00193157" w:rsidRDefault="00DB04AF" w:rsidP="00414D4E">
            <w:pPr>
              <w:rPr>
                <w:rStyle w:val="Strong"/>
                <w:rFonts w:cs="Arial"/>
                <w:b w:val="0"/>
                <w:bCs w:val="0"/>
                <w:sz w:val="20"/>
                <w:szCs w:val="20"/>
              </w:rPr>
            </w:pPr>
            <w:r w:rsidRPr="00193157">
              <w:rPr>
                <w:rStyle w:val="Strong"/>
                <w:rFonts w:cs="Arial"/>
                <w:b w:val="0"/>
                <w:bCs w:val="0"/>
                <w:sz w:val="20"/>
                <w:szCs w:val="20"/>
              </w:rPr>
              <w:t>Recognizing the importance of monetary policy communication to the public, the MPC</w:t>
            </w:r>
          </w:p>
          <w:p w14:paraId="33E958B6" w14:textId="77777777" w:rsidR="00DB04AF" w:rsidRPr="00193157" w:rsidRDefault="00DB04AF" w:rsidP="00414D4E">
            <w:pPr>
              <w:rPr>
                <w:rStyle w:val="Strong"/>
                <w:rFonts w:cs="Arial"/>
                <w:b w:val="0"/>
                <w:bCs w:val="0"/>
                <w:sz w:val="20"/>
                <w:szCs w:val="20"/>
              </w:rPr>
            </w:pPr>
            <w:r w:rsidRPr="00193157">
              <w:rPr>
                <w:rStyle w:val="Strong"/>
                <w:rFonts w:cs="Arial"/>
                <w:b w:val="0"/>
                <w:bCs w:val="0"/>
                <w:sz w:val="20"/>
                <w:szCs w:val="20"/>
              </w:rPr>
              <w:t>employs various channels of communication, both in Thai and English, such as (1) publishing</w:t>
            </w:r>
          </w:p>
          <w:p w14:paraId="19FD1D94" w14:textId="77777777" w:rsidR="00DB04AF" w:rsidRPr="00193157" w:rsidRDefault="00DB04AF" w:rsidP="00414D4E">
            <w:pPr>
              <w:rPr>
                <w:rStyle w:val="Strong"/>
                <w:rFonts w:cs="Arial"/>
                <w:b w:val="0"/>
                <w:bCs w:val="0"/>
                <w:sz w:val="20"/>
                <w:szCs w:val="20"/>
              </w:rPr>
            </w:pPr>
            <w:r w:rsidRPr="00193157">
              <w:rPr>
                <w:rStyle w:val="Strong"/>
                <w:rFonts w:cs="Arial"/>
                <w:b w:val="0"/>
                <w:bCs w:val="0"/>
                <w:sz w:val="20"/>
                <w:szCs w:val="20"/>
              </w:rPr>
              <w:t>a press statement at 14:00 and holding a press conference regarding the results of the</w:t>
            </w:r>
          </w:p>
          <w:p w14:paraId="1E6479FB" w14:textId="77777777" w:rsidR="00DB04AF" w:rsidRPr="00193157" w:rsidRDefault="00DB04AF" w:rsidP="00414D4E">
            <w:pPr>
              <w:rPr>
                <w:rStyle w:val="Strong"/>
                <w:rFonts w:cs="Arial"/>
                <w:b w:val="0"/>
                <w:bCs w:val="0"/>
                <w:sz w:val="20"/>
                <w:szCs w:val="20"/>
              </w:rPr>
            </w:pPr>
            <w:r w:rsidRPr="00193157">
              <w:rPr>
                <w:rStyle w:val="Strong"/>
                <w:rFonts w:cs="Arial"/>
                <w:b w:val="0"/>
                <w:bCs w:val="0"/>
                <w:sz w:val="20"/>
                <w:szCs w:val="20"/>
              </w:rPr>
              <w:t>meeting at 14:30 on the day of the Committee meeting, (2) publishing edited minutes of</w:t>
            </w:r>
          </w:p>
          <w:p w14:paraId="0FA8430A" w14:textId="77777777" w:rsidR="00DB04AF" w:rsidRPr="00193157" w:rsidRDefault="00DB04AF" w:rsidP="00414D4E">
            <w:pPr>
              <w:rPr>
                <w:rStyle w:val="Strong"/>
                <w:rFonts w:cs="Arial"/>
                <w:b w:val="0"/>
                <w:bCs w:val="0"/>
                <w:sz w:val="20"/>
                <w:szCs w:val="20"/>
              </w:rPr>
            </w:pPr>
            <w:r w:rsidRPr="00193157">
              <w:rPr>
                <w:rStyle w:val="Strong"/>
                <w:rFonts w:cs="Arial"/>
                <w:b w:val="0"/>
                <w:bCs w:val="0"/>
                <w:sz w:val="20"/>
                <w:szCs w:val="20"/>
              </w:rPr>
              <w:t>the MPC meeting two weeks after the meeting, and (3) publishing the Monetary Policy</w:t>
            </w:r>
          </w:p>
          <w:p w14:paraId="45209A98" w14:textId="77777777" w:rsidR="00DB04AF" w:rsidRDefault="00DB04AF" w:rsidP="00414D4E">
            <w:r w:rsidRPr="00193157">
              <w:rPr>
                <w:rStyle w:val="Strong"/>
                <w:rFonts w:cs="Arial"/>
                <w:b w:val="0"/>
                <w:bCs w:val="0"/>
                <w:sz w:val="20"/>
                <w:szCs w:val="20"/>
              </w:rPr>
              <w:t>Report every quarter.</w:t>
            </w:r>
          </w:p>
        </w:tc>
      </w:tr>
    </w:tbl>
    <w:p w14:paraId="7DBEA8CD" w14:textId="77777777" w:rsidR="00DB04AF" w:rsidRPr="00BD22BC" w:rsidRDefault="00DB04AF" w:rsidP="00DB04AF"/>
    <w:p w14:paraId="286EDFBE" w14:textId="77777777" w:rsidR="00DB04AF" w:rsidRDefault="00DB04AF" w:rsidP="00DB04AF">
      <w:r w:rsidRPr="00193157">
        <w:rPr>
          <w:b/>
          <w:bCs/>
          <w:sz w:val="20"/>
          <w:szCs w:val="22"/>
        </w:rPr>
        <w:t>Source:</w:t>
      </w:r>
      <w:r w:rsidRPr="00193157">
        <w:rPr>
          <w:sz w:val="20"/>
          <w:szCs w:val="22"/>
        </w:rPr>
        <w:t xml:space="preserve"> </w:t>
      </w:r>
      <w:hyperlink r:id="rId27" w:history="1">
        <w:r w:rsidRPr="00193157">
          <w:rPr>
            <w:rStyle w:val="Hyperlink"/>
            <w:sz w:val="20"/>
            <w:szCs w:val="22"/>
          </w:rPr>
          <w:t>The Bank of Thailand’s Monetary Policy Report</w:t>
        </w:r>
      </w:hyperlink>
      <w:r w:rsidRPr="00193157">
        <w:rPr>
          <w:sz w:val="20"/>
          <w:szCs w:val="22"/>
        </w:rPr>
        <w:t xml:space="preserve"> </w:t>
      </w:r>
    </w:p>
    <w:p w14:paraId="10EE0BEF" w14:textId="77777777" w:rsidR="00DB04AF" w:rsidRDefault="00DB04AF" w:rsidP="00DB04AF"/>
    <w:p w14:paraId="4B2F68BC" w14:textId="408A33B2" w:rsidR="00DB04AF" w:rsidRPr="00DB04AF" w:rsidRDefault="00DB04AF" w:rsidP="00DB04AF">
      <w:r w:rsidRPr="38638030">
        <w:rPr>
          <w:b/>
          <w:bCs/>
        </w:rPr>
        <w:t>The pros and cons</w:t>
      </w:r>
      <w:r w:rsidRPr="38638030">
        <w:rPr>
          <w:rFonts w:cs="Arial"/>
          <w:b/>
          <w:bCs/>
        </w:rPr>
        <w:t>—</w:t>
      </w:r>
      <w:bookmarkStart w:id="69" w:name="_Hlk174800280"/>
      <w:r w:rsidRPr="38638030">
        <w:rPr>
          <w:b/>
          <w:bCs/>
        </w:rPr>
        <w:t>from the perspective of developing and emerging markets</w:t>
      </w:r>
      <w:bookmarkEnd w:id="69"/>
      <w:r w:rsidRPr="38638030">
        <w:rPr>
          <w:b/>
          <w:bCs/>
        </w:rPr>
        <w:t>.</w:t>
      </w:r>
    </w:p>
    <w:p w14:paraId="74D1E057" w14:textId="77777777" w:rsidR="00DB04AF" w:rsidRPr="00BD22BC" w:rsidRDefault="00DB04AF" w:rsidP="00DB04AF"/>
    <w:p w14:paraId="329866F6" w14:textId="77777777" w:rsidR="00DB04AF" w:rsidRPr="00BD22BC" w:rsidRDefault="00DB04AF" w:rsidP="00DB04AF">
      <w:r>
        <w:t xml:space="preserve"> “Drip feed” tactics are more suitable for emerging market and developing economies for three main reasons:</w:t>
      </w:r>
    </w:p>
    <w:p w14:paraId="1BB2C0DD" w14:textId="77777777" w:rsidR="00DB04AF" w:rsidRPr="00BD22BC" w:rsidRDefault="00DB04AF" w:rsidP="00DB04AF"/>
    <w:p w14:paraId="339D9B6D" w14:textId="77777777" w:rsidR="00DB04AF" w:rsidRPr="00BD22BC" w:rsidRDefault="00DB04AF" w:rsidP="00DB04AF">
      <w:pPr>
        <w:pStyle w:val="ListParagraph"/>
        <w:numPr>
          <w:ilvl w:val="0"/>
          <w:numId w:val="64"/>
        </w:numPr>
        <w:rPr>
          <w:b/>
          <w:bCs/>
        </w:rPr>
      </w:pPr>
      <w:r w:rsidRPr="38638030">
        <w:rPr>
          <w:b/>
          <w:bCs/>
        </w:rPr>
        <w:t>The “dump all” practice is resource intensive and coordination heavy.</w:t>
      </w:r>
      <w:r>
        <w:t xml:space="preserve"> Central banks in developing and emerging markets operate under severe resource constraints. Their staff’s most immediate priority before a policy meeting is to prepare and submit sound economic analysis internally to the policymakers to support their decision. Once a decision is taken, the staff usually need at least one week to edit and format the reports intended for external publications, often in two or more languages. In recent years, there have been notable improvements. Many developing and emerging market central banks publish a policy statement with a decision on the same day it is made. In many countries, the staff are making efforts to further streamline internal organization and editorial work to allow for a policy report to be published within days, instead of weeks, after a decision announcement.</w:t>
      </w:r>
    </w:p>
    <w:p w14:paraId="406086D4" w14:textId="77777777" w:rsidR="00DB04AF" w:rsidRPr="00BD22BC" w:rsidRDefault="00DB04AF" w:rsidP="00DB04AF">
      <w:pPr>
        <w:pStyle w:val="ListParagraph"/>
        <w:numPr>
          <w:ilvl w:val="0"/>
          <w:numId w:val="64"/>
        </w:numPr>
      </w:pPr>
      <w:r w:rsidRPr="38638030">
        <w:rPr>
          <w:b/>
          <w:bCs/>
        </w:rPr>
        <w:t>“Dump all” requires complex arrangements.</w:t>
      </w:r>
      <w:r>
        <w:t xml:space="preserve"> Under the "dump all" tactic, it is a good practice to provide a policy press release and a monetary policy report under embargo. This allows members of the media to process the information without the pressure of real-time news reporting, ask background questions, and accurately report on the central bank's decision and economic analysis, thereby limiting the risk of factual errors and misinterpretations. The embargo regime necessitates additional investments and efforts from both central banks and media organizations—such as lock-up rooms—to protect the confidentiality of the information before it is cleared for publication. In most cases this is not a feasible arrangement in </w:t>
      </w:r>
      <w:bookmarkStart w:id="70" w:name="_Hlk183523483"/>
      <w:r>
        <w:t>developing and emerging markets</w:t>
      </w:r>
      <w:bookmarkEnd w:id="70"/>
      <w:r>
        <w:t>.</w:t>
      </w:r>
      <w:bookmarkStart w:id="71" w:name="_Hlk173056920"/>
      <w:r>
        <w:t xml:space="preserve"> Furthermore, the media must possess sufficient credibility for an agency to rely on their discretion not to disclose embargoed, predominantly sensitive information. In developing and emerging markets, there are typically concerns regarding the </w:t>
      </w:r>
      <w:r>
        <w:lastRenderedPageBreak/>
        <w:t>media’s potential to leak information prior to the embargo deadline, rendering the embargo tactic inapplicable. The risks associated with the unauthorized dissemination of sensitive information far outweigh the potential benefits of delivering a more comprehensive communication package through the “dump all” strategy.</w:t>
      </w:r>
    </w:p>
    <w:p w14:paraId="522151E0" w14:textId="77777777" w:rsidR="00DB04AF" w:rsidRPr="00BD22BC" w:rsidRDefault="00DB04AF" w:rsidP="00DB04AF">
      <w:pPr>
        <w:pStyle w:val="ListParagraph"/>
        <w:numPr>
          <w:ilvl w:val="0"/>
          <w:numId w:val="64"/>
        </w:numPr>
      </w:pPr>
      <w:bookmarkStart w:id="72" w:name="_Hlk173056998"/>
      <w:bookmarkEnd w:id="71"/>
      <w:r w:rsidRPr="38638030">
        <w:rPr>
          <w:b/>
          <w:bCs/>
        </w:rPr>
        <w:t>The media, markets and other key stakeholders have limited capacity to process large amounts of information.</w:t>
      </w:r>
      <w:r>
        <w:t xml:space="preserve"> Low-income and emerging market central banks have been investing in improving financial literacy among the public. Such efforts help enhance the understanding of complex forecast and policy analysis topics among specific stakeholder groups. However, the capacity of their audiences to absorb sophisticated information remains low. The "drip feed" tactic, which allows audiences to gradually receive increasing amounts of detailed and complex information over time, is thus more suitable for such central </w:t>
      </w:r>
      <w:bookmarkEnd w:id="72"/>
      <w:r>
        <w:t>banks.</w:t>
      </w:r>
    </w:p>
    <w:p w14:paraId="634ED690" w14:textId="77777777" w:rsidR="00DB04AF" w:rsidRPr="00BD22BC" w:rsidRDefault="00DB04AF" w:rsidP="00DB04AF"/>
    <w:p w14:paraId="628A4A7F" w14:textId="77777777" w:rsidR="00DB04AF" w:rsidRPr="00BD22BC" w:rsidRDefault="00DB04AF" w:rsidP="00DB04AF">
      <w:r>
        <w:t>The table shows an overview of the tactics in selected emerging market and developing economies:</w:t>
      </w:r>
    </w:p>
    <w:tbl>
      <w:tblPr>
        <w:tblStyle w:val="TableGrid"/>
        <w:tblpPr w:leftFromText="180" w:rightFromText="180" w:vertAnchor="text" w:horzAnchor="margin" w:tblpY="198"/>
        <w:tblOverlap w:val="never"/>
        <w:tblW w:w="9985" w:type="dxa"/>
        <w:tblLayout w:type="fixed"/>
        <w:tblLook w:val="04A0" w:firstRow="1" w:lastRow="0" w:firstColumn="1" w:lastColumn="0" w:noHBand="0" w:noVBand="1"/>
      </w:tblPr>
      <w:tblGrid>
        <w:gridCol w:w="1885"/>
        <w:gridCol w:w="1938"/>
        <w:gridCol w:w="2202"/>
        <w:gridCol w:w="1980"/>
        <w:gridCol w:w="1980"/>
      </w:tblGrid>
      <w:tr w:rsidR="00DB04AF" w:rsidRPr="00BD22BC" w14:paraId="32741633" w14:textId="77777777" w:rsidTr="00414D4E">
        <w:trPr>
          <w:trHeight w:val="1255"/>
        </w:trPr>
        <w:tc>
          <w:tcPr>
            <w:tcW w:w="1885" w:type="dxa"/>
            <w:hideMark/>
          </w:tcPr>
          <w:p w14:paraId="6E58D176" w14:textId="77777777" w:rsidR="00DB04AF" w:rsidRPr="00BD22BC" w:rsidRDefault="00DB04AF" w:rsidP="00414D4E">
            <w:pPr>
              <w:spacing w:line="240" w:lineRule="auto"/>
              <w:ind w:left="-746"/>
              <w:rPr>
                <w:rFonts w:eastAsia="Times New Roman"/>
                <w:szCs w:val="22"/>
              </w:rPr>
            </w:pPr>
          </w:p>
        </w:tc>
        <w:tc>
          <w:tcPr>
            <w:tcW w:w="1938" w:type="dxa"/>
            <w:hideMark/>
          </w:tcPr>
          <w:p w14:paraId="60688836" w14:textId="77777777" w:rsidR="00DB04AF" w:rsidRPr="00BD22BC" w:rsidRDefault="00DB04AF" w:rsidP="00414D4E">
            <w:pPr>
              <w:spacing w:line="240" w:lineRule="auto"/>
              <w:jc w:val="center"/>
              <w:rPr>
                <w:rFonts w:eastAsia="Times New Roman"/>
                <w:b/>
                <w:bCs/>
                <w:color w:val="000000"/>
              </w:rPr>
            </w:pPr>
            <w:r w:rsidRPr="38638030">
              <w:rPr>
                <w:rFonts w:eastAsia="Times New Roman"/>
                <w:b/>
                <w:bCs/>
                <w:color w:val="000000" w:themeColor="text1"/>
              </w:rPr>
              <w:t>Monetary Policy Statement: Publication on the Day of Monetary Policy Decision</w:t>
            </w:r>
          </w:p>
        </w:tc>
        <w:tc>
          <w:tcPr>
            <w:tcW w:w="2202" w:type="dxa"/>
            <w:hideMark/>
          </w:tcPr>
          <w:p w14:paraId="253E72A2" w14:textId="77777777" w:rsidR="00DB04AF" w:rsidRPr="00BD22BC" w:rsidRDefault="00DB04AF" w:rsidP="00414D4E">
            <w:pPr>
              <w:spacing w:line="240" w:lineRule="auto"/>
              <w:jc w:val="center"/>
              <w:rPr>
                <w:rFonts w:eastAsia="Times New Roman"/>
                <w:b/>
                <w:bCs/>
                <w:color w:val="000000"/>
                <w:szCs w:val="22"/>
              </w:rPr>
            </w:pPr>
            <w:r w:rsidRPr="00BD22BC">
              <w:rPr>
                <w:rFonts w:eastAsia="Times New Roman"/>
                <w:b/>
                <w:bCs/>
                <w:color w:val="000000"/>
                <w:szCs w:val="22"/>
              </w:rPr>
              <w:t>Monetary Policy Statement:</w:t>
            </w:r>
          </w:p>
          <w:p w14:paraId="67C083B8" w14:textId="77777777" w:rsidR="00DB04AF" w:rsidRPr="00BD22BC" w:rsidRDefault="00DB04AF" w:rsidP="00414D4E">
            <w:pPr>
              <w:spacing w:line="240" w:lineRule="auto"/>
              <w:jc w:val="center"/>
              <w:rPr>
                <w:rFonts w:eastAsia="Times New Roman"/>
                <w:b/>
                <w:bCs/>
                <w:color w:val="000000"/>
                <w:szCs w:val="22"/>
              </w:rPr>
            </w:pPr>
            <w:r w:rsidRPr="00BD22BC">
              <w:rPr>
                <w:rFonts w:eastAsia="Times New Roman"/>
                <w:b/>
                <w:bCs/>
                <w:color w:val="000000"/>
                <w:szCs w:val="22"/>
              </w:rPr>
              <w:t>Standard, Pre–Set Time for Publication</w:t>
            </w:r>
          </w:p>
        </w:tc>
        <w:tc>
          <w:tcPr>
            <w:tcW w:w="1980" w:type="dxa"/>
            <w:hideMark/>
          </w:tcPr>
          <w:p w14:paraId="5F8A2600" w14:textId="77777777" w:rsidR="00DB04AF" w:rsidRPr="00BD22BC" w:rsidRDefault="00DB04AF" w:rsidP="00414D4E">
            <w:pPr>
              <w:spacing w:line="240" w:lineRule="auto"/>
              <w:jc w:val="center"/>
              <w:rPr>
                <w:rFonts w:eastAsia="Times New Roman"/>
                <w:b/>
                <w:bCs/>
                <w:color w:val="000000"/>
                <w:szCs w:val="22"/>
              </w:rPr>
            </w:pPr>
            <w:r w:rsidRPr="00BD22BC">
              <w:rPr>
                <w:rFonts w:eastAsia="Times New Roman"/>
                <w:b/>
                <w:bCs/>
                <w:color w:val="000000"/>
                <w:szCs w:val="22"/>
              </w:rPr>
              <w:t xml:space="preserve">Press Conference: Number of Hours Since Statement Publication </w:t>
            </w:r>
          </w:p>
        </w:tc>
        <w:tc>
          <w:tcPr>
            <w:tcW w:w="1980" w:type="dxa"/>
            <w:hideMark/>
          </w:tcPr>
          <w:p w14:paraId="51E0A704" w14:textId="77777777" w:rsidR="00DB04AF" w:rsidRPr="00BD22BC" w:rsidRDefault="00DB04AF" w:rsidP="00414D4E">
            <w:pPr>
              <w:spacing w:line="240" w:lineRule="auto"/>
              <w:jc w:val="center"/>
              <w:rPr>
                <w:rFonts w:eastAsia="Times New Roman"/>
                <w:b/>
                <w:bCs/>
                <w:color w:val="000000"/>
              </w:rPr>
            </w:pPr>
            <w:r w:rsidRPr="38638030">
              <w:rPr>
                <w:rFonts w:eastAsia="Times New Roman"/>
                <w:b/>
                <w:bCs/>
                <w:color w:val="000000" w:themeColor="text1"/>
              </w:rPr>
              <w:t>Monetary Policy Report: Number of Calendar Days from Monetary Policy Decision Publication</w:t>
            </w:r>
          </w:p>
        </w:tc>
      </w:tr>
      <w:tr w:rsidR="00DB04AF" w:rsidRPr="00BD22BC" w14:paraId="389E0892" w14:textId="77777777" w:rsidTr="00414D4E">
        <w:trPr>
          <w:trHeight w:val="249"/>
        </w:trPr>
        <w:tc>
          <w:tcPr>
            <w:tcW w:w="9985" w:type="dxa"/>
            <w:gridSpan w:val="5"/>
            <w:noWrap/>
          </w:tcPr>
          <w:p w14:paraId="2A8482E3" w14:textId="77777777" w:rsidR="00DB04AF" w:rsidRPr="00BD22BC" w:rsidRDefault="00DB04AF" w:rsidP="00414D4E">
            <w:pPr>
              <w:spacing w:line="240" w:lineRule="auto"/>
              <w:rPr>
                <w:b/>
                <w:bCs/>
              </w:rPr>
            </w:pPr>
            <w:r w:rsidRPr="38638030">
              <w:rPr>
                <w:b/>
                <w:bCs/>
              </w:rPr>
              <w:t>Emerging Market and Developing Economies</w:t>
            </w:r>
          </w:p>
        </w:tc>
      </w:tr>
      <w:tr w:rsidR="00DB04AF" w:rsidRPr="00BD22BC" w14:paraId="7886074B" w14:textId="77777777" w:rsidTr="00414D4E">
        <w:trPr>
          <w:trHeight w:val="249"/>
        </w:trPr>
        <w:tc>
          <w:tcPr>
            <w:tcW w:w="1885" w:type="dxa"/>
            <w:noWrap/>
          </w:tcPr>
          <w:p w14:paraId="21BB952B" w14:textId="77777777" w:rsidR="00DB04AF" w:rsidRPr="00BD22BC" w:rsidRDefault="00DB04AF" w:rsidP="00414D4E">
            <w:pPr>
              <w:spacing w:line="240" w:lineRule="auto"/>
              <w:rPr>
                <w:rFonts w:eastAsia="Times New Roman"/>
                <w:color w:val="000000"/>
                <w:szCs w:val="22"/>
              </w:rPr>
            </w:pPr>
            <w:r w:rsidRPr="00BD22BC">
              <w:rPr>
                <w:rFonts w:eastAsia="Times New Roman"/>
                <w:color w:val="000000"/>
                <w:szCs w:val="22"/>
              </w:rPr>
              <w:t>Brazil</w:t>
            </w:r>
          </w:p>
        </w:tc>
        <w:tc>
          <w:tcPr>
            <w:tcW w:w="1938" w:type="dxa"/>
            <w:noWrap/>
            <w:vAlign w:val="bottom"/>
          </w:tcPr>
          <w:p w14:paraId="34565B14" w14:textId="77777777" w:rsidR="00DB04AF" w:rsidRPr="00BD22BC" w:rsidRDefault="00DB04AF" w:rsidP="00414D4E">
            <w:pPr>
              <w:spacing w:line="240" w:lineRule="auto"/>
              <w:jc w:val="center"/>
              <w:rPr>
                <w:rFonts w:ascii="Segoe UI Symbol" w:hAnsi="Segoe UI Symbol" w:cs="Segoe UI Symbol"/>
                <w:szCs w:val="22"/>
              </w:rPr>
            </w:pPr>
            <w:bookmarkStart w:id="73" w:name="_Hlk173059395"/>
            <w:r w:rsidRPr="00BD22BC">
              <w:rPr>
                <w:rFonts w:ascii="Segoe UI Symbol" w:hAnsi="Segoe UI Symbol" w:cs="Segoe UI Symbol"/>
                <w:szCs w:val="22"/>
              </w:rPr>
              <w:t>✓</w:t>
            </w:r>
            <w:bookmarkEnd w:id="73"/>
          </w:p>
        </w:tc>
        <w:tc>
          <w:tcPr>
            <w:tcW w:w="2202" w:type="dxa"/>
            <w:noWrap/>
            <w:vAlign w:val="bottom"/>
          </w:tcPr>
          <w:p w14:paraId="6FF0DA8A" w14:textId="77777777" w:rsidR="00DB04AF" w:rsidRPr="00BD22BC" w:rsidRDefault="00DB04AF" w:rsidP="00414D4E">
            <w:pPr>
              <w:spacing w:line="240" w:lineRule="auto"/>
              <w:jc w:val="center"/>
              <w:rPr>
                <w:szCs w:val="22"/>
              </w:rPr>
            </w:pPr>
            <w:bookmarkStart w:id="74" w:name="_Hlk173059399"/>
            <w:r w:rsidRPr="00BD22BC">
              <w:rPr>
                <w:rFonts w:ascii="Segoe UI Symbol" w:hAnsi="Segoe UI Symbol" w:cs="Segoe UI Symbol"/>
                <w:szCs w:val="22"/>
              </w:rPr>
              <w:t>✓</w:t>
            </w:r>
            <w:r w:rsidRPr="00BD22BC">
              <w:rPr>
                <w:szCs w:val="22"/>
              </w:rPr>
              <w:t xml:space="preserve"> (after 6:00 p.m.)</w:t>
            </w:r>
            <w:bookmarkEnd w:id="74"/>
          </w:p>
        </w:tc>
        <w:tc>
          <w:tcPr>
            <w:tcW w:w="1980" w:type="dxa"/>
            <w:noWrap/>
            <w:vAlign w:val="bottom"/>
          </w:tcPr>
          <w:p w14:paraId="05FCDCE4" w14:textId="77777777" w:rsidR="00DB04AF" w:rsidRPr="00BD22BC" w:rsidRDefault="00DB04AF" w:rsidP="00414D4E">
            <w:pPr>
              <w:spacing w:line="240" w:lineRule="auto"/>
              <w:jc w:val="center"/>
              <w:rPr>
                <w:szCs w:val="22"/>
              </w:rPr>
            </w:pPr>
            <w:bookmarkStart w:id="75" w:name="_Hlk173059567"/>
            <w:proofErr w:type="spellStart"/>
            <w:r w:rsidRPr="00BD22BC">
              <w:rPr>
                <w:szCs w:val="22"/>
              </w:rPr>
              <w:t>n.a.</w:t>
            </w:r>
            <w:bookmarkEnd w:id="75"/>
            <w:proofErr w:type="spellEnd"/>
          </w:p>
        </w:tc>
        <w:tc>
          <w:tcPr>
            <w:tcW w:w="1980" w:type="dxa"/>
            <w:noWrap/>
            <w:vAlign w:val="bottom"/>
          </w:tcPr>
          <w:p w14:paraId="50B2DAF0" w14:textId="77777777" w:rsidR="00DB04AF" w:rsidRPr="00BD22BC" w:rsidRDefault="00DB04AF" w:rsidP="00414D4E">
            <w:pPr>
              <w:spacing w:line="240" w:lineRule="auto"/>
              <w:jc w:val="center"/>
              <w:rPr>
                <w:szCs w:val="22"/>
              </w:rPr>
            </w:pPr>
            <w:r w:rsidRPr="00BD22BC">
              <w:rPr>
                <w:szCs w:val="22"/>
              </w:rPr>
              <w:t>8</w:t>
            </w:r>
          </w:p>
        </w:tc>
      </w:tr>
      <w:tr w:rsidR="00DB04AF" w:rsidRPr="00BD22BC" w14:paraId="684483F9" w14:textId="77777777" w:rsidTr="00414D4E">
        <w:trPr>
          <w:trHeight w:val="249"/>
        </w:trPr>
        <w:tc>
          <w:tcPr>
            <w:tcW w:w="1885" w:type="dxa"/>
            <w:noWrap/>
          </w:tcPr>
          <w:p w14:paraId="48D2CDD8" w14:textId="77777777" w:rsidR="00DB04AF" w:rsidRPr="00BD22BC" w:rsidRDefault="00DB04AF" w:rsidP="00414D4E">
            <w:pPr>
              <w:spacing w:line="240" w:lineRule="auto"/>
              <w:rPr>
                <w:rFonts w:eastAsia="Times New Roman"/>
                <w:color w:val="000000"/>
                <w:szCs w:val="22"/>
              </w:rPr>
            </w:pPr>
            <w:r w:rsidRPr="00BD22BC">
              <w:rPr>
                <w:rFonts w:eastAsia="Times New Roman"/>
                <w:color w:val="000000"/>
                <w:szCs w:val="22"/>
              </w:rPr>
              <w:t>Chile</w:t>
            </w:r>
          </w:p>
        </w:tc>
        <w:tc>
          <w:tcPr>
            <w:tcW w:w="1938" w:type="dxa"/>
            <w:noWrap/>
            <w:vAlign w:val="bottom"/>
          </w:tcPr>
          <w:p w14:paraId="5A2FAC36" w14:textId="77777777" w:rsidR="00DB04AF" w:rsidRPr="00BD22BC" w:rsidRDefault="00DB04AF" w:rsidP="00414D4E">
            <w:pPr>
              <w:spacing w:line="240" w:lineRule="auto"/>
              <w:jc w:val="center"/>
              <w:rPr>
                <w:rFonts w:ascii="Segoe UI Symbol" w:hAnsi="Segoe UI Symbol" w:cs="Segoe UI Symbol"/>
                <w:szCs w:val="22"/>
              </w:rPr>
            </w:pPr>
            <w:bookmarkStart w:id="76" w:name="_Hlk173059410"/>
            <w:r w:rsidRPr="00BD22BC">
              <w:rPr>
                <w:rFonts w:ascii="Segoe UI Symbol" w:hAnsi="Segoe UI Symbol" w:cs="Segoe UI Symbol"/>
                <w:szCs w:val="22"/>
              </w:rPr>
              <w:t>✓</w:t>
            </w:r>
            <w:bookmarkEnd w:id="76"/>
          </w:p>
        </w:tc>
        <w:tc>
          <w:tcPr>
            <w:tcW w:w="2202" w:type="dxa"/>
            <w:noWrap/>
            <w:vAlign w:val="bottom"/>
          </w:tcPr>
          <w:p w14:paraId="71EE7E2A" w14:textId="77777777" w:rsidR="00DB04AF" w:rsidRPr="00BD22BC" w:rsidRDefault="00DB04AF" w:rsidP="00414D4E">
            <w:pPr>
              <w:spacing w:line="240" w:lineRule="auto"/>
              <w:jc w:val="center"/>
              <w:rPr>
                <w:szCs w:val="22"/>
              </w:rPr>
            </w:pPr>
            <w:r w:rsidRPr="00BD22BC">
              <w:rPr>
                <w:rFonts w:ascii="Segoe UI Symbol" w:hAnsi="Segoe UI Symbol" w:cs="Segoe UI Symbol"/>
                <w:szCs w:val="22"/>
              </w:rPr>
              <w:t>✓</w:t>
            </w:r>
            <w:r w:rsidRPr="00BD22BC">
              <w:rPr>
                <w:szCs w:val="22"/>
              </w:rPr>
              <w:t xml:space="preserve"> (6:00 p.m.)</w:t>
            </w:r>
          </w:p>
        </w:tc>
        <w:tc>
          <w:tcPr>
            <w:tcW w:w="1980" w:type="dxa"/>
            <w:noWrap/>
            <w:vAlign w:val="bottom"/>
          </w:tcPr>
          <w:p w14:paraId="656AF656" w14:textId="77777777" w:rsidR="00DB04AF" w:rsidRPr="00BD22BC" w:rsidRDefault="00DB04AF" w:rsidP="00414D4E">
            <w:pPr>
              <w:spacing w:line="240" w:lineRule="auto"/>
              <w:jc w:val="center"/>
              <w:rPr>
                <w:szCs w:val="22"/>
              </w:rPr>
            </w:pPr>
            <w:proofErr w:type="spellStart"/>
            <w:r w:rsidRPr="00BD22BC">
              <w:rPr>
                <w:szCs w:val="22"/>
              </w:rPr>
              <w:t>n.a.</w:t>
            </w:r>
            <w:proofErr w:type="spellEnd"/>
          </w:p>
        </w:tc>
        <w:tc>
          <w:tcPr>
            <w:tcW w:w="1980" w:type="dxa"/>
            <w:noWrap/>
            <w:vAlign w:val="bottom"/>
          </w:tcPr>
          <w:p w14:paraId="53791C6E" w14:textId="77777777" w:rsidR="00DB04AF" w:rsidRPr="00BD22BC" w:rsidRDefault="00DB04AF" w:rsidP="00414D4E">
            <w:pPr>
              <w:spacing w:line="240" w:lineRule="auto"/>
              <w:jc w:val="center"/>
              <w:rPr>
                <w:szCs w:val="22"/>
              </w:rPr>
            </w:pPr>
            <w:r w:rsidRPr="00BD22BC">
              <w:rPr>
                <w:szCs w:val="22"/>
              </w:rPr>
              <w:t>1</w:t>
            </w:r>
          </w:p>
        </w:tc>
      </w:tr>
      <w:tr w:rsidR="00DB04AF" w:rsidRPr="00BD22BC" w14:paraId="40D509BF" w14:textId="77777777" w:rsidTr="00414D4E">
        <w:trPr>
          <w:trHeight w:val="249"/>
        </w:trPr>
        <w:tc>
          <w:tcPr>
            <w:tcW w:w="1885" w:type="dxa"/>
            <w:noWrap/>
          </w:tcPr>
          <w:p w14:paraId="2787C365" w14:textId="77777777" w:rsidR="00DB04AF" w:rsidRPr="00BD22BC" w:rsidRDefault="00DB04AF" w:rsidP="00414D4E">
            <w:pPr>
              <w:spacing w:line="240" w:lineRule="auto"/>
              <w:rPr>
                <w:rFonts w:eastAsia="Times New Roman"/>
                <w:color w:val="000000"/>
                <w:szCs w:val="22"/>
              </w:rPr>
            </w:pPr>
            <w:r w:rsidRPr="00BD22BC">
              <w:rPr>
                <w:rFonts w:eastAsia="Times New Roman"/>
                <w:color w:val="000000"/>
                <w:szCs w:val="22"/>
              </w:rPr>
              <w:t>Colombia</w:t>
            </w:r>
          </w:p>
        </w:tc>
        <w:tc>
          <w:tcPr>
            <w:tcW w:w="1938" w:type="dxa"/>
            <w:noWrap/>
            <w:vAlign w:val="bottom"/>
          </w:tcPr>
          <w:p w14:paraId="1E5FCEAA" w14:textId="77777777" w:rsidR="00DB04AF" w:rsidRPr="00BD22BC" w:rsidRDefault="00DB04AF" w:rsidP="00414D4E">
            <w:pPr>
              <w:spacing w:line="240" w:lineRule="auto"/>
              <w:jc w:val="center"/>
              <w:rPr>
                <w:rFonts w:ascii="Segoe UI Symbol" w:hAnsi="Segoe UI Symbol" w:cs="Segoe UI Symbol"/>
                <w:szCs w:val="22"/>
              </w:rPr>
            </w:pPr>
            <w:r w:rsidRPr="00BD22BC">
              <w:rPr>
                <w:rFonts w:ascii="Segoe UI Symbol" w:hAnsi="Segoe UI Symbol" w:cs="Segoe UI Symbol"/>
                <w:szCs w:val="22"/>
              </w:rPr>
              <w:t>✓</w:t>
            </w:r>
          </w:p>
        </w:tc>
        <w:tc>
          <w:tcPr>
            <w:tcW w:w="2202" w:type="dxa"/>
            <w:noWrap/>
            <w:vAlign w:val="bottom"/>
          </w:tcPr>
          <w:p w14:paraId="5C88027C" w14:textId="77777777" w:rsidR="00DB04AF" w:rsidRPr="00BD22BC" w:rsidRDefault="00DB04AF" w:rsidP="00414D4E">
            <w:pPr>
              <w:spacing w:line="240" w:lineRule="auto"/>
              <w:jc w:val="center"/>
              <w:rPr>
                <w:szCs w:val="22"/>
              </w:rPr>
            </w:pPr>
            <w:r w:rsidRPr="00BD22BC">
              <w:rPr>
                <w:szCs w:val="22"/>
              </w:rPr>
              <w:t>Immediately after decision</w:t>
            </w:r>
          </w:p>
        </w:tc>
        <w:tc>
          <w:tcPr>
            <w:tcW w:w="1980" w:type="dxa"/>
            <w:noWrap/>
            <w:vAlign w:val="bottom"/>
          </w:tcPr>
          <w:p w14:paraId="68D427C3" w14:textId="77777777" w:rsidR="00DB04AF" w:rsidRPr="00BD22BC" w:rsidRDefault="00DB04AF" w:rsidP="00414D4E">
            <w:pPr>
              <w:spacing w:line="240" w:lineRule="auto"/>
              <w:jc w:val="center"/>
              <w:rPr>
                <w:szCs w:val="22"/>
              </w:rPr>
            </w:pPr>
            <w:r w:rsidRPr="00BD22BC">
              <w:rPr>
                <w:szCs w:val="22"/>
              </w:rPr>
              <w:t>Same day</w:t>
            </w:r>
          </w:p>
        </w:tc>
        <w:tc>
          <w:tcPr>
            <w:tcW w:w="1980" w:type="dxa"/>
            <w:noWrap/>
            <w:vAlign w:val="bottom"/>
          </w:tcPr>
          <w:p w14:paraId="2E064014" w14:textId="77777777" w:rsidR="00DB04AF" w:rsidRPr="00BD22BC" w:rsidRDefault="00DB04AF" w:rsidP="00414D4E">
            <w:pPr>
              <w:spacing w:line="240" w:lineRule="auto"/>
              <w:jc w:val="center"/>
              <w:rPr>
                <w:szCs w:val="22"/>
              </w:rPr>
            </w:pPr>
            <w:r w:rsidRPr="00BD22BC">
              <w:rPr>
                <w:szCs w:val="22"/>
              </w:rPr>
              <w:t>2</w:t>
            </w:r>
          </w:p>
        </w:tc>
      </w:tr>
      <w:tr w:rsidR="00DB04AF" w:rsidRPr="00BD22BC" w14:paraId="24718C38" w14:textId="77777777" w:rsidTr="00414D4E">
        <w:trPr>
          <w:trHeight w:val="249"/>
        </w:trPr>
        <w:tc>
          <w:tcPr>
            <w:tcW w:w="1885" w:type="dxa"/>
            <w:noWrap/>
            <w:hideMark/>
          </w:tcPr>
          <w:p w14:paraId="47E3ACFE" w14:textId="77777777" w:rsidR="00DB04AF" w:rsidRPr="00BD22BC" w:rsidRDefault="00DB04AF" w:rsidP="00414D4E">
            <w:pPr>
              <w:spacing w:line="240" w:lineRule="auto"/>
              <w:rPr>
                <w:rFonts w:eastAsia="Times New Roman"/>
                <w:color w:val="000000"/>
                <w:szCs w:val="22"/>
              </w:rPr>
            </w:pPr>
            <w:r w:rsidRPr="00BD22BC">
              <w:rPr>
                <w:rFonts w:eastAsia="Times New Roman"/>
                <w:color w:val="000000"/>
                <w:szCs w:val="22"/>
              </w:rPr>
              <w:t>Ghana</w:t>
            </w:r>
          </w:p>
        </w:tc>
        <w:tc>
          <w:tcPr>
            <w:tcW w:w="1938" w:type="dxa"/>
            <w:noWrap/>
            <w:vAlign w:val="bottom"/>
          </w:tcPr>
          <w:p w14:paraId="0470667E" w14:textId="77777777" w:rsidR="00DB04AF" w:rsidRPr="00BD22BC" w:rsidRDefault="00DB04AF" w:rsidP="00414D4E">
            <w:pPr>
              <w:spacing w:line="240" w:lineRule="auto"/>
              <w:jc w:val="center"/>
              <w:rPr>
                <w:rFonts w:eastAsia="Times New Roman"/>
                <w:szCs w:val="22"/>
              </w:rPr>
            </w:pPr>
            <w:bookmarkStart w:id="77" w:name="_Hlk173059257"/>
            <w:r w:rsidRPr="00BD22BC">
              <w:rPr>
                <w:rFonts w:ascii="Segoe UI Symbol" w:hAnsi="Segoe UI Symbol" w:cs="Segoe UI Symbol"/>
                <w:szCs w:val="22"/>
              </w:rPr>
              <w:t>✓</w:t>
            </w:r>
            <w:bookmarkEnd w:id="77"/>
          </w:p>
        </w:tc>
        <w:tc>
          <w:tcPr>
            <w:tcW w:w="2202" w:type="dxa"/>
            <w:noWrap/>
            <w:vAlign w:val="bottom"/>
          </w:tcPr>
          <w:p w14:paraId="6718978F" w14:textId="77777777" w:rsidR="00DB04AF" w:rsidRPr="00BD22BC" w:rsidRDefault="00DB04AF" w:rsidP="00414D4E">
            <w:pPr>
              <w:spacing w:line="240" w:lineRule="auto"/>
              <w:jc w:val="center"/>
              <w:rPr>
                <w:rFonts w:eastAsia="Times New Roman"/>
                <w:szCs w:val="22"/>
              </w:rPr>
            </w:pPr>
            <w:proofErr w:type="spellStart"/>
            <w:r w:rsidRPr="00BD22BC">
              <w:rPr>
                <w:szCs w:val="22"/>
              </w:rPr>
              <w:t>n.a.</w:t>
            </w:r>
            <w:proofErr w:type="spellEnd"/>
          </w:p>
        </w:tc>
        <w:tc>
          <w:tcPr>
            <w:tcW w:w="1980" w:type="dxa"/>
            <w:noWrap/>
            <w:vAlign w:val="bottom"/>
          </w:tcPr>
          <w:p w14:paraId="357B3419" w14:textId="77777777" w:rsidR="00DB04AF" w:rsidRPr="00BD22BC" w:rsidRDefault="00DB04AF" w:rsidP="00414D4E">
            <w:pPr>
              <w:spacing w:line="240" w:lineRule="auto"/>
              <w:jc w:val="center"/>
              <w:rPr>
                <w:rFonts w:eastAsia="Times New Roman"/>
                <w:szCs w:val="22"/>
              </w:rPr>
            </w:pPr>
            <w:r w:rsidRPr="00BD22BC">
              <w:rPr>
                <w:szCs w:val="22"/>
              </w:rPr>
              <w:t>Same morning</w:t>
            </w:r>
          </w:p>
        </w:tc>
        <w:tc>
          <w:tcPr>
            <w:tcW w:w="1980" w:type="dxa"/>
            <w:noWrap/>
            <w:vAlign w:val="bottom"/>
          </w:tcPr>
          <w:p w14:paraId="528A732E" w14:textId="77777777" w:rsidR="00DB04AF" w:rsidRPr="00BD22BC" w:rsidRDefault="00DB04AF" w:rsidP="00414D4E">
            <w:pPr>
              <w:spacing w:line="240" w:lineRule="auto"/>
              <w:jc w:val="center"/>
              <w:rPr>
                <w:rFonts w:eastAsia="Times New Roman"/>
                <w:szCs w:val="22"/>
              </w:rPr>
            </w:pPr>
            <w:r w:rsidRPr="00BD22BC">
              <w:rPr>
                <w:szCs w:val="22"/>
              </w:rPr>
              <w:t>0–23</w:t>
            </w:r>
          </w:p>
        </w:tc>
      </w:tr>
      <w:tr w:rsidR="00DB04AF" w:rsidRPr="00BD22BC" w14:paraId="6E29DAA6" w14:textId="77777777" w:rsidTr="00414D4E">
        <w:trPr>
          <w:trHeight w:val="249"/>
        </w:trPr>
        <w:tc>
          <w:tcPr>
            <w:tcW w:w="1885" w:type="dxa"/>
            <w:noWrap/>
          </w:tcPr>
          <w:p w14:paraId="331D1863" w14:textId="77777777" w:rsidR="00DB04AF" w:rsidRPr="00BD22BC" w:rsidRDefault="00DB04AF" w:rsidP="00414D4E">
            <w:pPr>
              <w:spacing w:line="240" w:lineRule="auto"/>
              <w:rPr>
                <w:rFonts w:eastAsia="Times New Roman"/>
                <w:color w:val="000000"/>
                <w:szCs w:val="22"/>
              </w:rPr>
            </w:pPr>
            <w:r w:rsidRPr="00BD22BC">
              <w:rPr>
                <w:rFonts w:eastAsia="Times New Roman"/>
                <w:color w:val="000000"/>
                <w:szCs w:val="22"/>
              </w:rPr>
              <w:t>Kazakhstan</w:t>
            </w:r>
          </w:p>
        </w:tc>
        <w:tc>
          <w:tcPr>
            <w:tcW w:w="1938" w:type="dxa"/>
            <w:noWrap/>
            <w:vAlign w:val="bottom"/>
          </w:tcPr>
          <w:p w14:paraId="7E3D51D9" w14:textId="77777777" w:rsidR="00DB04AF" w:rsidRPr="00BD22BC" w:rsidRDefault="00DB04AF" w:rsidP="00414D4E">
            <w:pPr>
              <w:spacing w:line="240" w:lineRule="auto"/>
              <w:jc w:val="center"/>
              <w:rPr>
                <w:rFonts w:ascii="Segoe UI Symbol" w:hAnsi="Segoe UI Symbol" w:cs="Segoe UI Symbol"/>
                <w:szCs w:val="22"/>
              </w:rPr>
            </w:pPr>
            <w:r w:rsidRPr="00BD22BC">
              <w:rPr>
                <w:rFonts w:ascii="Segoe UI Symbol" w:hAnsi="Segoe UI Symbol" w:cs="Segoe UI Symbol"/>
                <w:szCs w:val="22"/>
              </w:rPr>
              <w:t>✓</w:t>
            </w:r>
          </w:p>
        </w:tc>
        <w:tc>
          <w:tcPr>
            <w:tcW w:w="2202" w:type="dxa"/>
            <w:noWrap/>
            <w:vAlign w:val="bottom"/>
          </w:tcPr>
          <w:p w14:paraId="1179E167" w14:textId="77777777" w:rsidR="00DB04AF" w:rsidRPr="00BD22BC" w:rsidRDefault="00DB04AF" w:rsidP="00414D4E">
            <w:pPr>
              <w:spacing w:line="240" w:lineRule="auto"/>
              <w:jc w:val="center"/>
              <w:rPr>
                <w:szCs w:val="22"/>
              </w:rPr>
            </w:pPr>
            <w:r w:rsidRPr="00BD22BC">
              <w:rPr>
                <w:rFonts w:ascii="Segoe UI Symbol" w:hAnsi="Segoe UI Symbol" w:cs="Segoe UI Symbol"/>
                <w:szCs w:val="22"/>
              </w:rPr>
              <w:t>✓</w:t>
            </w:r>
            <w:r w:rsidRPr="00BD22BC">
              <w:rPr>
                <w:szCs w:val="22"/>
              </w:rPr>
              <w:t xml:space="preserve"> (12:00 p.m.)</w:t>
            </w:r>
          </w:p>
        </w:tc>
        <w:tc>
          <w:tcPr>
            <w:tcW w:w="1980" w:type="dxa"/>
            <w:noWrap/>
            <w:vAlign w:val="bottom"/>
          </w:tcPr>
          <w:p w14:paraId="0BC8F1BB" w14:textId="77777777" w:rsidR="00DB04AF" w:rsidRPr="00BD22BC" w:rsidRDefault="00DB04AF" w:rsidP="00414D4E">
            <w:pPr>
              <w:spacing w:line="240" w:lineRule="auto"/>
              <w:jc w:val="center"/>
              <w:rPr>
                <w:szCs w:val="22"/>
              </w:rPr>
            </w:pPr>
            <w:bookmarkStart w:id="78" w:name="_Hlk173059348"/>
            <w:proofErr w:type="spellStart"/>
            <w:r w:rsidRPr="00BD22BC">
              <w:rPr>
                <w:szCs w:val="22"/>
              </w:rPr>
              <w:t>n.a.</w:t>
            </w:r>
            <w:bookmarkEnd w:id="78"/>
            <w:proofErr w:type="spellEnd"/>
          </w:p>
        </w:tc>
        <w:tc>
          <w:tcPr>
            <w:tcW w:w="1980" w:type="dxa"/>
            <w:noWrap/>
            <w:vAlign w:val="bottom"/>
          </w:tcPr>
          <w:p w14:paraId="36EE4716" w14:textId="77777777" w:rsidR="00DB04AF" w:rsidRPr="00BD22BC" w:rsidRDefault="00DB04AF" w:rsidP="00414D4E">
            <w:pPr>
              <w:spacing w:line="240" w:lineRule="auto"/>
              <w:jc w:val="center"/>
              <w:rPr>
                <w:szCs w:val="22"/>
              </w:rPr>
            </w:pPr>
            <w:r w:rsidRPr="00BD22BC">
              <w:rPr>
                <w:szCs w:val="22"/>
              </w:rPr>
              <w:t>16</w:t>
            </w:r>
          </w:p>
        </w:tc>
      </w:tr>
      <w:tr w:rsidR="00DB04AF" w:rsidRPr="00BD22BC" w14:paraId="1987FDF0" w14:textId="77777777" w:rsidTr="00414D4E">
        <w:trPr>
          <w:trHeight w:val="249"/>
        </w:trPr>
        <w:tc>
          <w:tcPr>
            <w:tcW w:w="1885" w:type="dxa"/>
            <w:noWrap/>
            <w:hideMark/>
          </w:tcPr>
          <w:p w14:paraId="56B61355" w14:textId="77777777" w:rsidR="00DB04AF" w:rsidRPr="00BD22BC" w:rsidRDefault="00DB04AF" w:rsidP="00414D4E">
            <w:pPr>
              <w:spacing w:line="240" w:lineRule="auto"/>
              <w:rPr>
                <w:rFonts w:eastAsia="Times New Roman"/>
                <w:color w:val="000000"/>
                <w:szCs w:val="22"/>
              </w:rPr>
            </w:pPr>
            <w:r w:rsidRPr="00BD22BC">
              <w:rPr>
                <w:rFonts w:eastAsia="Times New Roman"/>
                <w:color w:val="000000"/>
                <w:szCs w:val="22"/>
              </w:rPr>
              <w:t>Kenya</w:t>
            </w:r>
          </w:p>
        </w:tc>
        <w:tc>
          <w:tcPr>
            <w:tcW w:w="1938" w:type="dxa"/>
            <w:noWrap/>
            <w:vAlign w:val="bottom"/>
          </w:tcPr>
          <w:p w14:paraId="221075A1" w14:textId="77777777" w:rsidR="00DB04AF" w:rsidRPr="00BD22BC" w:rsidRDefault="00DB04AF" w:rsidP="00414D4E">
            <w:pPr>
              <w:spacing w:line="240" w:lineRule="auto"/>
              <w:jc w:val="center"/>
              <w:rPr>
                <w:rFonts w:eastAsia="Times New Roman"/>
                <w:szCs w:val="22"/>
              </w:rPr>
            </w:pPr>
            <w:r w:rsidRPr="00BD22BC">
              <w:rPr>
                <w:rFonts w:ascii="Segoe UI Symbol" w:hAnsi="Segoe UI Symbol" w:cs="Segoe UI Symbol"/>
                <w:szCs w:val="22"/>
              </w:rPr>
              <w:t>✓</w:t>
            </w:r>
          </w:p>
        </w:tc>
        <w:tc>
          <w:tcPr>
            <w:tcW w:w="2202" w:type="dxa"/>
            <w:noWrap/>
            <w:vAlign w:val="bottom"/>
          </w:tcPr>
          <w:p w14:paraId="6C7D5B7B" w14:textId="77777777" w:rsidR="00DB04AF" w:rsidRPr="00BD22BC" w:rsidRDefault="00DB04AF" w:rsidP="00414D4E">
            <w:pPr>
              <w:spacing w:line="240" w:lineRule="auto"/>
              <w:jc w:val="center"/>
              <w:rPr>
                <w:rFonts w:eastAsia="Times New Roman"/>
                <w:szCs w:val="22"/>
              </w:rPr>
            </w:pPr>
            <w:r w:rsidRPr="00BD22BC">
              <w:rPr>
                <w:szCs w:val="22"/>
              </w:rPr>
              <w:t>no</w:t>
            </w:r>
          </w:p>
        </w:tc>
        <w:tc>
          <w:tcPr>
            <w:tcW w:w="1980" w:type="dxa"/>
            <w:noWrap/>
            <w:vAlign w:val="bottom"/>
          </w:tcPr>
          <w:p w14:paraId="202B6E27" w14:textId="77777777" w:rsidR="00DB04AF" w:rsidRPr="00BD22BC" w:rsidRDefault="00DB04AF" w:rsidP="00414D4E">
            <w:pPr>
              <w:spacing w:line="240" w:lineRule="auto"/>
              <w:jc w:val="center"/>
              <w:rPr>
                <w:rFonts w:eastAsia="Times New Roman"/>
                <w:szCs w:val="22"/>
              </w:rPr>
            </w:pPr>
            <w:r w:rsidRPr="00BD22BC">
              <w:rPr>
                <w:szCs w:val="22"/>
              </w:rPr>
              <w:t>24 (1 day later)</w:t>
            </w:r>
          </w:p>
        </w:tc>
        <w:tc>
          <w:tcPr>
            <w:tcW w:w="1980" w:type="dxa"/>
            <w:noWrap/>
            <w:vAlign w:val="bottom"/>
          </w:tcPr>
          <w:p w14:paraId="3D2D9A5F" w14:textId="77777777" w:rsidR="00DB04AF" w:rsidRPr="00BD22BC" w:rsidRDefault="00DB04AF" w:rsidP="00414D4E">
            <w:pPr>
              <w:spacing w:line="240" w:lineRule="auto"/>
              <w:jc w:val="center"/>
              <w:rPr>
                <w:rFonts w:eastAsia="Times New Roman"/>
                <w:szCs w:val="22"/>
              </w:rPr>
            </w:pPr>
            <w:r w:rsidRPr="00BD22BC">
              <w:rPr>
                <w:szCs w:val="22"/>
              </w:rPr>
              <w:t>3–33</w:t>
            </w:r>
          </w:p>
        </w:tc>
      </w:tr>
      <w:tr w:rsidR="00DB04AF" w:rsidRPr="00BD22BC" w14:paraId="59ABED53" w14:textId="77777777" w:rsidTr="00414D4E">
        <w:trPr>
          <w:trHeight w:val="249"/>
        </w:trPr>
        <w:tc>
          <w:tcPr>
            <w:tcW w:w="1885" w:type="dxa"/>
            <w:noWrap/>
          </w:tcPr>
          <w:p w14:paraId="1125A859" w14:textId="77777777" w:rsidR="00DB04AF" w:rsidRPr="00BD22BC" w:rsidRDefault="00DB04AF" w:rsidP="00414D4E">
            <w:pPr>
              <w:spacing w:line="240" w:lineRule="auto"/>
              <w:rPr>
                <w:rFonts w:eastAsia="Times New Roman"/>
                <w:color w:val="000000"/>
                <w:szCs w:val="22"/>
              </w:rPr>
            </w:pPr>
            <w:r w:rsidRPr="00BD22BC">
              <w:rPr>
                <w:rFonts w:eastAsia="Times New Roman"/>
                <w:color w:val="000000"/>
                <w:szCs w:val="22"/>
              </w:rPr>
              <w:t>Nigeria</w:t>
            </w:r>
          </w:p>
        </w:tc>
        <w:tc>
          <w:tcPr>
            <w:tcW w:w="1938" w:type="dxa"/>
            <w:noWrap/>
          </w:tcPr>
          <w:p w14:paraId="6CB80EBC" w14:textId="77777777" w:rsidR="00DB04AF" w:rsidRPr="00BD22BC" w:rsidRDefault="00DB04AF" w:rsidP="00414D4E">
            <w:pPr>
              <w:spacing w:line="240" w:lineRule="auto"/>
              <w:jc w:val="center"/>
              <w:rPr>
                <w:rFonts w:eastAsia="Times New Roman"/>
                <w:szCs w:val="22"/>
              </w:rPr>
            </w:pPr>
            <w:bookmarkStart w:id="79" w:name="_Hlk173059179"/>
            <w:r w:rsidRPr="00BD22BC">
              <w:rPr>
                <w:rFonts w:ascii="Segoe UI Symbol" w:hAnsi="Segoe UI Symbol" w:cs="Segoe UI Symbol"/>
                <w:szCs w:val="22"/>
              </w:rPr>
              <w:t>✓</w:t>
            </w:r>
            <w:bookmarkEnd w:id="79"/>
          </w:p>
        </w:tc>
        <w:tc>
          <w:tcPr>
            <w:tcW w:w="2202" w:type="dxa"/>
            <w:noWrap/>
          </w:tcPr>
          <w:p w14:paraId="6C1A292C" w14:textId="77777777" w:rsidR="00DB04AF" w:rsidRPr="00BD22BC" w:rsidRDefault="00DB04AF" w:rsidP="00414D4E">
            <w:pPr>
              <w:spacing w:line="240" w:lineRule="auto"/>
              <w:jc w:val="center"/>
              <w:rPr>
                <w:rFonts w:eastAsia="Times New Roman"/>
                <w:szCs w:val="22"/>
              </w:rPr>
            </w:pPr>
            <w:r w:rsidRPr="00BD22BC">
              <w:rPr>
                <w:szCs w:val="22"/>
              </w:rPr>
              <w:t>no</w:t>
            </w:r>
          </w:p>
        </w:tc>
        <w:tc>
          <w:tcPr>
            <w:tcW w:w="1980" w:type="dxa"/>
            <w:noWrap/>
          </w:tcPr>
          <w:p w14:paraId="42AA65F6" w14:textId="77777777" w:rsidR="00DB04AF" w:rsidRPr="00BD22BC" w:rsidRDefault="00DB04AF" w:rsidP="00414D4E">
            <w:pPr>
              <w:spacing w:line="240" w:lineRule="auto"/>
              <w:jc w:val="center"/>
              <w:rPr>
                <w:rFonts w:eastAsia="Times New Roman"/>
                <w:szCs w:val="22"/>
              </w:rPr>
            </w:pPr>
            <w:r w:rsidRPr="00BD22BC">
              <w:rPr>
                <w:szCs w:val="22"/>
              </w:rPr>
              <w:t>(no press conference)</w:t>
            </w:r>
          </w:p>
        </w:tc>
        <w:tc>
          <w:tcPr>
            <w:tcW w:w="1980" w:type="dxa"/>
            <w:noWrap/>
          </w:tcPr>
          <w:p w14:paraId="1E165447" w14:textId="77777777" w:rsidR="00DB04AF" w:rsidRPr="00BD22BC" w:rsidRDefault="00DB04AF" w:rsidP="00414D4E">
            <w:pPr>
              <w:spacing w:line="240" w:lineRule="auto"/>
              <w:jc w:val="center"/>
              <w:rPr>
                <w:rFonts w:eastAsia="Times New Roman"/>
                <w:szCs w:val="22"/>
              </w:rPr>
            </w:pPr>
            <w:r w:rsidRPr="00BD22BC">
              <w:rPr>
                <w:szCs w:val="22"/>
              </w:rPr>
              <w:t>3–37</w:t>
            </w:r>
          </w:p>
        </w:tc>
      </w:tr>
      <w:tr w:rsidR="00DB04AF" w:rsidRPr="00BD22BC" w14:paraId="55256735" w14:textId="77777777" w:rsidTr="00414D4E">
        <w:trPr>
          <w:trHeight w:val="249"/>
        </w:trPr>
        <w:tc>
          <w:tcPr>
            <w:tcW w:w="1885" w:type="dxa"/>
            <w:noWrap/>
          </w:tcPr>
          <w:p w14:paraId="33BC7892" w14:textId="77777777" w:rsidR="00DB04AF" w:rsidRPr="00BD22BC" w:rsidRDefault="00DB04AF" w:rsidP="00414D4E">
            <w:pPr>
              <w:spacing w:line="240" w:lineRule="auto"/>
              <w:rPr>
                <w:rFonts w:eastAsia="Times New Roman"/>
                <w:color w:val="000000"/>
                <w:szCs w:val="22"/>
              </w:rPr>
            </w:pPr>
            <w:r w:rsidRPr="00BD22BC">
              <w:rPr>
                <w:rFonts w:eastAsia="Times New Roman"/>
                <w:color w:val="000000"/>
                <w:szCs w:val="22"/>
              </w:rPr>
              <w:t>Philippines</w:t>
            </w:r>
          </w:p>
        </w:tc>
        <w:tc>
          <w:tcPr>
            <w:tcW w:w="1938" w:type="dxa"/>
            <w:noWrap/>
            <w:vAlign w:val="bottom"/>
          </w:tcPr>
          <w:p w14:paraId="606A56B3" w14:textId="77777777" w:rsidR="00DB04AF" w:rsidRPr="00BD22BC" w:rsidRDefault="00DB04AF" w:rsidP="00414D4E">
            <w:pPr>
              <w:spacing w:line="240" w:lineRule="auto"/>
              <w:jc w:val="center"/>
              <w:rPr>
                <w:rFonts w:ascii="Segoe UI Symbol" w:hAnsi="Segoe UI Symbol" w:cs="Segoe UI Symbol"/>
                <w:szCs w:val="22"/>
              </w:rPr>
            </w:pPr>
            <w:r w:rsidRPr="00BD22BC">
              <w:rPr>
                <w:rFonts w:ascii="Segoe UI Symbol" w:hAnsi="Segoe UI Symbol" w:cs="Segoe UI Symbol"/>
                <w:szCs w:val="22"/>
              </w:rPr>
              <w:t>✓</w:t>
            </w:r>
          </w:p>
        </w:tc>
        <w:tc>
          <w:tcPr>
            <w:tcW w:w="2202" w:type="dxa"/>
            <w:noWrap/>
            <w:vAlign w:val="bottom"/>
          </w:tcPr>
          <w:p w14:paraId="6A8CECD0" w14:textId="77777777" w:rsidR="00DB04AF" w:rsidRPr="00BD22BC" w:rsidRDefault="00DB04AF" w:rsidP="00414D4E">
            <w:pPr>
              <w:spacing w:line="240" w:lineRule="auto"/>
              <w:jc w:val="center"/>
              <w:rPr>
                <w:rFonts w:ascii="Segoe UI Symbol" w:hAnsi="Segoe UI Symbol" w:cs="Segoe UI Symbol"/>
                <w:szCs w:val="22"/>
              </w:rPr>
            </w:pPr>
            <w:proofErr w:type="spellStart"/>
            <w:r w:rsidRPr="00BD22BC">
              <w:rPr>
                <w:szCs w:val="22"/>
              </w:rPr>
              <w:t>n.a.</w:t>
            </w:r>
            <w:proofErr w:type="spellEnd"/>
          </w:p>
        </w:tc>
        <w:tc>
          <w:tcPr>
            <w:tcW w:w="1980" w:type="dxa"/>
            <w:noWrap/>
            <w:vAlign w:val="bottom"/>
          </w:tcPr>
          <w:p w14:paraId="3B65D4F5" w14:textId="77777777" w:rsidR="00DB04AF" w:rsidRPr="00BD22BC" w:rsidRDefault="00DB04AF" w:rsidP="00414D4E">
            <w:pPr>
              <w:spacing w:line="240" w:lineRule="auto"/>
              <w:jc w:val="center"/>
              <w:rPr>
                <w:szCs w:val="22"/>
              </w:rPr>
            </w:pPr>
            <w:bookmarkStart w:id="80" w:name="_Hlk173059283"/>
            <w:proofErr w:type="spellStart"/>
            <w:r w:rsidRPr="00BD22BC">
              <w:rPr>
                <w:szCs w:val="22"/>
              </w:rPr>
              <w:t>n.a.</w:t>
            </w:r>
            <w:bookmarkEnd w:id="80"/>
            <w:proofErr w:type="spellEnd"/>
          </w:p>
        </w:tc>
        <w:tc>
          <w:tcPr>
            <w:tcW w:w="1980" w:type="dxa"/>
            <w:noWrap/>
            <w:vAlign w:val="bottom"/>
          </w:tcPr>
          <w:p w14:paraId="4CA79C56" w14:textId="77777777" w:rsidR="00DB04AF" w:rsidRPr="00BD22BC" w:rsidRDefault="00DB04AF" w:rsidP="00414D4E">
            <w:pPr>
              <w:spacing w:line="240" w:lineRule="auto"/>
              <w:jc w:val="center"/>
              <w:rPr>
                <w:szCs w:val="22"/>
              </w:rPr>
            </w:pPr>
            <w:r w:rsidRPr="00BD22BC">
              <w:rPr>
                <w:szCs w:val="22"/>
              </w:rPr>
              <w:t>1</w:t>
            </w:r>
          </w:p>
        </w:tc>
      </w:tr>
      <w:tr w:rsidR="00DB04AF" w:rsidRPr="00BD22BC" w14:paraId="30C3572D" w14:textId="77777777" w:rsidTr="00414D4E">
        <w:trPr>
          <w:trHeight w:val="249"/>
        </w:trPr>
        <w:tc>
          <w:tcPr>
            <w:tcW w:w="1885" w:type="dxa"/>
            <w:noWrap/>
            <w:hideMark/>
          </w:tcPr>
          <w:p w14:paraId="16F53F89" w14:textId="77777777" w:rsidR="00DB04AF" w:rsidRPr="00BD22BC" w:rsidRDefault="00DB04AF" w:rsidP="00414D4E">
            <w:pPr>
              <w:spacing w:line="240" w:lineRule="auto"/>
              <w:rPr>
                <w:rFonts w:eastAsia="Times New Roman"/>
                <w:color w:val="000000"/>
              </w:rPr>
            </w:pPr>
            <w:r w:rsidRPr="38638030">
              <w:rPr>
                <w:rFonts w:eastAsia="Times New Roman"/>
                <w:color w:val="000000" w:themeColor="text1"/>
              </w:rPr>
              <w:t>Russian Federation</w:t>
            </w:r>
          </w:p>
        </w:tc>
        <w:tc>
          <w:tcPr>
            <w:tcW w:w="1938" w:type="dxa"/>
            <w:noWrap/>
            <w:vAlign w:val="bottom"/>
          </w:tcPr>
          <w:p w14:paraId="59933818" w14:textId="77777777" w:rsidR="00DB04AF" w:rsidRPr="00BD22BC" w:rsidRDefault="00DB04AF" w:rsidP="00414D4E">
            <w:pPr>
              <w:spacing w:line="240" w:lineRule="auto"/>
              <w:jc w:val="center"/>
              <w:rPr>
                <w:rFonts w:eastAsia="Times New Roman"/>
                <w:szCs w:val="22"/>
              </w:rPr>
            </w:pPr>
            <w:r w:rsidRPr="00BD22BC">
              <w:rPr>
                <w:rFonts w:ascii="Segoe UI Symbol" w:hAnsi="Segoe UI Symbol" w:cs="Segoe UI Symbol"/>
                <w:szCs w:val="22"/>
              </w:rPr>
              <w:t>✓</w:t>
            </w:r>
          </w:p>
        </w:tc>
        <w:tc>
          <w:tcPr>
            <w:tcW w:w="2202" w:type="dxa"/>
            <w:noWrap/>
            <w:vAlign w:val="bottom"/>
          </w:tcPr>
          <w:p w14:paraId="7FDBDBF0" w14:textId="77777777" w:rsidR="00DB04AF" w:rsidRPr="00BD22BC" w:rsidRDefault="00DB04AF" w:rsidP="00414D4E">
            <w:pPr>
              <w:spacing w:line="240" w:lineRule="auto"/>
              <w:jc w:val="center"/>
              <w:rPr>
                <w:rFonts w:eastAsia="Times New Roman"/>
                <w:szCs w:val="22"/>
              </w:rPr>
            </w:pPr>
            <w:r w:rsidRPr="00BD22BC">
              <w:rPr>
                <w:rFonts w:ascii="Segoe UI Symbol" w:hAnsi="Segoe UI Symbol" w:cs="Segoe UI Symbol"/>
                <w:szCs w:val="22"/>
              </w:rPr>
              <w:t>✓</w:t>
            </w:r>
            <w:r w:rsidRPr="00BD22BC">
              <w:rPr>
                <w:szCs w:val="22"/>
              </w:rPr>
              <w:t xml:space="preserve"> (1:30 p.m.)</w:t>
            </w:r>
          </w:p>
        </w:tc>
        <w:tc>
          <w:tcPr>
            <w:tcW w:w="1980" w:type="dxa"/>
            <w:noWrap/>
            <w:vAlign w:val="bottom"/>
          </w:tcPr>
          <w:p w14:paraId="3091839E" w14:textId="77777777" w:rsidR="00DB04AF" w:rsidRPr="00BD22BC" w:rsidRDefault="00DB04AF" w:rsidP="00414D4E">
            <w:pPr>
              <w:spacing w:line="240" w:lineRule="auto"/>
              <w:jc w:val="center"/>
              <w:rPr>
                <w:rFonts w:eastAsia="Times New Roman"/>
                <w:szCs w:val="22"/>
              </w:rPr>
            </w:pPr>
            <w:r w:rsidRPr="00BD22BC">
              <w:rPr>
                <w:szCs w:val="22"/>
              </w:rPr>
              <w:t>1 1/2 (3:00 p.m.)</w:t>
            </w:r>
          </w:p>
        </w:tc>
        <w:tc>
          <w:tcPr>
            <w:tcW w:w="1980" w:type="dxa"/>
            <w:noWrap/>
            <w:vAlign w:val="bottom"/>
          </w:tcPr>
          <w:p w14:paraId="597320EF" w14:textId="77777777" w:rsidR="00DB04AF" w:rsidRPr="00BD22BC" w:rsidRDefault="00DB04AF" w:rsidP="00414D4E">
            <w:pPr>
              <w:spacing w:line="240" w:lineRule="auto"/>
              <w:jc w:val="center"/>
              <w:rPr>
                <w:rFonts w:eastAsia="Times New Roman"/>
                <w:szCs w:val="22"/>
              </w:rPr>
            </w:pPr>
            <w:r w:rsidRPr="00BD22BC">
              <w:rPr>
                <w:szCs w:val="22"/>
              </w:rPr>
              <w:t>8</w:t>
            </w:r>
          </w:p>
        </w:tc>
      </w:tr>
      <w:tr w:rsidR="00DB04AF" w:rsidRPr="00BD22BC" w14:paraId="286ACCB8" w14:textId="77777777" w:rsidTr="00414D4E">
        <w:trPr>
          <w:trHeight w:val="249"/>
        </w:trPr>
        <w:tc>
          <w:tcPr>
            <w:tcW w:w="1885" w:type="dxa"/>
            <w:noWrap/>
          </w:tcPr>
          <w:p w14:paraId="50F437D5" w14:textId="77777777" w:rsidR="00DB04AF" w:rsidRPr="00BD22BC" w:rsidRDefault="00DB04AF" w:rsidP="00414D4E">
            <w:pPr>
              <w:spacing w:line="240" w:lineRule="auto"/>
              <w:rPr>
                <w:rFonts w:eastAsia="Times New Roman"/>
                <w:color w:val="000000"/>
                <w:szCs w:val="22"/>
              </w:rPr>
            </w:pPr>
            <w:r w:rsidRPr="00BD22BC">
              <w:rPr>
                <w:rFonts w:eastAsia="Times New Roman"/>
                <w:color w:val="000000"/>
                <w:szCs w:val="22"/>
              </w:rPr>
              <w:t>Rwanda</w:t>
            </w:r>
          </w:p>
        </w:tc>
        <w:tc>
          <w:tcPr>
            <w:tcW w:w="1938" w:type="dxa"/>
            <w:noWrap/>
            <w:vAlign w:val="bottom"/>
          </w:tcPr>
          <w:p w14:paraId="440EC217" w14:textId="77777777" w:rsidR="00DB04AF" w:rsidRPr="00BD22BC" w:rsidRDefault="00DB04AF" w:rsidP="00414D4E">
            <w:pPr>
              <w:spacing w:line="240" w:lineRule="auto"/>
              <w:jc w:val="center"/>
              <w:rPr>
                <w:rFonts w:eastAsia="Times New Roman"/>
                <w:szCs w:val="22"/>
              </w:rPr>
            </w:pPr>
            <w:r w:rsidRPr="00BD22BC">
              <w:rPr>
                <w:szCs w:val="22"/>
              </w:rPr>
              <w:t>next day</w:t>
            </w:r>
          </w:p>
        </w:tc>
        <w:tc>
          <w:tcPr>
            <w:tcW w:w="2202" w:type="dxa"/>
            <w:noWrap/>
            <w:vAlign w:val="bottom"/>
          </w:tcPr>
          <w:p w14:paraId="0538D2C9" w14:textId="77777777" w:rsidR="00DB04AF" w:rsidRPr="00BD22BC" w:rsidRDefault="00DB04AF" w:rsidP="00414D4E">
            <w:pPr>
              <w:spacing w:line="240" w:lineRule="auto"/>
              <w:jc w:val="center"/>
              <w:rPr>
                <w:rFonts w:eastAsia="Times New Roman"/>
                <w:szCs w:val="22"/>
              </w:rPr>
            </w:pPr>
            <w:proofErr w:type="spellStart"/>
            <w:r w:rsidRPr="00BD22BC">
              <w:rPr>
                <w:szCs w:val="22"/>
              </w:rPr>
              <w:t>n.a.</w:t>
            </w:r>
            <w:proofErr w:type="spellEnd"/>
          </w:p>
        </w:tc>
        <w:tc>
          <w:tcPr>
            <w:tcW w:w="1980" w:type="dxa"/>
            <w:noWrap/>
            <w:vAlign w:val="bottom"/>
          </w:tcPr>
          <w:p w14:paraId="6FFB281B" w14:textId="77777777" w:rsidR="00DB04AF" w:rsidRPr="00BD22BC" w:rsidRDefault="00DB04AF" w:rsidP="00414D4E">
            <w:pPr>
              <w:spacing w:line="240" w:lineRule="auto"/>
              <w:jc w:val="center"/>
              <w:rPr>
                <w:rFonts w:eastAsia="Times New Roman"/>
                <w:szCs w:val="22"/>
              </w:rPr>
            </w:pPr>
            <w:proofErr w:type="spellStart"/>
            <w:r w:rsidRPr="00BD22BC">
              <w:rPr>
                <w:szCs w:val="22"/>
              </w:rPr>
              <w:t>n.a</w:t>
            </w:r>
            <w:proofErr w:type="spellEnd"/>
          </w:p>
        </w:tc>
        <w:tc>
          <w:tcPr>
            <w:tcW w:w="1980" w:type="dxa"/>
            <w:noWrap/>
            <w:vAlign w:val="bottom"/>
          </w:tcPr>
          <w:p w14:paraId="113E91C4" w14:textId="77777777" w:rsidR="00DB04AF" w:rsidRPr="00BD22BC" w:rsidRDefault="00DB04AF" w:rsidP="00414D4E">
            <w:pPr>
              <w:spacing w:line="240" w:lineRule="auto"/>
              <w:jc w:val="center"/>
              <w:rPr>
                <w:rFonts w:eastAsia="Times New Roman"/>
                <w:szCs w:val="22"/>
              </w:rPr>
            </w:pPr>
            <w:r w:rsidRPr="00BD22BC">
              <w:rPr>
                <w:szCs w:val="22"/>
              </w:rPr>
              <w:t>5</w:t>
            </w:r>
            <w:r w:rsidRPr="00BD22BC">
              <w:rPr>
                <w:b/>
                <w:bCs/>
                <w:szCs w:val="22"/>
              </w:rPr>
              <w:t>–</w:t>
            </w:r>
            <w:r w:rsidRPr="00BD22BC">
              <w:rPr>
                <w:szCs w:val="22"/>
              </w:rPr>
              <w:t>20</w:t>
            </w:r>
          </w:p>
        </w:tc>
      </w:tr>
      <w:tr w:rsidR="00DB04AF" w:rsidRPr="00BD22BC" w14:paraId="3F7DBB1D" w14:textId="77777777" w:rsidTr="00414D4E">
        <w:trPr>
          <w:trHeight w:val="249"/>
        </w:trPr>
        <w:tc>
          <w:tcPr>
            <w:tcW w:w="1885" w:type="dxa"/>
            <w:noWrap/>
            <w:hideMark/>
          </w:tcPr>
          <w:p w14:paraId="243C7162" w14:textId="77777777" w:rsidR="00DB04AF" w:rsidRPr="00BD22BC" w:rsidRDefault="00DB04AF" w:rsidP="00414D4E">
            <w:pPr>
              <w:spacing w:line="240" w:lineRule="auto"/>
              <w:rPr>
                <w:rFonts w:eastAsia="Times New Roman"/>
                <w:color w:val="000000"/>
                <w:szCs w:val="22"/>
              </w:rPr>
            </w:pPr>
            <w:r w:rsidRPr="00BD22BC">
              <w:rPr>
                <w:rFonts w:eastAsia="Times New Roman"/>
                <w:color w:val="000000"/>
                <w:szCs w:val="22"/>
              </w:rPr>
              <w:t>South Africa</w:t>
            </w:r>
          </w:p>
        </w:tc>
        <w:tc>
          <w:tcPr>
            <w:tcW w:w="1938" w:type="dxa"/>
            <w:noWrap/>
            <w:vAlign w:val="bottom"/>
          </w:tcPr>
          <w:p w14:paraId="3DD67B78" w14:textId="77777777" w:rsidR="00DB04AF" w:rsidRPr="00BD22BC" w:rsidRDefault="00DB04AF" w:rsidP="00414D4E">
            <w:pPr>
              <w:spacing w:line="240" w:lineRule="auto"/>
              <w:jc w:val="center"/>
              <w:rPr>
                <w:rFonts w:eastAsia="Times New Roman"/>
                <w:szCs w:val="22"/>
              </w:rPr>
            </w:pPr>
            <w:bookmarkStart w:id="81" w:name="_Hlk173058449"/>
            <w:r w:rsidRPr="00BD22BC">
              <w:rPr>
                <w:rFonts w:ascii="Segoe UI Symbol" w:hAnsi="Segoe UI Symbol" w:cs="Segoe UI Symbol"/>
                <w:szCs w:val="22"/>
              </w:rPr>
              <w:t>✓</w:t>
            </w:r>
            <w:bookmarkEnd w:id="81"/>
          </w:p>
        </w:tc>
        <w:tc>
          <w:tcPr>
            <w:tcW w:w="2202" w:type="dxa"/>
            <w:noWrap/>
            <w:vAlign w:val="bottom"/>
          </w:tcPr>
          <w:p w14:paraId="684B6D47" w14:textId="77777777" w:rsidR="00DB04AF" w:rsidRPr="00BD22BC" w:rsidRDefault="00DB04AF" w:rsidP="00414D4E">
            <w:pPr>
              <w:spacing w:line="240" w:lineRule="auto"/>
              <w:jc w:val="center"/>
              <w:rPr>
                <w:rFonts w:eastAsia="Times New Roman"/>
                <w:szCs w:val="22"/>
              </w:rPr>
            </w:pPr>
            <w:bookmarkStart w:id="82" w:name="_Hlk173059333"/>
            <w:r w:rsidRPr="00BD22BC">
              <w:rPr>
                <w:rFonts w:ascii="Segoe UI Symbol" w:hAnsi="Segoe UI Symbol" w:cs="Segoe UI Symbol"/>
                <w:szCs w:val="22"/>
              </w:rPr>
              <w:t>✓</w:t>
            </w:r>
            <w:r w:rsidRPr="00BD22BC">
              <w:rPr>
                <w:szCs w:val="22"/>
              </w:rPr>
              <w:t xml:space="preserve"> (3:00 p.m.)</w:t>
            </w:r>
            <w:bookmarkEnd w:id="82"/>
          </w:p>
        </w:tc>
        <w:tc>
          <w:tcPr>
            <w:tcW w:w="1980" w:type="dxa"/>
            <w:noWrap/>
            <w:vAlign w:val="bottom"/>
          </w:tcPr>
          <w:p w14:paraId="30AC2FF6" w14:textId="77777777" w:rsidR="00DB04AF" w:rsidRPr="00BD22BC" w:rsidRDefault="00DB04AF" w:rsidP="00414D4E">
            <w:pPr>
              <w:spacing w:line="240" w:lineRule="auto"/>
              <w:jc w:val="center"/>
              <w:rPr>
                <w:rFonts w:eastAsia="Times New Roman"/>
                <w:szCs w:val="22"/>
              </w:rPr>
            </w:pPr>
            <w:r w:rsidRPr="00BD22BC">
              <w:rPr>
                <w:szCs w:val="22"/>
              </w:rPr>
              <w:t xml:space="preserve"> 0 (3:00 p.m.)</w:t>
            </w:r>
          </w:p>
        </w:tc>
        <w:tc>
          <w:tcPr>
            <w:tcW w:w="1980" w:type="dxa"/>
            <w:noWrap/>
            <w:vAlign w:val="bottom"/>
          </w:tcPr>
          <w:p w14:paraId="58B8AACF" w14:textId="77777777" w:rsidR="00DB04AF" w:rsidRPr="00BD22BC" w:rsidRDefault="00DB04AF" w:rsidP="00414D4E">
            <w:pPr>
              <w:spacing w:line="240" w:lineRule="auto"/>
              <w:jc w:val="center"/>
              <w:rPr>
                <w:rFonts w:eastAsia="Times New Roman"/>
                <w:szCs w:val="22"/>
              </w:rPr>
            </w:pPr>
            <w:bookmarkStart w:id="83" w:name="_Hlk173059288"/>
            <w:r w:rsidRPr="00BD22BC">
              <w:rPr>
                <w:szCs w:val="22"/>
              </w:rPr>
              <w:t>26</w:t>
            </w:r>
            <w:bookmarkEnd w:id="83"/>
          </w:p>
        </w:tc>
      </w:tr>
      <w:tr w:rsidR="00DB04AF" w:rsidRPr="00BD22BC" w14:paraId="645717F9" w14:textId="77777777" w:rsidTr="00414D4E">
        <w:trPr>
          <w:trHeight w:val="249"/>
        </w:trPr>
        <w:tc>
          <w:tcPr>
            <w:tcW w:w="1885" w:type="dxa"/>
            <w:noWrap/>
            <w:hideMark/>
          </w:tcPr>
          <w:p w14:paraId="5580214C" w14:textId="77777777" w:rsidR="00DB04AF" w:rsidRPr="00BD22BC" w:rsidRDefault="00DB04AF" w:rsidP="00414D4E">
            <w:pPr>
              <w:spacing w:line="240" w:lineRule="auto"/>
              <w:rPr>
                <w:rFonts w:eastAsia="Times New Roman"/>
                <w:color w:val="000000"/>
                <w:szCs w:val="22"/>
              </w:rPr>
            </w:pPr>
            <w:r w:rsidRPr="00BD22BC">
              <w:rPr>
                <w:rFonts w:eastAsia="Times New Roman"/>
                <w:color w:val="000000"/>
                <w:szCs w:val="22"/>
              </w:rPr>
              <w:t>Tanzania</w:t>
            </w:r>
          </w:p>
        </w:tc>
        <w:tc>
          <w:tcPr>
            <w:tcW w:w="1938" w:type="dxa"/>
            <w:noWrap/>
            <w:vAlign w:val="bottom"/>
          </w:tcPr>
          <w:p w14:paraId="2F8A51AD" w14:textId="77777777" w:rsidR="00DB04AF" w:rsidRPr="00BD22BC" w:rsidRDefault="00DB04AF" w:rsidP="00414D4E">
            <w:pPr>
              <w:spacing w:line="240" w:lineRule="auto"/>
              <w:jc w:val="center"/>
              <w:rPr>
                <w:rFonts w:eastAsia="Times New Roman"/>
                <w:szCs w:val="22"/>
              </w:rPr>
            </w:pPr>
            <w:r w:rsidRPr="00BD22BC">
              <w:rPr>
                <w:szCs w:val="22"/>
              </w:rPr>
              <w:t>next day</w:t>
            </w:r>
          </w:p>
        </w:tc>
        <w:tc>
          <w:tcPr>
            <w:tcW w:w="2202" w:type="dxa"/>
            <w:noWrap/>
            <w:vAlign w:val="bottom"/>
          </w:tcPr>
          <w:p w14:paraId="686C375B" w14:textId="77777777" w:rsidR="00DB04AF" w:rsidRPr="00BD22BC" w:rsidRDefault="00DB04AF" w:rsidP="00414D4E">
            <w:pPr>
              <w:spacing w:line="240" w:lineRule="auto"/>
              <w:jc w:val="center"/>
              <w:rPr>
                <w:rFonts w:eastAsia="Times New Roman"/>
                <w:szCs w:val="22"/>
              </w:rPr>
            </w:pPr>
            <w:proofErr w:type="spellStart"/>
            <w:r w:rsidRPr="00BD22BC">
              <w:rPr>
                <w:szCs w:val="22"/>
              </w:rPr>
              <w:t>n.a.</w:t>
            </w:r>
            <w:proofErr w:type="spellEnd"/>
          </w:p>
        </w:tc>
        <w:tc>
          <w:tcPr>
            <w:tcW w:w="1980" w:type="dxa"/>
            <w:noWrap/>
            <w:vAlign w:val="bottom"/>
          </w:tcPr>
          <w:p w14:paraId="1A949246" w14:textId="77777777" w:rsidR="00DB04AF" w:rsidRPr="00BD22BC" w:rsidRDefault="00DB04AF" w:rsidP="00414D4E">
            <w:pPr>
              <w:spacing w:line="240" w:lineRule="auto"/>
              <w:jc w:val="center"/>
              <w:rPr>
                <w:rFonts w:eastAsia="Times New Roman"/>
                <w:szCs w:val="22"/>
              </w:rPr>
            </w:pPr>
            <w:proofErr w:type="spellStart"/>
            <w:r w:rsidRPr="00BD22BC">
              <w:rPr>
                <w:szCs w:val="22"/>
              </w:rPr>
              <w:t>n.a</w:t>
            </w:r>
            <w:proofErr w:type="spellEnd"/>
          </w:p>
        </w:tc>
        <w:tc>
          <w:tcPr>
            <w:tcW w:w="1980" w:type="dxa"/>
            <w:noWrap/>
            <w:vAlign w:val="bottom"/>
          </w:tcPr>
          <w:p w14:paraId="50BC56B4" w14:textId="77777777" w:rsidR="00DB04AF" w:rsidRPr="00BD22BC" w:rsidRDefault="00DB04AF" w:rsidP="00414D4E">
            <w:pPr>
              <w:spacing w:line="240" w:lineRule="auto"/>
              <w:jc w:val="center"/>
              <w:rPr>
                <w:rFonts w:eastAsia="Times New Roman"/>
                <w:szCs w:val="22"/>
              </w:rPr>
            </w:pPr>
            <w:r w:rsidRPr="00BD22BC">
              <w:rPr>
                <w:szCs w:val="22"/>
              </w:rPr>
              <w:t>0–12</w:t>
            </w:r>
          </w:p>
        </w:tc>
      </w:tr>
      <w:tr w:rsidR="00DB04AF" w:rsidRPr="00BD22BC" w14:paraId="769844D9" w14:textId="77777777" w:rsidTr="00414D4E">
        <w:trPr>
          <w:trHeight w:val="249"/>
        </w:trPr>
        <w:tc>
          <w:tcPr>
            <w:tcW w:w="1885" w:type="dxa"/>
            <w:noWrap/>
          </w:tcPr>
          <w:p w14:paraId="7C3F8A76" w14:textId="77777777" w:rsidR="00DB04AF" w:rsidRPr="00BD22BC" w:rsidRDefault="00DB04AF" w:rsidP="00414D4E">
            <w:pPr>
              <w:spacing w:line="240" w:lineRule="auto"/>
              <w:rPr>
                <w:rFonts w:eastAsia="Times New Roman"/>
                <w:color w:val="000000"/>
                <w:szCs w:val="22"/>
              </w:rPr>
            </w:pPr>
            <w:r w:rsidRPr="00BD22BC">
              <w:rPr>
                <w:rFonts w:eastAsia="Times New Roman"/>
                <w:color w:val="000000"/>
                <w:szCs w:val="22"/>
              </w:rPr>
              <w:t>Thailand</w:t>
            </w:r>
          </w:p>
        </w:tc>
        <w:tc>
          <w:tcPr>
            <w:tcW w:w="1938" w:type="dxa"/>
            <w:noWrap/>
            <w:vAlign w:val="bottom"/>
          </w:tcPr>
          <w:p w14:paraId="2CAFDD5C" w14:textId="77777777" w:rsidR="00DB04AF" w:rsidRPr="00BD22BC" w:rsidRDefault="00DB04AF" w:rsidP="00414D4E">
            <w:pPr>
              <w:spacing w:line="240" w:lineRule="auto"/>
              <w:jc w:val="center"/>
              <w:rPr>
                <w:rFonts w:ascii="Segoe UI Symbol" w:hAnsi="Segoe UI Symbol" w:cs="Segoe UI Symbol"/>
                <w:szCs w:val="22"/>
              </w:rPr>
            </w:pPr>
            <w:r w:rsidRPr="00BD22BC">
              <w:rPr>
                <w:rFonts w:ascii="Segoe UI Symbol" w:hAnsi="Segoe UI Symbol" w:cs="Segoe UI Symbol"/>
                <w:szCs w:val="22"/>
              </w:rPr>
              <w:t>✓</w:t>
            </w:r>
          </w:p>
        </w:tc>
        <w:tc>
          <w:tcPr>
            <w:tcW w:w="2202" w:type="dxa"/>
            <w:noWrap/>
            <w:vAlign w:val="bottom"/>
          </w:tcPr>
          <w:p w14:paraId="71CBDC13" w14:textId="77777777" w:rsidR="00DB04AF" w:rsidRPr="00BD22BC" w:rsidRDefault="00DB04AF" w:rsidP="00414D4E">
            <w:pPr>
              <w:spacing w:line="240" w:lineRule="auto"/>
              <w:jc w:val="center"/>
              <w:rPr>
                <w:szCs w:val="22"/>
              </w:rPr>
            </w:pPr>
            <w:bookmarkStart w:id="84" w:name="_Hlk173059272"/>
            <w:r w:rsidRPr="00BD22BC">
              <w:rPr>
                <w:rFonts w:ascii="Segoe UI Symbol" w:hAnsi="Segoe UI Symbol" w:cs="Segoe UI Symbol"/>
                <w:szCs w:val="22"/>
              </w:rPr>
              <w:t>✓</w:t>
            </w:r>
            <w:r w:rsidRPr="00BD22BC">
              <w:rPr>
                <w:szCs w:val="22"/>
              </w:rPr>
              <w:t xml:space="preserve"> (2:00 p.m.)</w:t>
            </w:r>
            <w:bookmarkEnd w:id="84"/>
          </w:p>
        </w:tc>
        <w:tc>
          <w:tcPr>
            <w:tcW w:w="1980" w:type="dxa"/>
            <w:noWrap/>
            <w:vAlign w:val="bottom"/>
          </w:tcPr>
          <w:p w14:paraId="34C6B3F2" w14:textId="77777777" w:rsidR="00DB04AF" w:rsidRPr="00BD22BC" w:rsidRDefault="00DB04AF" w:rsidP="00414D4E">
            <w:pPr>
              <w:spacing w:line="240" w:lineRule="auto"/>
              <w:jc w:val="center"/>
              <w:rPr>
                <w:szCs w:val="22"/>
              </w:rPr>
            </w:pPr>
            <w:r w:rsidRPr="00BD22BC">
              <w:rPr>
                <w:szCs w:val="22"/>
              </w:rPr>
              <w:t>1/2 (2:30 p.m.)</w:t>
            </w:r>
          </w:p>
        </w:tc>
        <w:tc>
          <w:tcPr>
            <w:tcW w:w="1980" w:type="dxa"/>
            <w:noWrap/>
            <w:vAlign w:val="bottom"/>
          </w:tcPr>
          <w:p w14:paraId="45F22C3F" w14:textId="77777777" w:rsidR="00DB04AF" w:rsidRPr="00BD22BC" w:rsidRDefault="00DB04AF" w:rsidP="00414D4E">
            <w:pPr>
              <w:spacing w:line="240" w:lineRule="auto"/>
              <w:jc w:val="center"/>
              <w:rPr>
                <w:szCs w:val="22"/>
              </w:rPr>
            </w:pPr>
            <w:r w:rsidRPr="00BD22BC">
              <w:rPr>
                <w:szCs w:val="22"/>
              </w:rPr>
              <w:t>14</w:t>
            </w:r>
          </w:p>
        </w:tc>
      </w:tr>
      <w:tr w:rsidR="00DB04AF" w:rsidRPr="00BD22BC" w14:paraId="741CF021" w14:textId="77777777" w:rsidTr="00414D4E">
        <w:trPr>
          <w:trHeight w:val="249"/>
        </w:trPr>
        <w:tc>
          <w:tcPr>
            <w:tcW w:w="1885" w:type="dxa"/>
            <w:noWrap/>
            <w:hideMark/>
          </w:tcPr>
          <w:p w14:paraId="4A96427A" w14:textId="77777777" w:rsidR="00DB04AF" w:rsidRPr="00BD22BC" w:rsidRDefault="00DB04AF" w:rsidP="00414D4E">
            <w:pPr>
              <w:spacing w:line="240" w:lineRule="auto"/>
              <w:rPr>
                <w:rFonts w:eastAsia="Times New Roman"/>
                <w:color w:val="000000"/>
                <w:szCs w:val="22"/>
              </w:rPr>
            </w:pPr>
            <w:r w:rsidRPr="00BD22BC">
              <w:rPr>
                <w:rFonts w:eastAsia="Times New Roman"/>
                <w:color w:val="000000"/>
                <w:szCs w:val="22"/>
              </w:rPr>
              <w:t>Uganda</w:t>
            </w:r>
          </w:p>
        </w:tc>
        <w:tc>
          <w:tcPr>
            <w:tcW w:w="1938" w:type="dxa"/>
            <w:noWrap/>
            <w:vAlign w:val="bottom"/>
            <w:hideMark/>
          </w:tcPr>
          <w:p w14:paraId="01810FBA" w14:textId="77777777" w:rsidR="00DB04AF" w:rsidRPr="00BD22BC" w:rsidRDefault="00DB04AF" w:rsidP="00414D4E">
            <w:pPr>
              <w:spacing w:line="240" w:lineRule="auto"/>
              <w:jc w:val="center"/>
              <w:rPr>
                <w:rFonts w:eastAsia="Times New Roman"/>
                <w:szCs w:val="22"/>
              </w:rPr>
            </w:pPr>
            <w:r w:rsidRPr="00BD22BC">
              <w:rPr>
                <w:rFonts w:ascii="Segoe UI Symbol" w:hAnsi="Segoe UI Symbol" w:cs="Segoe UI Symbol"/>
                <w:szCs w:val="22"/>
              </w:rPr>
              <w:t>✓</w:t>
            </w:r>
          </w:p>
        </w:tc>
        <w:tc>
          <w:tcPr>
            <w:tcW w:w="2202" w:type="dxa"/>
            <w:noWrap/>
            <w:vAlign w:val="bottom"/>
            <w:hideMark/>
          </w:tcPr>
          <w:p w14:paraId="4F44F809" w14:textId="77777777" w:rsidR="00DB04AF" w:rsidRPr="00BD22BC" w:rsidRDefault="00DB04AF" w:rsidP="00414D4E">
            <w:pPr>
              <w:spacing w:line="240" w:lineRule="auto"/>
              <w:jc w:val="center"/>
              <w:rPr>
                <w:rFonts w:eastAsia="Times New Roman"/>
                <w:szCs w:val="22"/>
              </w:rPr>
            </w:pPr>
            <w:r w:rsidRPr="00BD22BC">
              <w:rPr>
                <w:szCs w:val="22"/>
              </w:rPr>
              <w:t>no</w:t>
            </w:r>
          </w:p>
        </w:tc>
        <w:tc>
          <w:tcPr>
            <w:tcW w:w="1980" w:type="dxa"/>
            <w:noWrap/>
            <w:vAlign w:val="bottom"/>
            <w:hideMark/>
          </w:tcPr>
          <w:p w14:paraId="23EC4438" w14:textId="77777777" w:rsidR="00DB04AF" w:rsidRPr="00BD22BC" w:rsidRDefault="00DB04AF" w:rsidP="00414D4E">
            <w:pPr>
              <w:spacing w:line="240" w:lineRule="auto"/>
              <w:jc w:val="center"/>
              <w:rPr>
                <w:rFonts w:eastAsia="Times New Roman"/>
                <w:szCs w:val="22"/>
              </w:rPr>
            </w:pPr>
            <w:r w:rsidRPr="00BD22BC">
              <w:rPr>
                <w:szCs w:val="22"/>
              </w:rPr>
              <w:t>0</w:t>
            </w:r>
          </w:p>
        </w:tc>
        <w:tc>
          <w:tcPr>
            <w:tcW w:w="1980" w:type="dxa"/>
            <w:noWrap/>
            <w:vAlign w:val="bottom"/>
            <w:hideMark/>
          </w:tcPr>
          <w:p w14:paraId="3A01DA35" w14:textId="77777777" w:rsidR="00DB04AF" w:rsidRPr="00BD22BC" w:rsidRDefault="00DB04AF" w:rsidP="00414D4E">
            <w:pPr>
              <w:spacing w:line="240" w:lineRule="auto"/>
              <w:jc w:val="center"/>
              <w:rPr>
                <w:rFonts w:eastAsia="Times New Roman"/>
                <w:szCs w:val="22"/>
              </w:rPr>
            </w:pPr>
            <w:r w:rsidRPr="00BD22BC">
              <w:rPr>
                <w:szCs w:val="22"/>
              </w:rPr>
              <w:t>Up to 20–30</w:t>
            </w:r>
          </w:p>
        </w:tc>
      </w:tr>
      <w:tr w:rsidR="00DB04AF" w:rsidRPr="00BD22BC" w14:paraId="075E3C64" w14:textId="77777777" w:rsidTr="00414D4E">
        <w:trPr>
          <w:trHeight w:val="249"/>
        </w:trPr>
        <w:tc>
          <w:tcPr>
            <w:tcW w:w="1885" w:type="dxa"/>
            <w:noWrap/>
            <w:hideMark/>
          </w:tcPr>
          <w:p w14:paraId="153509C4" w14:textId="77777777" w:rsidR="00DB04AF" w:rsidRPr="00BD22BC" w:rsidRDefault="00DB04AF" w:rsidP="00414D4E">
            <w:pPr>
              <w:spacing w:line="240" w:lineRule="auto"/>
              <w:rPr>
                <w:rFonts w:eastAsia="Times New Roman"/>
                <w:color w:val="000000"/>
                <w:szCs w:val="22"/>
              </w:rPr>
            </w:pPr>
            <w:r w:rsidRPr="00BD22BC">
              <w:rPr>
                <w:rFonts w:eastAsia="Times New Roman"/>
                <w:color w:val="000000"/>
                <w:szCs w:val="22"/>
              </w:rPr>
              <w:t xml:space="preserve">Ukraine </w:t>
            </w:r>
          </w:p>
        </w:tc>
        <w:tc>
          <w:tcPr>
            <w:tcW w:w="1938" w:type="dxa"/>
            <w:noWrap/>
            <w:vAlign w:val="bottom"/>
          </w:tcPr>
          <w:p w14:paraId="2EC46DB6" w14:textId="77777777" w:rsidR="00DB04AF" w:rsidRPr="00BD22BC" w:rsidRDefault="00DB04AF" w:rsidP="00414D4E">
            <w:pPr>
              <w:spacing w:line="240" w:lineRule="auto"/>
              <w:jc w:val="center"/>
              <w:rPr>
                <w:rFonts w:eastAsia="Times New Roman"/>
                <w:szCs w:val="22"/>
              </w:rPr>
            </w:pPr>
            <w:r w:rsidRPr="00BD22BC">
              <w:rPr>
                <w:rFonts w:ascii="Segoe UI Symbol" w:hAnsi="Segoe UI Symbol" w:cs="Segoe UI Symbol"/>
                <w:szCs w:val="22"/>
              </w:rPr>
              <w:t>✓</w:t>
            </w:r>
          </w:p>
        </w:tc>
        <w:tc>
          <w:tcPr>
            <w:tcW w:w="2202" w:type="dxa"/>
            <w:noWrap/>
            <w:vAlign w:val="bottom"/>
          </w:tcPr>
          <w:p w14:paraId="40B199DC" w14:textId="77777777" w:rsidR="00DB04AF" w:rsidRPr="00BD22BC" w:rsidRDefault="00DB04AF" w:rsidP="00414D4E">
            <w:pPr>
              <w:spacing w:line="240" w:lineRule="auto"/>
              <w:jc w:val="center"/>
              <w:rPr>
                <w:rFonts w:eastAsia="Times New Roman"/>
                <w:szCs w:val="22"/>
              </w:rPr>
            </w:pPr>
            <w:bookmarkStart w:id="85" w:name="_Hlk173058474"/>
            <w:r w:rsidRPr="00BD22BC">
              <w:rPr>
                <w:rFonts w:ascii="Segoe UI Symbol" w:hAnsi="Segoe UI Symbol" w:cs="Segoe UI Symbol"/>
                <w:szCs w:val="22"/>
              </w:rPr>
              <w:t>✓</w:t>
            </w:r>
            <w:r w:rsidRPr="00BD22BC">
              <w:rPr>
                <w:szCs w:val="22"/>
              </w:rPr>
              <w:t xml:space="preserve"> (2:00 p.m.)</w:t>
            </w:r>
            <w:bookmarkEnd w:id="85"/>
          </w:p>
        </w:tc>
        <w:tc>
          <w:tcPr>
            <w:tcW w:w="1980" w:type="dxa"/>
            <w:noWrap/>
            <w:vAlign w:val="bottom"/>
          </w:tcPr>
          <w:p w14:paraId="78687658" w14:textId="77777777" w:rsidR="00DB04AF" w:rsidRPr="00BD22BC" w:rsidRDefault="00DB04AF" w:rsidP="00414D4E">
            <w:pPr>
              <w:spacing w:line="240" w:lineRule="auto"/>
              <w:jc w:val="center"/>
              <w:rPr>
                <w:rFonts w:eastAsia="Times New Roman"/>
                <w:szCs w:val="22"/>
              </w:rPr>
            </w:pPr>
            <w:r w:rsidRPr="00BD22BC">
              <w:rPr>
                <w:szCs w:val="22"/>
              </w:rPr>
              <w:t xml:space="preserve"> 0 (2:00 p.m.)</w:t>
            </w:r>
          </w:p>
        </w:tc>
        <w:tc>
          <w:tcPr>
            <w:tcW w:w="1980" w:type="dxa"/>
            <w:noWrap/>
            <w:vAlign w:val="bottom"/>
          </w:tcPr>
          <w:p w14:paraId="5A90FD9C" w14:textId="77777777" w:rsidR="00DB04AF" w:rsidRPr="00BD22BC" w:rsidRDefault="00DB04AF" w:rsidP="00414D4E">
            <w:pPr>
              <w:spacing w:line="240" w:lineRule="auto"/>
              <w:jc w:val="center"/>
              <w:rPr>
                <w:rFonts w:eastAsia="Times New Roman"/>
                <w:szCs w:val="22"/>
              </w:rPr>
            </w:pPr>
            <w:r w:rsidRPr="00BD22BC">
              <w:rPr>
                <w:szCs w:val="22"/>
              </w:rPr>
              <w:t>7</w:t>
            </w:r>
          </w:p>
        </w:tc>
      </w:tr>
      <w:tr w:rsidR="00DB04AF" w:rsidRPr="00BD22BC" w14:paraId="56D72351" w14:textId="77777777" w:rsidTr="00414D4E">
        <w:trPr>
          <w:trHeight w:val="249"/>
        </w:trPr>
        <w:tc>
          <w:tcPr>
            <w:tcW w:w="1885" w:type="dxa"/>
            <w:noWrap/>
          </w:tcPr>
          <w:p w14:paraId="453F7F53" w14:textId="77777777" w:rsidR="00DB04AF" w:rsidRPr="00BD22BC" w:rsidRDefault="00DB04AF" w:rsidP="00414D4E">
            <w:pPr>
              <w:spacing w:line="240" w:lineRule="auto"/>
              <w:rPr>
                <w:rFonts w:eastAsia="Times New Roman"/>
                <w:color w:val="000000"/>
                <w:szCs w:val="22"/>
              </w:rPr>
            </w:pPr>
            <w:r w:rsidRPr="00BD22BC">
              <w:rPr>
                <w:rFonts w:eastAsia="Times New Roman"/>
                <w:color w:val="000000"/>
                <w:szCs w:val="22"/>
              </w:rPr>
              <w:t>Zambia</w:t>
            </w:r>
          </w:p>
        </w:tc>
        <w:tc>
          <w:tcPr>
            <w:tcW w:w="1938" w:type="dxa"/>
            <w:noWrap/>
          </w:tcPr>
          <w:p w14:paraId="3004796E" w14:textId="77777777" w:rsidR="00DB04AF" w:rsidRPr="00BD22BC" w:rsidRDefault="00DB04AF" w:rsidP="00414D4E">
            <w:pPr>
              <w:spacing w:line="240" w:lineRule="auto"/>
              <w:jc w:val="center"/>
              <w:rPr>
                <w:rFonts w:eastAsia="Times New Roman"/>
                <w:szCs w:val="22"/>
              </w:rPr>
            </w:pPr>
            <w:r w:rsidRPr="00BD22BC">
              <w:rPr>
                <w:szCs w:val="22"/>
              </w:rPr>
              <w:t>next day</w:t>
            </w:r>
          </w:p>
        </w:tc>
        <w:tc>
          <w:tcPr>
            <w:tcW w:w="2202" w:type="dxa"/>
            <w:noWrap/>
          </w:tcPr>
          <w:p w14:paraId="36B3487A" w14:textId="77777777" w:rsidR="00DB04AF" w:rsidRPr="00BD22BC" w:rsidRDefault="00DB04AF" w:rsidP="00414D4E">
            <w:pPr>
              <w:spacing w:line="240" w:lineRule="auto"/>
              <w:jc w:val="center"/>
              <w:rPr>
                <w:rFonts w:eastAsia="Times New Roman"/>
                <w:szCs w:val="22"/>
              </w:rPr>
            </w:pPr>
            <w:proofErr w:type="spellStart"/>
            <w:r w:rsidRPr="00BD22BC">
              <w:rPr>
                <w:szCs w:val="22"/>
              </w:rPr>
              <w:t>n.a.</w:t>
            </w:r>
            <w:proofErr w:type="spellEnd"/>
          </w:p>
        </w:tc>
        <w:tc>
          <w:tcPr>
            <w:tcW w:w="1980" w:type="dxa"/>
            <w:noWrap/>
          </w:tcPr>
          <w:p w14:paraId="16F05028" w14:textId="77777777" w:rsidR="00DB04AF" w:rsidRPr="00BD22BC" w:rsidRDefault="00DB04AF" w:rsidP="00414D4E">
            <w:pPr>
              <w:spacing w:line="240" w:lineRule="auto"/>
              <w:jc w:val="center"/>
              <w:rPr>
                <w:rFonts w:eastAsia="Times New Roman"/>
                <w:szCs w:val="22"/>
              </w:rPr>
            </w:pPr>
            <w:r w:rsidRPr="00BD22BC">
              <w:rPr>
                <w:szCs w:val="22"/>
              </w:rPr>
              <w:t>same day</w:t>
            </w:r>
          </w:p>
        </w:tc>
        <w:tc>
          <w:tcPr>
            <w:tcW w:w="1980" w:type="dxa"/>
            <w:noWrap/>
          </w:tcPr>
          <w:p w14:paraId="1C3FCE39" w14:textId="77777777" w:rsidR="00DB04AF" w:rsidRPr="00BD22BC" w:rsidRDefault="00DB04AF" w:rsidP="00414D4E">
            <w:pPr>
              <w:spacing w:line="240" w:lineRule="auto"/>
              <w:jc w:val="center"/>
              <w:rPr>
                <w:rFonts w:eastAsia="Times New Roman"/>
                <w:szCs w:val="22"/>
              </w:rPr>
            </w:pPr>
            <w:r w:rsidRPr="00BD22BC">
              <w:rPr>
                <w:szCs w:val="22"/>
              </w:rPr>
              <w:t>Currently no MPR. First MPR to be published in March 2024</w:t>
            </w:r>
          </w:p>
        </w:tc>
      </w:tr>
    </w:tbl>
    <w:p w14:paraId="1672C6A0" w14:textId="77777777" w:rsidR="00DB04AF" w:rsidRPr="00311DC0" w:rsidRDefault="00DB04AF" w:rsidP="00DB04AF">
      <w:r>
        <w:t>MPR = monetary policy report.</w:t>
      </w:r>
    </w:p>
    <w:p w14:paraId="4C3AA6B1" w14:textId="77777777" w:rsidR="00DB04AF" w:rsidRDefault="00DB04AF" w:rsidP="00DB04AF">
      <w:pPr>
        <w:rPr>
          <w:b/>
          <w:bCs/>
        </w:rPr>
      </w:pPr>
    </w:p>
    <w:p w14:paraId="0119A17B" w14:textId="77777777" w:rsidR="00DB04AF" w:rsidRPr="00320508" w:rsidRDefault="00DB04AF" w:rsidP="00DB04AF">
      <w:r w:rsidRPr="00320508">
        <w:t>Sources: Central bank websites and IMF staff calculations.</w:t>
      </w:r>
    </w:p>
    <w:p w14:paraId="4F54A29B" w14:textId="77777777" w:rsidR="00DB04AF" w:rsidRPr="00BD22BC" w:rsidRDefault="00DB04AF" w:rsidP="00DB04AF"/>
    <w:p w14:paraId="7CEEF39D" w14:textId="77777777" w:rsidR="00DB04AF" w:rsidRPr="00BD22BC" w:rsidRDefault="00DB04AF" w:rsidP="00DB04AF">
      <w:pPr>
        <w:rPr>
          <w:rFonts w:eastAsia="Arial" w:cs="Arial"/>
          <w:szCs w:val="22"/>
        </w:rPr>
      </w:pPr>
      <w:bookmarkStart w:id="86" w:name="_Hlk169560553"/>
      <w:r w:rsidRPr="00BD22BC">
        <w:rPr>
          <w:rFonts w:eastAsia="Arial" w:cs="Arial"/>
          <w:b/>
          <w:bCs/>
          <w:color w:val="000000" w:themeColor="text1"/>
          <w:szCs w:val="22"/>
          <w:highlight w:val="yellow"/>
        </w:rPr>
        <w:t>&lt;END OF PDF&gt;</w:t>
      </w:r>
    </w:p>
    <w:bookmarkEnd w:id="86"/>
    <w:p w14:paraId="06A1A583" w14:textId="05678B62" w:rsidR="6EEC262A" w:rsidRPr="00BD22BC" w:rsidRDefault="6EEC262A" w:rsidP="6EEC262A">
      <w:pPr>
        <w:pBdr>
          <w:bottom w:val="single" w:sz="6" w:space="1" w:color="auto"/>
        </w:pBdr>
        <w:rPr>
          <w:b/>
          <w:bCs/>
        </w:rPr>
      </w:pPr>
    </w:p>
    <w:p w14:paraId="157F9031" w14:textId="5FDB5459" w:rsidR="00AB6F77" w:rsidRPr="00BD22BC" w:rsidRDefault="7CA340AB" w:rsidP="00AB6F77">
      <w:pPr>
        <w:pStyle w:val="Heading2"/>
      </w:pPr>
      <w:bookmarkStart w:id="87" w:name="_Toc1499086476"/>
      <w:bookmarkEnd w:id="68"/>
      <w:r w:rsidRPr="7EEFCAA8">
        <w:rPr>
          <w:highlight w:val="yellow"/>
        </w:rPr>
        <w:lastRenderedPageBreak/>
        <w:t>UNIT 2.</w:t>
      </w:r>
      <w:r w:rsidR="18E9323B" w:rsidRPr="7EEFCAA8">
        <w:rPr>
          <w:highlight w:val="yellow"/>
        </w:rPr>
        <w:t>4</w:t>
      </w:r>
      <w:r w:rsidRPr="7EEFCAA8">
        <w:rPr>
          <w:highlight w:val="yellow"/>
        </w:rPr>
        <w:t>:</w:t>
      </w:r>
      <w:r>
        <w:t xml:space="preserve"> </w:t>
      </w:r>
      <w:r w:rsidR="4E28154B">
        <w:t xml:space="preserve">Standard </w:t>
      </w:r>
      <w:r w:rsidR="4E6EC88F">
        <w:t>Policy Communication Toolkit</w:t>
      </w:r>
      <w:bookmarkEnd w:id="87"/>
    </w:p>
    <w:p w14:paraId="36DF647A" w14:textId="77777777" w:rsidR="004A1EC7" w:rsidRPr="00BD22BC" w:rsidRDefault="004A1EC7" w:rsidP="007F72A6"/>
    <w:p w14:paraId="79AA5B51" w14:textId="00A43705" w:rsidR="00D14AE4" w:rsidRPr="00BD22BC" w:rsidRDefault="00D14AE4" w:rsidP="007F72A6">
      <w:r w:rsidRPr="00BD22BC">
        <w:t>Within their established</w:t>
      </w:r>
      <w:r w:rsidR="00AB6F77" w:rsidRPr="00BD22BC">
        <w:t xml:space="preserve"> communication routine</w:t>
      </w:r>
      <w:r w:rsidRPr="00BD22BC">
        <w:t>s, central banks</w:t>
      </w:r>
      <w:r w:rsidR="007F72A6" w:rsidRPr="00BD22BC">
        <w:t xml:space="preserve"> use a full range of communication tools and techniques. The most common are p</w:t>
      </w:r>
      <w:r w:rsidRPr="00BD22BC">
        <w:t>ress releases, press conferences,</w:t>
      </w:r>
      <w:r w:rsidR="007F72A6" w:rsidRPr="00BD22BC">
        <w:t xml:space="preserve"> public notices,</w:t>
      </w:r>
      <w:r w:rsidRPr="00BD22BC">
        <w:t xml:space="preserve"> reports, speeches, </w:t>
      </w:r>
      <w:r w:rsidR="007F72A6" w:rsidRPr="00BD22BC">
        <w:t xml:space="preserve">and various </w:t>
      </w:r>
      <w:r w:rsidRPr="00BD22BC">
        <w:t>public outreach</w:t>
      </w:r>
      <w:r w:rsidR="007F72A6" w:rsidRPr="00BD22BC">
        <w:t xml:space="preserve"> events.</w:t>
      </w:r>
    </w:p>
    <w:p w14:paraId="4B9492B1" w14:textId="77777777" w:rsidR="00282D3A" w:rsidRPr="00BD22BC" w:rsidRDefault="00282D3A" w:rsidP="00282D3A"/>
    <w:p w14:paraId="7E68701D" w14:textId="6E11FBEC" w:rsidR="00282D3A" w:rsidRPr="00BD22BC" w:rsidRDefault="00AF74D6" w:rsidP="00282D3A">
      <w:r>
        <w:t>A</w:t>
      </w:r>
      <w:r w:rsidR="00282D3A">
        <w:t xml:space="preserve"> state-of-the-art </w:t>
      </w:r>
      <w:r w:rsidR="0003366F">
        <w:t xml:space="preserve">communication </w:t>
      </w:r>
      <w:r w:rsidR="00282D3A">
        <w:t xml:space="preserve">toolkit </w:t>
      </w:r>
      <w:r>
        <w:t xml:space="preserve">adopted in </w:t>
      </w:r>
      <w:r w:rsidR="00282D3A">
        <w:t xml:space="preserve">leading </w:t>
      </w:r>
      <w:r w:rsidR="005677C9">
        <w:t>inflation-oriented</w:t>
      </w:r>
      <w:r w:rsidR="00282D3A">
        <w:t xml:space="preserve"> central banks</w:t>
      </w:r>
      <w:r>
        <w:t xml:space="preserve"> </w:t>
      </w:r>
      <w:r w:rsidR="00282D3A">
        <w:t xml:space="preserve">ensures that all key stakeholders, </w:t>
      </w:r>
      <w:r w:rsidR="00056A4E">
        <w:t xml:space="preserve">domestic and international </w:t>
      </w:r>
      <w:r w:rsidR="00282D3A">
        <w:t>financial markets</w:t>
      </w:r>
      <w:r w:rsidR="00056A4E">
        <w:t>,</w:t>
      </w:r>
      <w:r w:rsidR="00282D3A">
        <w:t xml:space="preserve"> and the wider public have equal access to critical information. Th</w:t>
      </w:r>
      <w:r>
        <w:t>is</w:t>
      </w:r>
      <w:r w:rsidR="00282D3A">
        <w:t xml:space="preserve"> traditional toolkit is </w:t>
      </w:r>
      <w:r w:rsidR="79B2738E">
        <w:t>summariz</w:t>
      </w:r>
      <w:r w:rsidR="00282D3A">
        <w:t>ed in the following table:</w:t>
      </w:r>
    </w:p>
    <w:p w14:paraId="07A1F197" w14:textId="77777777" w:rsidR="00282D3A" w:rsidRDefault="00282D3A" w:rsidP="00282D3A"/>
    <w:p w14:paraId="4EDD067A" w14:textId="05E61CB4" w:rsidR="000831F4" w:rsidRPr="00BD22BC" w:rsidRDefault="000831F4" w:rsidP="000831F4">
      <w:r w:rsidRPr="38638030">
        <w:rPr>
          <w:b/>
          <w:bCs/>
          <w:highlight w:val="yellow"/>
        </w:rPr>
        <w:t>&lt;</w:t>
      </w:r>
      <w:r>
        <w:rPr>
          <w:b/>
          <w:bCs/>
          <w:highlight w:val="yellow"/>
        </w:rPr>
        <w:t>Asset 4.2.4_Table_traditional toolkit</w:t>
      </w:r>
      <w:r w:rsidRPr="38638030">
        <w:rPr>
          <w:b/>
          <w:bCs/>
          <w:highlight w:val="yellow"/>
        </w:rPr>
        <w:t>&gt;</w:t>
      </w:r>
    </w:p>
    <w:p w14:paraId="4EDEA03E" w14:textId="77777777" w:rsidR="000831F4" w:rsidRPr="00BD22BC" w:rsidRDefault="000831F4" w:rsidP="00282D3A"/>
    <w:tbl>
      <w:tblPr>
        <w:tblW w:w="0" w:type="auto"/>
        <w:tblCellMar>
          <w:left w:w="0" w:type="dxa"/>
          <w:right w:w="0" w:type="dxa"/>
        </w:tblCellMar>
        <w:tblLook w:val="04A0" w:firstRow="1" w:lastRow="0" w:firstColumn="1" w:lastColumn="0" w:noHBand="0" w:noVBand="1"/>
      </w:tblPr>
      <w:tblGrid>
        <w:gridCol w:w="2428"/>
        <w:gridCol w:w="3807"/>
        <w:gridCol w:w="3829"/>
      </w:tblGrid>
      <w:tr w:rsidR="00282D3A" w:rsidRPr="00BD22BC" w14:paraId="3B1D86FB" w14:textId="77777777" w:rsidTr="38638030">
        <w:trPr>
          <w:trHeight w:val="495"/>
        </w:trPr>
        <w:tc>
          <w:tcPr>
            <w:tcW w:w="2724" w:type="dxa"/>
            <w:tcBorders>
              <w:top w:val="single" w:sz="6" w:space="0" w:color="FEFEFE"/>
              <w:left w:val="single" w:sz="6" w:space="0" w:color="FEFEFE"/>
              <w:bottom w:val="single" w:sz="6" w:space="0" w:color="FEFEFE"/>
              <w:right w:val="single" w:sz="6" w:space="0" w:color="FEFEFE"/>
            </w:tcBorders>
            <w:shd w:val="clear" w:color="auto" w:fill="E1E0E0"/>
            <w:tcMar>
              <w:top w:w="0" w:type="dxa"/>
              <w:left w:w="108" w:type="dxa"/>
              <w:bottom w:w="0" w:type="dxa"/>
              <w:right w:w="108" w:type="dxa"/>
            </w:tcMar>
            <w:hideMark/>
          </w:tcPr>
          <w:p w14:paraId="6ABDD44B" w14:textId="77777777" w:rsidR="00282D3A" w:rsidRPr="00BD22BC" w:rsidRDefault="00282D3A" w:rsidP="38638030">
            <w:pPr>
              <w:spacing w:line="240" w:lineRule="auto"/>
              <w:jc w:val="center"/>
              <w:rPr>
                <w:rFonts w:ascii="Times New Roman" w:eastAsia="Times New Roman" w:hAnsi="Times New Roman"/>
                <w:sz w:val="24"/>
                <w:lang w:eastAsia="en-GB"/>
              </w:rPr>
            </w:pPr>
            <w:r w:rsidRPr="38638030">
              <w:rPr>
                <w:rFonts w:ascii="Helvetica Neue" w:eastAsia="Times New Roman" w:hAnsi="Helvetica Neue"/>
                <w:b/>
                <w:bCs/>
                <w:color w:val="000000" w:themeColor="text1"/>
                <w:sz w:val="18"/>
                <w:szCs w:val="18"/>
                <w:lang w:eastAsia="en-GB"/>
              </w:rPr>
              <w:t>Transparency, Communications Tools and Events</w:t>
            </w:r>
          </w:p>
        </w:tc>
        <w:tc>
          <w:tcPr>
            <w:tcW w:w="4539" w:type="dxa"/>
            <w:tcBorders>
              <w:top w:val="single" w:sz="6" w:space="0" w:color="FEFEFE"/>
              <w:left w:val="single" w:sz="6" w:space="0" w:color="FEFEFE"/>
              <w:bottom w:val="single" w:sz="6" w:space="0" w:color="FEFEFE"/>
              <w:right w:val="single" w:sz="6" w:space="0" w:color="FEFEFE"/>
            </w:tcBorders>
            <w:shd w:val="clear" w:color="auto" w:fill="E1E0E0"/>
            <w:tcMar>
              <w:top w:w="0" w:type="dxa"/>
              <w:left w:w="108" w:type="dxa"/>
              <w:bottom w:w="0" w:type="dxa"/>
              <w:right w:w="108" w:type="dxa"/>
            </w:tcMar>
            <w:hideMark/>
          </w:tcPr>
          <w:p w14:paraId="0F86220F" w14:textId="77777777" w:rsidR="00282D3A" w:rsidRPr="00BD22BC" w:rsidRDefault="00282D3A" w:rsidP="00F25400">
            <w:pPr>
              <w:spacing w:line="240" w:lineRule="auto"/>
              <w:jc w:val="center"/>
              <w:rPr>
                <w:rFonts w:ascii="Times New Roman" w:eastAsia="Times New Roman" w:hAnsi="Times New Roman"/>
                <w:sz w:val="24"/>
                <w:lang w:eastAsia="en-GB"/>
              </w:rPr>
            </w:pPr>
            <w:r w:rsidRPr="00BD22BC">
              <w:rPr>
                <w:rFonts w:ascii="Helvetica Neue" w:eastAsia="Times New Roman" w:hAnsi="Helvetica Neue"/>
                <w:b/>
                <w:color w:val="000000"/>
                <w:sz w:val="18"/>
                <w:szCs w:val="18"/>
                <w:lang w:eastAsia="en-GB"/>
              </w:rPr>
              <w:t>Purpose</w:t>
            </w:r>
          </w:p>
        </w:tc>
        <w:tc>
          <w:tcPr>
            <w:tcW w:w="4599" w:type="dxa"/>
            <w:tcBorders>
              <w:top w:val="single" w:sz="6" w:space="0" w:color="FEFEFE"/>
              <w:left w:val="single" w:sz="6" w:space="0" w:color="FEFEFE"/>
              <w:bottom w:val="single" w:sz="6" w:space="0" w:color="FEFEFE"/>
              <w:right w:val="single" w:sz="6" w:space="0" w:color="FEFEFE"/>
            </w:tcBorders>
            <w:shd w:val="clear" w:color="auto" w:fill="E1E0E0"/>
            <w:tcMar>
              <w:top w:w="0" w:type="dxa"/>
              <w:left w:w="108" w:type="dxa"/>
              <w:bottom w:w="0" w:type="dxa"/>
              <w:right w:w="108" w:type="dxa"/>
            </w:tcMar>
            <w:hideMark/>
          </w:tcPr>
          <w:p w14:paraId="27D540A3" w14:textId="7CAAD7DE" w:rsidR="00282D3A" w:rsidRPr="00BD22BC" w:rsidRDefault="00282D3A" w:rsidP="00F25400">
            <w:pPr>
              <w:spacing w:line="240" w:lineRule="auto"/>
              <w:jc w:val="center"/>
              <w:rPr>
                <w:rFonts w:ascii="Times New Roman" w:eastAsia="Times New Roman" w:hAnsi="Times New Roman"/>
                <w:sz w:val="24"/>
                <w:lang w:eastAsia="en-GB"/>
              </w:rPr>
            </w:pPr>
            <w:r w:rsidRPr="00BD22BC">
              <w:rPr>
                <w:rFonts w:ascii="Helvetica Neue" w:eastAsia="Times New Roman" w:hAnsi="Helvetica Neue"/>
                <w:b/>
                <w:color w:val="000000"/>
                <w:sz w:val="18"/>
                <w:szCs w:val="18"/>
                <w:lang w:eastAsia="en-GB"/>
              </w:rPr>
              <w:t>Best Practice Among Leading Central Banks</w:t>
            </w:r>
          </w:p>
        </w:tc>
      </w:tr>
      <w:tr w:rsidR="00282D3A" w:rsidRPr="00BD22BC" w14:paraId="57FE020F" w14:textId="77777777" w:rsidTr="38638030">
        <w:trPr>
          <w:trHeight w:val="1095"/>
        </w:trPr>
        <w:tc>
          <w:tcPr>
            <w:tcW w:w="2724" w:type="dxa"/>
            <w:tcBorders>
              <w:top w:val="single" w:sz="6" w:space="0" w:color="FEFEFE"/>
              <w:left w:val="single" w:sz="6" w:space="0" w:color="FEFEFE"/>
              <w:bottom w:val="single" w:sz="6" w:space="0" w:color="FEFEFE"/>
              <w:right w:val="single" w:sz="6" w:space="0" w:color="FEFEFE"/>
            </w:tcBorders>
            <w:shd w:val="clear" w:color="auto" w:fill="E1EBF7"/>
            <w:tcMar>
              <w:top w:w="0" w:type="dxa"/>
              <w:left w:w="108" w:type="dxa"/>
              <w:bottom w:w="0" w:type="dxa"/>
              <w:right w:w="108" w:type="dxa"/>
            </w:tcMar>
            <w:hideMark/>
          </w:tcPr>
          <w:p w14:paraId="76D015E2" w14:textId="49784A52" w:rsidR="00282D3A" w:rsidRPr="00BD22BC" w:rsidRDefault="00282D3A" w:rsidP="38638030">
            <w:pPr>
              <w:spacing w:line="240" w:lineRule="auto"/>
              <w:rPr>
                <w:rFonts w:ascii="Times New Roman" w:eastAsia="Times New Roman" w:hAnsi="Times New Roman"/>
                <w:sz w:val="24"/>
                <w:lang w:eastAsia="en-GB"/>
              </w:rPr>
            </w:pPr>
            <w:r w:rsidRPr="38638030">
              <w:rPr>
                <w:rFonts w:ascii="Helvetica Neue" w:eastAsia="Times New Roman" w:hAnsi="Helvetica Neue"/>
                <w:color w:val="000000" w:themeColor="text1"/>
                <w:sz w:val="18"/>
                <w:szCs w:val="18"/>
                <w:lang w:eastAsia="en-GB"/>
              </w:rPr>
              <w:t>Advance calendar of regular policy meetings and macroeconomic outlook updates (</w:t>
            </w:r>
            <w:r w:rsidR="00F05E09" w:rsidRPr="38638030">
              <w:rPr>
                <w:rFonts w:ascii="Helvetica Neue" w:eastAsia="Times New Roman" w:hAnsi="Helvetica Neue"/>
                <w:color w:val="000000" w:themeColor="text1"/>
                <w:sz w:val="18"/>
                <w:szCs w:val="18"/>
                <w:lang w:eastAsia="en-GB"/>
              </w:rPr>
              <w:t>m</w:t>
            </w:r>
            <w:r w:rsidRPr="38638030">
              <w:rPr>
                <w:rFonts w:ascii="Helvetica Neue" w:eastAsia="Times New Roman" w:hAnsi="Helvetica Neue"/>
                <w:color w:val="000000" w:themeColor="text1"/>
                <w:sz w:val="18"/>
                <w:szCs w:val="18"/>
                <w:lang w:eastAsia="en-GB"/>
              </w:rPr>
              <w:t xml:space="preserve">onetary </w:t>
            </w:r>
            <w:r w:rsidR="00F05E09" w:rsidRPr="38638030">
              <w:rPr>
                <w:rFonts w:ascii="Helvetica Neue" w:eastAsia="Times New Roman" w:hAnsi="Helvetica Neue"/>
                <w:color w:val="000000" w:themeColor="text1"/>
                <w:sz w:val="18"/>
                <w:szCs w:val="18"/>
                <w:lang w:eastAsia="en-GB"/>
              </w:rPr>
              <w:t>p</w:t>
            </w:r>
            <w:r w:rsidRPr="38638030">
              <w:rPr>
                <w:rFonts w:ascii="Helvetica Neue" w:eastAsia="Times New Roman" w:hAnsi="Helvetica Neue"/>
                <w:color w:val="000000" w:themeColor="text1"/>
                <w:sz w:val="18"/>
                <w:szCs w:val="18"/>
                <w:lang w:eastAsia="en-GB"/>
              </w:rPr>
              <w:t xml:space="preserve">olicy </w:t>
            </w:r>
            <w:r w:rsidR="00F05E09" w:rsidRPr="38638030">
              <w:rPr>
                <w:rFonts w:ascii="Helvetica Neue" w:eastAsia="Times New Roman" w:hAnsi="Helvetica Neue"/>
                <w:color w:val="000000" w:themeColor="text1"/>
                <w:sz w:val="18"/>
                <w:szCs w:val="18"/>
                <w:lang w:eastAsia="en-GB"/>
              </w:rPr>
              <w:t>r</w:t>
            </w:r>
            <w:r w:rsidRPr="38638030">
              <w:rPr>
                <w:rFonts w:ascii="Helvetica Neue" w:eastAsia="Times New Roman" w:hAnsi="Helvetica Neue"/>
                <w:color w:val="000000" w:themeColor="text1"/>
                <w:sz w:val="18"/>
                <w:szCs w:val="18"/>
                <w:lang w:eastAsia="en-GB"/>
              </w:rPr>
              <w:t>eport publications)</w:t>
            </w:r>
          </w:p>
        </w:tc>
        <w:tc>
          <w:tcPr>
            <w:tcW w:w="4539" w:type="dxa"/>
            <w:tcBorders>
              <w:top w:val="single" w:sz="6" w:space="0" w:color="FEFEFE"/>
              <w:left w:val="single" w:sz="6" w:space="0" w:color="FEFEFE"/>
              <w:bottom w:val="single" w:sz="6" w:space="0" w:color="FEFEFE"/>
              <w:right w:val="single" w:sz="6" w:space="0" w:color="FEFEFE"/>
            </w:tcBorders>
            <w:shd w:val="clear" w:color="auto" w:fill="E1EBF7"/>
            <w:tcMar>
              <w:top w:w="0" w:type="dxa"/>
              <w:left w:w="108" w:type="dxa"/>
              <w:bottom w:w="0" w:type="dxa"/>
              <w:right w:w="108" w:type="dxa"/>
            </w:tcMar>
            <w:hideMark/>
          </w:tcPr>
          <w:p w14:paraId="27E482FA" w14:textId="77777777" w:rsidR="00282D3A" w:rsidRPr="00BD22BC" w:rsidRDefault="00282D3A" w:rsidP="00F25400">
            <w:pPr>
              <w:spacing w:line="240" w:lineRule="auto"/>
              <w:rPr>
                <w:rFonts w:ascii="Times New Roman" w:eastAsia="Times New Roman" w:hAnsi="Times New Roman"/>
                <w:sz w:val="24"/>
                <w:lang w:eastAsia="en-GB"/>
              </w:rPr>
            </w:pPr>
            <w:r w:rsidRPr="00BD22BC">
              <w:rPr>
                <w:rFonts w:ascii="Helvetica Neue" w:eastAsia="Times New Roman" w:hAnsi="Helvetica Neue"/>
                <w:color w:val="000000"/>
                <w:sz w:val="18"/>
                <w:szCs w:val="18"/>
                <w:lang w:eastAsia="en-GB"/>
              </w:rPr>
              <w:t>Anchoring expectations of key external stakeholders about the timing of regular updates to the macroeconomic projections on economic growth, inflation, etc.</w:t>
            </w:r>
          </w:p>
        </w:tc>
        <w:tc>
          <w:tcPr>
            <w:tcW w:w="4599" w:type="dxa"/>
            <w:tcBorders>
              <w:top w:val="single" w:sz="6" w:space="0" w:color="FEFEFE"/>
              <w:left w:val="single" w:sz="6" w:space="0" w:color="FEFEFE"/>
              <w:bottom w:val="single" w:sz="6" w:space="0" w:color="FEFEFE"/>
              <w:right w:val="single" w:sz="6" w:space="0" w:color="FEFEFE"/>
            </w:tcBorders>
            <w:shd w:val="clear" w:color="auto" w:fill="E1EBF7"/>
            <w:tcMar>
              <w:top w:w="0" w:type="dxa"/>
              <w:left w:w="108" w:type="dxa"/>
              <w:bottom w:w="0" w:type="dxa"/>
              <w:right w:w="108" w:type="dxa"/>
            </w:tcMar>
            <w:hideMark/>
          </w:tcPr>
          <w:p w14:paraId="04817EAD" w14:textId="77777777" w:rsidR="00282D3A" w:rsidRPr="00BD22BC" w:rsidRDefault="00282D3A" w:rsidP="00F25400">
            <w:pPr>
              <w:spacing w:line="240" w:lineRule="auto"/>
              <w:rPr>
                <w:rFonts w:ascii="Times New Roman" w:eastAsia="Times New Roman" w:hAnsi="Times New Roman"/>
                <w:sz w:val="24"/>
                <w:lang w:eastAsia="en-GB"/>
              </w:rPr>
            </w:pPr>
            <w:r w:rsidRPr="00BD22BC">
              <w:rPr>
                <w:rFonts w:ascii="Helvetica Neue" w:eastAsia="Times New Roman" w:hAnsi="Helvetica Neue"/>
                <w:color w:val="000000"/>
                <w:sz w:val="18"/>
                <w:szCs w:val="18"/>
                <w:lang w:eastAsia="en-GB"/>
              </w:rPr>
              <w:t>A calendar published on the website with scheduled dates of monetary policy meetings and policy report publication (usually for the full year ahead).</w:t>
            </w:r>
          </w:p>
          <w:p w14:paraId="76E55BC1" w14:textId="77777777" w:rsidR="00282D3A" w:rsidRPr="00BD22BC" w:rsidRDefault="00282D3A" w:rsidP="00F25400">
            <w:pPr>
              <w:spacing w:line="240" w:lineRule="auto"/>
              <w:rPr>
                <w:rFonts w:ascii="Helvetica" w:eastAsia="Times New Roman" w:hAnsi="Helvetica"/>
                <w:sz w:val="18"/>
                <w:szCs w:val="18"/>
                <w:lang w:eastAsia="en-GB"/>
              </w:rPr>
            </w:pPr>
          </w:p>
        </w:tc>
      </w:tr>
      <w:tr w:rsidR="00282D3A" w:rsidRPr="00BD22BC" w14:paraId="29441A3E" w14:textId="77777777" w:rsidTr="38638030">
        <w:trPr>
          <w:trHeight w:val="1095"/>
        </w:trPr>
        <w:tc>
          <w:tcPr>
            <w:tcW w:w="2724" w:type="dxa"/>
            <w:tcBorders>
              <w:top w:val="single" w:sz="6" w:space="0" w:color="FEFEFE"/>
              <w:left w:val="single" w:sz="6" w:space="0" w:color="FEFEFE"/>
              <w:bottom w:val="single" w:sz="6" w:space="0" w:color="FEFEFE"/>
              <w:right w:val="single" w:sz="6" w:space="0" w:color="FEFEFE"/>
            </w:tcBorders>
            <w:shd w:val="clear" w:color="auto" w:fill="BFD5EF"/>
            <w:tcMar>
              <w:top w:w="0" w:type="dxa"/>
              <w:left w:w="108" w:type="dxa"/>
              <w:bottom w:w="0" w:type="dxa"/>
              <w:right w:w="108" w:type="dxa"/>
            </w:tcMar>
            <w:hideMark/>
          </w:tcPr>
          <w:p w14:paraId="46A1D888" w14:textId="2B7956A4" w:rsidR="00282D3A" w:rsidRPr="00BD22BC" w:rsidRDefault="00282D3A" w:rsidP="38638030">
            <w:pPr>
              <w:spacing w:line="240" w:lineRule="auto"/>
              <w:rPr>
                <w:rFonts w:ascii="Times New Roman" w:eastAsia="Times New Roman" w:hAnsi="Times New Roman"/>
                <w:sz w:val="24"/>
                <w:lang w:eastAsia="en-GB"/>
              </w:rPr>
            </w:pPr>
            <w:r w:rsidRPr="38638030">
              <w:rPr>
                <w:rFonts w:ascii="Helvetica Neue" w:eastAsia="Times New Roman" w:hAnsi="Helvetica Neue"/>
                <w:color w:val="000000" w:themeColor="text1"/>
                <w:sz w:val="18"/>
                <w:szCs w:val="18"/>
                <w:lang w:eastAsia="en-GB"/>
              </w:rPr>
              <w:t xml:space="preserve">Policy </w:t>
            </w:r>
            <w:r w:rsidR="00F05E09" w:rsidRPr="38638030">
              <w:rPr>
                <w:rFonts w:ascii="Helvetica Neue" w:eastAsia="Times New Roman" w:hAnsi="Helvetica Neue"/>
                <w:color w:val="000000" w:themeColor="text1"/>
                <w:sz w:val="18"/>
                <w:szCs w:val="18"/>
                <w:lang w:eastAsia="en-GB"/>
              </w:rPr>
              <w:t>press release</w:t>
            </w:r>
          </w:p>
        </w:tc>
        <w:tc>
          <w:tcPr>
            <w:tcW w:w="4539" w:type="dxa"/>
            <w:tcBorders>
              <w:top w:val="single" w:sz="6" w:space="0" w:color="FEFEFE"/>
              <w:left w:val="single" w:sz="6" w:space="0" w:color="FEFEFE"/>
              <w:bottom w:val="single" w:sz="6" w:space="0" w:color="FEFEFE"/>
              <w:right w:val="single" w:sz="6" w:space="0" w:color="FEFEFE"/>
            </w:tcBorders>
            <w:shd w:val="clear" w:color="auto" w:fill="BFD5EF"/>
            <w:tcMar>
              <w:top w:w="0" w:type="dxa"/>
              <w:left w:w="108" w:type="dxa"/>
              <w:bottom w:w="0" w:type="dxa"/>
              <w:right w:w="108" w:type="dxa"/>
            </w:tcMar>
            <w:hideMark/>
          </w:tcPr>
          <w:p w14:paraId="49FCC680" w14:textId="77777777" w:rsidR="00282D3A" w:rsidRPr="00BD22BC" w:rsidRDefault="00282D3A" w:rsidP="00F25400">
            <w:pPr>
              <w:spacing w:line="240" w:lineRule="auto"/>
              <w:rPr>
                <w:rFonts w:ascii="Times New Roman" w:eastAsia="Times New Roman" w:hAnsi="Times New Roman"/>
                <w:sz w:val="24"/>
                <w:lang w:eastAsia="en-GB"/>
              </w:rPr>
            </w:pPr>
            <w:r w:rsidRPr="00BD22BC">
              <w:rPr>
                <w:rFonts w:ascii="Helvetica Neue" w:eastAsia="Times New Roman" w:hAnsi="Helvetica Neue"/>
                <w:color w:val="000000"/>
                <w:sz w:val="18"/>
                <w:szCs w:val="18"/>
                <w:lang w:eastAsia="en-GB"/>
              </w:rPr>
              <w:t>Communicating the key high-level messages merging from a regular, quarterly assessment of the economic outlook and the monetary policy stance.</w:t>
            </w:r>
          </w:p>
        </w:tc>
        <w:tc>
          <w:tcPr>
            <w:tcW w:w="4599" w:type="dxa"/>
            <w:tcBorders>
              <w:top w:val="single" w:sz="6" w:space="0" w:color="FEFEFE"/>
              <w:left w:val="single" w:sz="6" w:space="0" w:color="FEFEFE"/>
              <w:bottom w:val="single" w:sz="6" w:space="0" w:color="FEFEFE"/>
              <w:right w:val="single" w:sz="6" w:space="0" w:color="FEFEFE"/>
            </w:tcBorders>
            <w:shd w:val="clear" w:color="auto" w:fill="BFD5EF"/>
            <w:tcMar>
              <w:top w:w="0" w:type="dxa"/>
              <w:left w:w="108" w:type="dxa"/>
              <w:bottom w:w="0" w:type="dxa"/>
              <w:right w:w="108" w:type="dxa"/>
            </w:tcMar>
            <w:hideMark/>
          </w:tcPr>
          <w:p w14:paraId="01580853" w14:textId="77777777" w:rsidR="00282D3A" w:rsidRPr="00BD22BC" w:rsidRDefault="00282D3A" w:rsidP="00F25400">
            <w:pPr>
              <w:spacing w:line="240" w:lineRule="auto"/>
              <w:rPr>
                <w:rFonts w:ascii="Times New Roman" w:eastAsia="Times New Roman" w:hAnsi="Times New Roman"/>
                <w:sz w:val="24"/>
                <w:lang w:eastAsia="en-GB"/>
              </w:rPr>
            </w:pPr>
            <w:r w:rsidRPr="00BD22BC">
              <w:rPr>
                <w:rFonts w:ascii="Helvetica Neue" w:eastAsia="Times New Roman" w:hAnsi="Helvetica Neue"/>
                <w:color w:val="000000"/>
                <w:sz w:val="18"/>
                <w:szCs w:val="18"/>
                <w:lang w:eastAsia="en-GB"/>
              </w:rPr>
              <w:t>Issued with the same frequency as the number of policy meetings.</w:t>
            </w:r>
          </w:p>
        </w:tc>
      </w:tr>
      <w:tr w:rsidR="00282D3A" w:rsidRPr="00BD22BC" w14:paraId="39EC1F59" w14:textId="77777777" w:rsidTr="38638030">
        <w:trPr>
          <w:trHeight w:val="1095"/>
        </w:trPr>
        <w:tc>
          <w:tcPr>
            <w:tcW w:w="2724" w:type="dxa"/>
            <w:tcBorders>
              <w:top w:val="single" w:sz="6" w:space="0" w:color="FEFEFE"/>
              <w:left w:val="single" w:sz="6" w:space="0" w:color="FEFEFE"/>
              <w:bottom w:val="single" w:sz="6" w:space="0" w:color="FEFEFE"/>
              <w:right w:val="single" w:sz="6" w:space="0" w:color="FEFEFE"/>
            </w:tcBorders>
            <w:shd w:val="clear" w:color="auto" w:fill="E1EBF7"/>
            <w:tcMar>
              <w:top w:w="0" w:type="dxa"/>
              <w:left w:w="108" w:type="dxa"/>
              <w:bottom w:w="0" w:type="dxa"/>
              <w:right w:w="108" w:type="dxa"/>
            </w:tcMar>
            <w:hideMark/>
          </w:tcPr>
          <w:p w14:paraId="34AF77F2" w14:textId="37487A02" w:rsidR="00282D3A" w:rsidRPr="00BD22BC" w:rsidRDefault="00282D3A" w:rsidP="00F25400">
            <w:pPr>
              <w:spacing w:line="240" w:lineRule="auto"/>
              <w:rPr>
                <w:rFonts w:ascii="Times New Roman" w:eastAsia="Times New Roman" w:hAnsi="Times New Roman"/>
                <w:sz w:val="24"/>
                <w:lang w:eastAsia="en-GB"/>
              </w:rPr>
            </w:pPr>
            <w:r w:rsidRPr="00BD22BC">
              <w:rPr>
                <w:rFonts w:ascii="Helvetica Neue" w:eastAsia="Times New Roman" w:hAnsi="Helvetica Neue"/>
                <w:color w:val="000000"/>
                <w:sz w:val="18"/>
                <w:szCs w:val="18"/>
                <w:lang w:eastAsia="en-GB"/>
              </w:rPr>
              <w:t xml:space="preserve">Press </w:t>
            </w:r>
            <w:r w:rsidR="00F05E09" w:rsidRPr="00BD22BC">
              <w:rPr>
                <w:rFonts w:ascii="Helvetica Neue" w:eastAsia="Times New Roman" w:hAnsi="Helvetica Neue"/>
                <w:color w:val="000000"/>
                <w:sz w:val="18"/>
                <w:szCs w:val="18"/>
                <w:lang w:eastAsia="en-GB"/>
              </w:rPr>
              <w:t>conference</w:t>
            </w:r>
          </w:p>
        </w:tc>
        <w:tc>
          <w:tcPr>
            <w:tcW w:w="4539" w:type="dxa"/>
            <w:tcBorders>
              <w:top w:val="single" w:sz="6" w:space="0" w:color="FEFEFE"/>
              <w:left w:val="single" w:sz="6" w:space="0" w:color="FEFEFE"/>
              <w:bottom w:val="single" w:sz="6" w:space="0" w:color="FEFEFE"/>
              <w:right w:val="single" w:sz="6" w:space="0" w:color="FEFEFE"/>
            </w:tcBorders>
            <w:shd w:val="clear" w:color="auto" w:fill="E1EBF7"/>
            <w:tcMar>
              <w:top w:w="0" w:type="dxa"/>
              <w:left w:w="108" w:type="dxa"/>
              <w:bottom w:w="0" w:type="dxa"/>
              <w:right w:w="108" w:type="dxa"/>
            </w:tcMar>
            <w:hideMark/>
          </w:tcPr>
          <w:p w14:paraId="4A993F77" w14:textId="13E57AED" w:rsidR="00282D3A" w:rsidRPr="00BD22BC" w:rsidRDefault="00282D3A" w:rsidP="00F25400">
            <w:pPr>
              <w:spacing w:line="240" w:lineRule="auto"/>
              <w:rPr>
                <w:rFonts w:ascii="Times New Roman" w:eastAsia="Times New Roman" w:hAnsi="Times New Roman"/>
                <w:sz w:val="24"/>
                <w:lang w:eastAsia="en-GB"/>
              </w:rPr>
            </w:pPr>
            <w:r w:rsidRPr="00BD22BC">
              <w:rPr>
                <w:rFonts w:ascii="Helvetica Neue" w:eastAsia="Times New Roman" w:hAnsi="Helvetica Neue"/>
                <w:color w:val="000000"/>
                <w:sz w:val="18"/>
                <w:szCs w:val="18"/>
                <w:lang w:eastAsia="en-GB"/>
              </w:rPr>
              <w:t xml:space="preserve">Openly explaining to the wider public, in plain language, the way the </w:t>
            </w:r>
            <w:r w:rsidR="005677C9" w:rsidRPr="00BD22BC">
              <w:rPr>
                <w:rFonts w:ascii="Helvetica Neue" w:eastAsia="Times New Roman" w:hAnsi="Helvetica Neue"/>
                <w:color w:val="000000"/>
                <w:sz w:val="18"/>
                <w:szCs w:val="18"/>
                <w:lang w:eastAsia="en-GB"/>
              </w:rPr>
              <w:t>central bank</w:t>
            </w:r>
            <w:r w:rsidRPr="00BD22BC">
              <w:rPr>
                <w:rFonts w:ascii="Helvetica Neue" w:eastAsia="Times New Roman" w:hAnsi="Helvetica Neue"/>
                <w:color w:val="000000"/>
                <w:sz w:val="18"/>
                <w:szCs w:val="18"/>
                <w:lang w:eastAsia="en-GB"/>
              </w:rPr>
              <w:t xml:space="preserve"> sets monetary policy based on the assessment of the economic outlook and surrounding risks and uncertainties.</w:t>
            </w:r>
          </w:p>
        </w:tc>
        <w:tc>
          <w:tcPr>
            <w:tcW w:w="4599" w:type="dxa"/>
            <w:tcBorders>
              <w:top w:val="single" w:sz="6" w:space="0" w:color="FEFEFE"/>
              <w:left w:val="single" w:sz="6" w:space="0" w:color="FEFEFE"/>
              <w:bottom w:val="single" w:sz="6" w:space="0" w:color="FEFEFE"/>
              <w:right w:val="single" w:sz="6" w:space="0" w:color="FEFEFE"/>
            </w:tcBorders>
            <w:shd w:val="clear" w:color="auto" w:fill="E1EBF7"/>
            <w:tcMar>
              <w:top w:w="0" w:type="dxa"/>
              <w:left w:w="108" w:type="dxa"/>
              <w:bottom w:w="0" w:type="dxa"/>
              <w:right w:w="108" w:type="dxa"/>
            </w:tcMar>
            <w:hideMark/>
          </w:tcPr>
          <w:p w14:paraId="7424916E" w14:textId="33F7B9C4" w:rsidR="00282D3A" w:rsidRPr="00BD22BC" w:rsidRDefault="00282D3A" w:rsidP="38638030">
            <w:pPr>
              <w:spacing w:line="240" w:lineRule="auto"/>
              <w:rPr>
                <w:rFonts w:ascii="Times New Roman" w:eastAsia="Times New Roman" w:hAnsi="Times New Roman"/>
                <w:sz w:val="24"/>
                <w:lang w:eastAsia="en-GB"/>
              </w:rPr>
            </w:pPr>
            <w:r w:rsidRPr="38638030">
              <w:rPr>
                <w:rFonts w:ascii="Helvetica Neue" w:eastAsia="Times New Roman" w:hAnsi="Helvetica Neue"/>
                <w:color w:val="000000" w:themeColor="text1"/>
                <w:sz w:val="18"/>
                <w:szCs w:val="18"/>
                <w:lang w:eastAsia="en-GB"/>
              </w:rPr>
              <w:t xml:space="preserve">Governor or Chairman </w:t>
            </w:r>
            <w:r w:rsidR="3A01E7BF" w:rsidRPr="38638030">
              <w:rPr>
                <w:rFonts w:ascii="Helvetica Neue" w:eastAsia="Times New Roman" w:hAnsi="Helvetica Neue"/>
                <w:color w:val="000000" w:themeColor="text1"/>
                <w:sz w:val="18"/>
                <w:szCs w:val="18"/>
                <w:lang w:eastAsia="en-GB"/>
              </w:rPr>
              <w:t xml:space="preserve">of the Board </w:t>
            </w:r>
            <w:r w:rsidRPr="38638030">
              <w:rPr>
                <w:rFonts w:ascii="Helvetica Neue" w:eastAsia="Times New Roman" w:hAnsi="Helvetica Neue"/>
                <w:color w:val="000000" w:themeColor="text1"/>
                <w:sz w:val="18"/>
                <w:szCs w:val="18"/>
                <w:lang w:eastAsia="en-GB"/>
              </w:rPr>
              <w:t>presents the policy decision and provides an overview of the economic developments outlook at a live-streamed event, ideally held on the day of the publication of the Policy Press Release. </w:t>
            </w:r>
          </w:p>
        </w:tc>
      </w:tr>
      <w:tr w:rsidR="00282D3A" w:rsidRPr="00BD22BC" w14:paraId="34A39AA6" w14:textId="77777777" w:rsidTr="38638030">
        <w:trPr>
          <w:trHeight w:val="1095"/>
        </w:trPr>
        <w:tc>
          <w:tcPr>
            <w:tcW w:w="2724" w:type="dxa"/>
            <w:tcBorders>
              <w:top w:val="single" w:sz="6" w:space="0" w:color="FEFEFE"/>
              <w:left w:val="single" w:sz="6" w:space="0" w:color="FEFEFE"/>
              <w:bottom w:val="single" w:sz="6" w:space="0" w:color="FEFEFE"/>
              <w:right w:val="single" w:sz="6" w:space="0" w:color="FEFEFE"/>
            </w:tcBorders>
            <w:shd w:val="clear" w:color="auto" w:fill="BFD5EF"/>
            <w:tcMar>
              <w:top w:w="0" w:type="dxa"/>
              <w:left w:w="108" w:type="dxa"/>
              <w:bottom w:w="0" w:type="dxa"/>
              <w:right w:w="108" w:type="dxa"/>
            </w:tcMar>
            <w:hideMark/>
          </w:tcPr>
          <w:p w14:paraId="327B72DF" w14:textId="53BF53CC" w:rsidR="00282D3A" w:rsidRPr="00BD22BC" w:rsidRDefault="00282D3A" w:rsidP="38638030">
            <w:pPr>
              <w:spacing w:line="240" w:lineRule="auto"/>
              <w:rPr>
                <w:rFonts w:ascii="Times New Roman" w:eastAsia="Times New Roman" w:hAnsi="Times New Roman"/>
                <w:sz w:val="24"/>
                <w:lang w:eastAsia="en-GB"/>
              </w:rPr>
            </w:pPr>
            <w:r w:rsidRPr="38638030">
              <w:rPr>
                <w:rFonts w:ascii="Helvetica Neue" w:eastAsia="Times New Roman" w:hAnsi="Helvetica Neue"/>
                <w:color w:val="000000" w:themeColor="text1"/>
                <w:sz w:val="18"/>
                <w:szCs w:val="18"/>
                <w:lang w:eastAsia="en-GB"/>
              </w:rPr>
              <w:t xml:space="preserve">Analytical </w:t>
            </w:r>
            <w:r w:rsidR="00F05E09" w:rsidRPr="38638030">
              <w:rPr>
                <w:rFonts w:ascii="Helvetica Neue" w:eastAsia="Times New Roman" w:hAnsi="Helvetica Neue"/>
                <w:color w:val="000000" w:themeColor="text1"/>
                <w:sz w:val="18"/>
                <w:szCs w:val="18"/>
                <w:lang w:eastAsia="en-GB"/>
              </w:rPr>
              <w:t xml:space="preserve">report </w:t>
            </w:r>
            <w:r w:rsidRPr="38638030">
              <w:rPr>
                <w:rFonts w:ascii="Helvetica Neue" w:eastAsia="Times New Roman" w:hAnsi="Helvetica Neue"/>
                <w:color w:val="000000" w:themeColor="text1"/>
                <w:sz w:val="18"/>
                <w:szCs w:val="18"/>
                <w:lang w:eastAsia="en-GB"/>
              </w:rPr>
              <w:t>(</w:t>
            </w:r>
            <w:r w:rsidR="00F05E09" w:rsidRPr="38638030">
              <w:rPr>
                <w:rFonts w:ascii="Helvetica Neue" w:eastAsia="Times New Roman" w:hAnsi="Helvetica Neue"/>
                <w:color w:val="000000" w:themeColor="text1"/>
                <w:sz w:val="18"/>
                <w:szCs w:val="18"/>
                <w:lang w:eastAsia="en-GB"/>
              </w:rPr>
              <w:t>monetary policy or inflation reports</w:t>
            </w:r>
            <w:r w:rsidRPr="38638030">
              <w:rPr>
                <w:rFonts w:ascii="Helvetica Neue" w:eastAsia="Times New Roman" w:hAnsi="Helvetica Neue"/>
                <w:color w:val="000000" w:themeColor="text1"/>
                <w:sz w:val="18"/>
                <w:szCs w:val="18"/>
                <w:lang w:eastAsia="en-GB"/>
              </w:rPr>
              <w:t>)</w:t>
            </w:r>
          </w:p>
        </w:tc>
        <w:tc>
          <w:tcPr>
            <w:tcW w:w="4539" w:type="dxa"/>
            <w:tcBorders>
              <w:top w:val="single" w:sz="6" w:space="0" w:color="FEFEFE"/>
              <w:left w:val="single" w:sz="6" w:space="0" w:color="FEFEFE"/>
              <w:bottom w:val="single" w:sz="6" w:space="0" w:color="FEFEFE"/>
              <w:right w:val="single" w:sz="6" w:space="0" w:color="FEFEFE"/>
            </w:tcBorders>
            <w:shd w:val="clear" w:color="auto" w:fill="BFD5EF"/>
            <w:tcMar>
              <w:top w:w="0" w:type="dxa"/>
              <w:left w:w="108" w:type="dxa"/>
              <w:bottom w:w="0" w:type="dxa"/>
              <w:right w:w="108" w:type="dxa"/>
            </w:tcMar>
            <w:hideMark/>
          </w:tcPr>
          <w:p w14:paraId="44F2B12C" w14:textId="302E41D9" w:rsidR="00282D3A" w:rsidRPr="00BD22BC" w:rsidRDefault="00282D3A" w:rsidP="38638030">
            <w:pPr>
              <w:spacing w:line="240" w:lineRule="auto"/>
              <w:rPr>
                <w:rFonts w:ascii="Times New Roman" w:eastAsia="Times New Roman" w:hAnsi="Times New Roman"/>
                <w:sz w:val="24"/>
                <w:lang w:eastAsia="en-GB"/>
              </w:rPr>
            </w:pPr>
            <w:r w:rsidRPr="38638030">
              <w:rPr>
                <w:rFonts w:ascii="Helvetica Neue" w:eastAsia="Times New Roman" w:hAnsi="Helvetica Neue"/>
                <w:color w:val="000000" w:themeColor="text1"/>
                <w:sz w:val="18"/>
                <w:szCs w:val="18"/>
                <w:lang w:eastAsia="en-GB"/>
              </w:rPr>
              <w:t xml:space="preserve">Telling a consistent story behind macroeconomic forecasts and explaining how current and future policy decisions and actions </w:t>
            </w:r>
            <w:r w:rsidR="00F05E09" w:rsidRPr="38638030">
              <w:rPr>
                <w:rFonts w:ascii="Sylfaen" w:eastAsia="Times New Roman" w:hAnsi="Sylfaen"/>
                <w:color w:val="000000" w:themeColor="text1"/>
                <w:sz w:val="18"/>
                <w:szCs w:val="18"/>
                <w:lang w:eastAsia="en-GB"/>
              </w:rPr>
              <w:t>—</w:t>
            </w:r>
            <w:r w:rsidRPr="38638030">
              <w:rPr>
                <w:rFonts w:ascii="Helvetica Neue" w:eastAsia="Times New Roman" w:hAnsi="Helvetica Neue"/>
                <w:color w:val="000000" w:themeColor="text1"/>
                <w:sz w:val="18"/>
                <w:szCs w:val="18"/>
                <w:lang w:eastAsia="en-GB"/>
              </w:rPr>
              <w:t>and the main factors influencing them</w:t>
            </w:r>
            <w:r w:rsidR="00F05E09" w:rsidRPr="38638030">
              <w:rPr>
                <w:rFonts w:ascii="Sylfaen" w:eastAsia="Times New Roman" w:hAnsi="Sylfaen"/>
                <w:color w:val="000000" w:themeColor="text1"/>
                <w:sz w:val="18"/>
                <w:szCs w:val="18"/>
                <w:lang w:eastAsia="en-GB"/>
              </w:rPr>
              <w:t>—</w:t>
            </w:r>
            <w:r w:rsidRPr="38638030">
              <w:rPr>
                <w:rFonts w:ascii="Helvetica Neue" w:eastAsia="Times New Roman" w:hAnsi="Helvetica Neue"/>
                <w:color w:val="000000" w:themeColor="text1"/>
                <w:sz w:val="18"/>
                <w:szCs w:val="18"/>
                <w:lang w:eastAsia="en-GB"/>
              </w:rPr>
              <w:t>aim to stabilize the economy and safeguard the exchange rate stability.</w:t>
            </w:r>
          </w:p>
        </w:tc>
        <w:tc>
          <w:tcPr>
            <w:tcW w:w="4599" w:type="dxa"/>
            <w:tcBorders>
              <w:top w:val="single" w:sz="6" w:space="0" w:color="FEFEFE"/>
              <w:left w:val="single" w:sz="6" w:space="0" w:color="FEFEFE"/>
              <w:bottom w:val="single" w:sz="6" w:space="0" w:color="FEFEFE"/>
              <w:right w:val="single" w:sz="6" w:space="0" w:color="FEFEFE"/>
            </w:tcBorders>
            <w:shd w:val="clear" w:color="auto" w:fill="BFD5EF"/>
            <w:tcMar>
              <w:top w:w="0" w:type="dxa"/>
              <w:left w:w="108" w:type="dxa"/>
              <w:bottom w:w="0" w:type="dxa"/>
              <w:right w:w="108" w:type="dxa"/>
            </w:tcMar>
            <w:hideMark/>
          </w:tcPr>
          <w:p w14:paraId="2D83CEDC" w14:textId="0ED5F79F" w:rsidR="00282D3A" w:rsidRPr="00BD22BC" w:rsidRDefault="00282D3A" w:rsidP="38638030">
            <w:pPr>
              <w:spacing w:line="240" w:lineRule="auto"/>
              <w:rPr>
                <w:rFonts w:ascii="Times New Roman" w:eastAsia="Times New Roman" w:hAnsi="Times New Roman"/>
                <w:sz w:val="24"/>
                <w:lang w:eastAsia="en-GB"/>
              </w:rPr>
            </w:pPr>
            <w:r w:rsidRPr="38638030">
              <w:rPr>
                <w:rFonts w:ascii="Helvetica Neue" w:eastAsia="Times New Roman" w:hAnsi="Helvetica Neue"/>
                <w:color w:val="000000" w:themeColor="text1"/>
                <w:sz w:val="18"/>
                <w:szCs w:val="18"/>
                <w:lang w:eastAsia="en-GB"/>
              </w:rPr>
              <w:t xml:space="preserve">Published quarterly, matching the frequency of </w:t>
            </w:r>
            <w:r w:rsidR="00641B2B" w:rsidRPr="38638030">
              <w:rPr>
                <w:rFonts w:ascii="Helvetica Neue" w:eastAsia="Times New Roman" w:hAnsi="Helvetica Neue"/>
                <w:color w:val="000000" w:themeColor="text1"/>
                <w:sz w:val="18"/>
                <w:szCs w:val="18"/>
                <w:lang w:eastAsia="en-GB"/>
              </w:rPr>
              <w:t>full-fledged</w:t>
            </w:r>
            <w:r w:rsidRPr="38638030">
              <w:rPr>
                <w:rFonts w:ascii="Helvetica Neue" w:eastAsia="Times New Roman" w:hAnsi="Helvetica Neue"/>
                <w:color w:val="000000" w:themeColor="text1"/>
                <w:sz w:val="18"/>
                <w:szCs w:val="18"/>
                <w:lang w:eastAsia="en-GB"/>
              </w:rPr>
              <w:t xml:space="preserve"> macroeconomic forecast updates. </w:t>
            </w:r>
            <w:r w:rsidR="2B53BF42" w:rsidRPr="38638030">
              <w:rPr>
                <w:rFonts w:ascii="Helvetica Neue" w:eastAsia="Times New Roman" w:hAnsi="Helvetica Neue"/>
                <w:color w:val="000000" w:themeColor="text1"/>
                <w:sz w:val="18"/>
                <w:szCs w:val="18"/>
                <w:lang w:eastAsia="en-GB"/>
              </w:rPr>
              <w:t>The</w:t>
            </w:r>
            <w:r w:rsidRPr="38638030">
              <w:rPr>
                <w:rFonts w:ascii="Helvetica Neue" w:eastAsia="Times New Roman" w:hAnsi="Helvetica Neue"/>
                <w:color w:val="000000" w:themeColor="text1"/>
                <w:sz w:val="18"/>
                <w:szCs w:val="18"/>
                <w:lang w:eastAsia="en-GB"/>
              </w:rPr>
              <w:t xml:space="preserve"> aim is to make the report as</w:t>
            </w:r>
            <w:r w:rsidR="01162425" w:rsidRPr="38638030">
              <w:rPr>
                <w:rFonts w:ascii="Helvetica Neue" w:eastAsia="Times New Roman" w:hAnsi="Helvetica Neue"/>
                <w:color w:val="000000" w:themeColor="text1"/>
                <w:sz w:val="18"/>
                <w:szCs w:val="18"/>
                <w:lang w:eastAsia="en-GB"/>
              </w:rPr>
              <w:t xml:space="preserve"> </w:t>
            </w:r>
            <w:r w:rsidR="0065501E" w:rsidRPr="38638030">
              <w:rPr>
                <w:rFonts w:ascii="Helvetica Neue" w:eastAsia="Times New Roman" w:hAnsi="Helvetica Neue"/>
                <w:color w:val="000000" w:themeColor="text1"/>
                <w:sz w:val="18"/>
                <w:szCs w:val="18"/>
                <w:lang w:eastAsia="en-GB"/>
              </w:rPr>
              <w:t>forward-looking</w:t>
            </w:r>
            <w:r w:rsidRPr="38638030">
              <w:rPr>
                <w:rFonts w:ascii="Helvetica Neue" w:eastAsia="Times New Roman" w:hAnsi="Helvetica Neue"/>
                <w:color w:val="000000" w:themeColor="text1"/>
                <w:sz w:val="18"/>
                <w:szCs w:val="18"/>
                <w:lang w:eastAsia="en-GB"/>
              </w:rPr>
              <w:t xml:space="preserve"> and </w:t>
            </w:r>
            <w:r w:rsidR="00641B2B" w:rsidRPr="38638030">
              <w:rPr>
                <w:rFonts w:ascii="Helvetica Neue" w:eastAsia="Times New Roman" w:hAnsi="Helvetica Neue"/>
                <w:color w:val="000000" w:themeColor="text1"/>
                <w:sz w:val="18"/>
                <w:szCs w:val="18"/>
                <w:lang w:eastAsia="en-GB"/>
              </w:rPr>
              <w:t>policy</w:t>
            </w:r>
            <w:r w:rsidR="58CAE539" w:rsidRPr="38638030">
              <w:rPr>
                <w:rFonts w:ascii="Helvetica Neue" w:eastAsia="Times New Roman" w:hAnsi="Helvetica Neue"/>
                <w:color w:val="000000" w:themeColor="text1"/>
                <w:sz w:val="18"/>
                <w:szCs w:val="18"/>
                <w:lang w:eastAsia="en-GB"/>
              </w:rPr>
              <w:t>-</w:t>
            </w:r>
            <w:r w:rsidR="00641B2B" w:rsidRPr="38638030">
              <w:rPr>
                <w:rFonts w:ascii="Helvetica Neue" w:eastAsia="Times New Roman" w:hAnsi="Helvetica Neue"/>
                <w:color w:val="000000" w:themeColor="text1"/>
                <w:sz w:val="18"/>
                <w:szCs w:val="18"/>
                <w:lang w:eastAsia="en-GB"/>
              </w:rPr>
              <w:t>oriented</w:t>
            </w:r>
            <w:r w:rsidRPr="38638030">
              <w:rPr>
                <w:rFonts w:ascii="Helvetica Neue" w:eastAsia="Times New Roman" w:hAnsi="Helvetica Neue"/>
                <w:color w:val="000000" w:themeColor="text1"/>
                <w:sz w:val="18"/>
                <w:szCs w:val="18"/>
                <w:lang w:eastAsia="en-GB"/>
              </w:rPr>
              <w:t xml:space="preserve"> as possible.</w:t>
            </w:r>
          </w:p>
        </w:tc>
      </w:tr>
      <w:tr w:rsidR="00282D3A" w:rsidRPr="00BD22BC" w14:paraId="0C5C8054" w14:textId="77777777" w:rsidTr="38638030">
        <w:trPr>
          <w:trHeight w:val="870"/>
        </w:trPr>
        <w:tc>
          <w:tcPr>
            <w:tcW w:w="2724" w:type="dxa"/>
            <w:tcBorders>
              <w:top w:val="single" w:sz="6" w:space="0" w:color="FEFEFE"/>
              <w:left w:val="single" w:sz="6" w:space="0" w:color="FEFEFE"/>
              <w:bottom w:val="single" w:sz="6" w:space="0" w:color="FEFEFE"/>
              <w:right w:val="single" w:sz="6" w:space="0" w:color="FEFEFE"/>
            </w:tcBorders>
            <w:shd w:val="clear" w:color="auto" w:fill="E1EBF7"/>
            <w:tcMar>
              <w:top w:w="0" w:type="dxa"/>
              <w:left w:w="108" w:type="dxa"/>
              <w:bottom w:w="0" w:type="dxa"/>
              <w:right w:w="108" w:type="dxa"/>
            </w:tcMar>
            <w:hideMark/>
          </w:tcPr>
          <w:p w14:paraId="0370AC26" w14:textId="1F0D66C8" w:rsidR="00282D3A" w:rsidRPr="00BD22BC" w:rsidRDefault="00282D3A" w:rsidP="00F25400">
            <w:pPr>
              <w:spacing w:line="240" w:lineRule="auto"/>
              <w:rPr>
                <w:rFonts w:ascii="Times New Roman" w:eastAsia="Times New Roman" w:hAnsi="Times New Roman"/>
                <w:sz w:val="24"/>
                <w:lang w:eastAsia="en-GB"/>
              </w:rPr>
            </w:pPr>
            <w:r w:rsidRPr="00BD22BC">
              <w:rPr>
                <w:rFonts w:ascii="Helvetica Neue" w:eastAsia="Times New Roman" w:hAnsi="Helvetica Neue"/>
                <w:color w:val="000000"/>
                <w:sz w:val="18"/>
                <w:szCs w:val="18"/>
                <w:lang w:eastAsia="en-GB"/>
              </w:rPr>
              <w:t xml:space="preserve">Press </w:t>
            </w:r>
            <w:r w:rsidR="00F05E09" w:rsidRPr="00BD22BC">
              <w:rPr>
                <w:rFonts w:ascii="Helvetica Neue" w:eastAsia="Times New Roman" w:hAnsi="Helvetica Neue"/>
                <w:color w:val="000000"/>
                <w:sz w:val="18"/>
                <w:szCs w:val="18"/>
                <w:lang w:eastAsia="en-GB"/>
              </w:rPr>
              <w:t>release on analytical (monetary policy) report</w:t>
            </w:r>
          </w:p>
        </w:tc>
        <w:tc>
          <w:tcPr>
            <w:tcW w:w="4539" w:type="dxa"/>
            <w:tcBorders>
              <w:top w:val="single" w:sz="6" w:space="0" w:color="FEFEFE"/>
              <w:left w:val="single" w:sz="6" w:space="0" w:color="FEFEFE"/>
              <w:bottom w:val="single" w:sz="6" w:space="0" w:color="FEFEFE"/>
              <w:right w:val="single" w:sz="6" w:space="0" w:color="FEFEFE"/>
            </w:tcBorders>
            <w:shd w:val="clear" w:color="auto" w:fill="E1EBF7"/>
            <w:tcMar>
              <w:top w:w="0" w:type="dxa"/>
              <w:left w:w="108" w:type="dxa"/>
              <w:bottom w:w="0" w:type="dxa"/>
              <w:right w:w="108" w:type="dxa"/>
            </w:tcMar>
            <w:hideMark/>
          </w:tcPr>
          <w:p w14:paraId="1488D91E" w14:textId="77777777" w:rsidR="00282D3A" w:rsidRPr="00BD22BC" w:rsidRDefault="00282D3A" w:rsidP="00F25400">
            <w:pPr>
              <w:spacing w:line="240" w:lineRule="auto"/>
              <w:rPr>
                <w:rFonts w:ascii="Times New Roman" w:eastAsia="Times New Roman" w:hAnsi="Times New Roman"/>
                <w:sz w:val="24"/>
                <w:lang w:eastAsia="en-GB"/>
              </w:rPr>
            </w:pPr>
            <w:r w:rsidRPr="00BD22BC">
              <w:rPr>
                <w:rFonts w:ascii="Helvetica Neue" w:eastAsia="Times New Roman" w:hAnsi="Helvetica Neue"/>
                <w:color w:val="000000"/>
                <w:sz w:val="18"/>
                <w:szCs w:val="18"/>
                <w:lang w:eastAsia="en-GB"/>
              </w:rPr>
              <w:t>Highlight the key forecast and other (public finance and investment) messages, in line with the “layering" approach to communications.</w:t>
            </w:r>
          </w:p>
        </w:tc>
        <w:tc>
          <w:tcPr>
            <w:tcW w:w="4599" w:type="dxa"/>
            <w:tcBorders>
              <w:top w:val="single" w:sz="6" w:space="0" w:color="FEFEFE"/>
              <w:left w:val="single" w:sz="6" w:space="0" w:color="FEFEFE"/>
              <w:bottom w:val="single" w:sz="6" w:space="0" w:color="FEFEFE"/>
              <w:right w:val="single" w:sz="6" w:space="0" w:color="FEFEFE"/>
            </w:tcBorders>
            <w:shd w:val="clear" w:color="auto" w:fill="E1EBF7"/>
            <w:tcMar>
              <w:top w:w="0" w:type="dxa"/>
              <w:left w:w="108" w:type="dxa"/>
              <w:bottom w:w="0" w:type="dxa"/>
              <w:right w:w="108" w:type="dxa"/>
            </w:tcMar>
            <w:hideMark/>
          </w:tcPr>
          <w:p w14:paraId="60FE06EC" w14:textId="3601CD7D" w:rsidR="00282D3A" w:rsidRPr="00BD22BC" w:rsidRDefault="00282D3A" w:rsidP="38638030">
            <w:pPr>
              <w:spacing w:line="240" w:lineRule="auto"/>
              <w:rPr>
                <w:rFonts w:ascii="Times New Roman" w:eastAsia="Times New Roman" w:hAnsi="Times New Roman"/>
                <w:sz w:val="24"/>
                <w:lang w:eastAsia="en-GB"/>
              </w:rPr>
            </w:pPr>
            <w:r w:rsidRPr="38638030">
              <w:rPr>
                <w:rFonts w:ascii="Helvetica Neue" w:eastAsia="Times New Roman" w:hAnsi="Helvetica Neue"/>
                <w:color w:val="000000" w:themeColor="text1"/>
                <w:sz w:val="18"/>
                <w:szCs w:val="18"/>
                <w:lang w:eastAsia="en-GB"/>
              </w:rPr>
              <w:t xml:space="preserve">Issued on the day of the </w:t>
            </w:r>
            <w:r w:rsidR="00F05E09" w:rsidRPr="38638030">
              <w:rPr>
                <w:rFonts w:ascii="Helvetica Neue" w:eastAsia="Times New Roman" w:hAnsi="Helvetica Neue"/>
                <w:color w:val="000000" w:themeColor="text1"/>
                <w:sz w:val="18"/>
                <w:szCs w:val="18"/>
                <w:lang w:eastAsia="en-GB"/>
              </w:rPr>
              <w:t>m</w:t>
            </w:r>
            <w:r w:rsidR="3F48CA61" w:rsidRPr="38638030">
              <w:rPr>
                <w:rFonts w:ascii="Helvetica Neue" w:eastAsia="Times New Roman" w:hAnsi="Helvetica Neue"/>
                <w:color w:val="000000" w:themeColor="text1"/>
                <w:sz w:val="18"/>
                <w:szCs w:val="18"/>
                <w:lang w:eastAsia="en-GB"/>
              </w:rPr>
              <w:t xml:space="preserve">onetary </w:t>
            </w:r>
            <w:r w:rsidR="00F05E09" w:rsidRPr="38638030">
              <w:rPr>
                <w:rFonts w:ascii="Helvetica Neue" w:eastAsia="Times New Roman" w:hAnsi="Helvetica Neue"/>
                <w:color w:val="000000" w:themeColor="text1"/>
                <w:sz w:val="18"/>
                <w:szCs w:val="18"/>
                <w:lang w:eastAsia="en-GB"/>
              </w:rPr>
              <w:t>p</w:t>
            </w:r>
            <w:r w:rsidR="3F48CA61" w:rsidRPr="38638030">
              <w:rPr>
                <w:rFonts w:ascii="Helvetica Neue" w:eastAsia="Times New Roman" w:hAnsi="Helvetica Neue"/>
                <w:color w:val="000000" w:themeColor="text1"/>
                <w:sz w:val="18"/>
                <w:szCs w:val="18"/>
                <w:lang w:eastAsia="en-GB"/>
              </w:rPr>
              <w:t>olicy report</w:t>
            </w:r>
            <w:r w:rsidRPr="38638030">
              <w:rPr>
                <w:rFonts w:ascii="Helvetica Neue" w:eastAsia="Times New Roman" w:hAnsi="Helvetica Neue"/>
                <w:color w:val="000000" w:themeColor="text1"/>
                <w:sz w:val="18"/>
                <w:szCs w:val="18"/>
                <w:lang w:eastAsia="en-GB"/>
              </w:rPr>
              <w:t xml:space="preserve"> publication. Focused on the narrative about the economic outlook and other key messages of the given analytical publication. </w:t>
            </w:r>
          </w:p>
        </w:tc>
      </w:tr>
      <w:tr w:rsidR="00282D3A" w:rsidRPr="00BD22BC" w14:paraId="66CDB770" w14:textId="77777777" w:rsidTr="38638030">
        <w:trPr>
          <w:trHeight w:val="660"/>
        </w:trPr>
        <w:tc>
          <w:tcPr>
            <w:tcW w:w="2724" w:type="dxa"/>
            <w:tcBorders>
              <w:top w:val="single" w:sz="6" w:space="0" w:color="FEFEFE"/>
              <w:left w:val="single" w:sz="6" w:space="0" w:color="FEFEFE"/>
              <w:bottom w:val="single" w:sz="6" w:space="0" w:color="FEFEFE"/>
              <w:right w:val="single" w:sz="6" w:space="0" w:color="FEFEFE"/>
            </w:tcBorders>
            <w:shd w:val="clear" w:color="auto" w:fill="BFD5EF"/>
            <w:tcMar>
              <w:top w:w="0" w:type="dxa"/>
              <w:left w:w="108" w:type="dxa"/>
              <w:bottom w:w="0" w:type="dxa"/>
              <w:right w:w="108" w:type="dxa"/>
            </w:tcMar>
            <w:hideMark/>
          </w:tcPr>
          <w:p w14:paraId="53B3BBE7" w14:textId="77777777" w:rsidR="00282D3A" w:rsidRPr="00BD22BC" w:rsidRDefault="00282D3A" w:rsidP="00F25400">
            <w:pPr>
              <w:spacing w:line="240" w:lineRule="auto"/>
              <w:rPr>
                <w:rFonts w:ascii="Times New Roman" w:eastAsia="Times New Roman" w:hAnsi="Times New Roman"/>
                <w:sz w:val="24"/>
                <w:lang w:eastAsia="en-GB"/>
              </w:rPr>
            </w:pPr>
            <w:r w:rsidRPr="00BD22BC">
              <w:rPr>
                <w:rFonts w:ascii="Helvetica Neue" w:eastAsia="Times New Roman" w:hAnsi="Helvetica Neue"/>
                <w:color w:val="000000"/>
                <w:sz w:val="18"/>
                <w:szCs w:val="18"/>
                <w:lang w:eastAsia="en-GB"/>
              </w:rPr>
              <w:t>Expert meeting</w:t>
            </w:r>
          </w:p>
        </w:tc>
        <w:tc>
          <w:tcPr>
            <w:tcW w:w="4539" w:type="dxa"/>
            <w:tcBorders>
              <w:top w:val="single" w:sz="6" w:space="0" w:color="FEFEFE"/>
              <w:left w:val="single" w:sz="6" w:space="0" w:color="FEFEFE"/>
              <w:bottom w:val="single" w:sz="6" w:space="0" w:color="FEFEFE"/>
              <w:right w:val="single" w:sz="6" w:space="0" w:color="FEFEFE"/>
            </w:tcBorders>
            <w:shd w:val="clear" w:color="auto" w:fill="BFD5EF"/>
            <w:tcMar>
              <w:top w:w="0" w:type="dxa"/>
              <w:left w:w="108" w:type="dxa"/>
              <w:bottom w:w="0" w:type="dxa"/>
              <w:right w:w="108" w:type="dxa"/>
            </w:tcMar>
            <w:hideMark/>
          </w:tcPr>
          <w:p w14:paraId="313C7F43" w14:textId="77777777" w:rsidR="00282D3A" w:rsidRPr="00BD22BC" w:rsidRDefault="00282D3A" w:rsidP="00F25400">
            <w:pPr>
              <w:spacing w:line="240" w:lineRule="auto"/>
              <w:rPr>
                <w:rFonts w:ascii="Times New Roman" w:eastAsia="Times New Roman" w:hAnsi="Times New Roman"/>
                <w:sz w:val="24"/>
                <w:lang w:eastAsia="en-GB"/>
              </w:rPr>
            </w:pPr>
            <w:r w:rsidRPr="00BD22BC">
              <w:rPr>
                <w:rFonts w:ascii="Helvetica Neue" w:eastAsia="Times New Roman" w:hAnsi="Helvetica Neue"/>
                <w:color w:val="000000"/>
                <w:sz w:val="18"/>
                <w:szCs w:val="18"/>
                <w:lang w:eastAsia="en-GB"/>
              </w:rPr>
              <w:t>Increasing economic and policy transparency by detailing the policy motivations and the macroeconomic projections to a diverse group of experts.</w:t>
            </w:r>
          </w:p>
        </w:tc>
        <w:tc>
          <w:tcPr>
            <w:tcW w:w="4599" w:type="dxa"/>
            <w:tcBorders>
              <w:top w:val="single" w:sz="6" w:space="0" w:color="FEFEFE"/>
              <w:left w:val="single" w:sz="6" w:space="0" w:color="FEFEFE"/>
              <w:bottom w:val="single" w:sz="6" w:space="0" w:color="FEFEFE"/>
              <w:right w:val="single" w:sz="6" w:space="0" w:color="FEFEFE"/>
            </w:tcBorders>
            <w:shd w:val="clear" w:color="auto" w:fill="BFD5EF"/>
            <w:tcMar>
              <w:top w:w="0" w:type="dxa"/>
              <w:left w:w="108" w:type="dxa"/>
              <w:bottom w:w="0" w:type="dxa"/>
              <w:right w:w="108" w:type="dxa"/>
            </w:tcMar>
            <w:hideMark/>
          </w:tcPr>
          <w:p w14:paraId="78EAE7DB" w14:textId="12529EE3" w:rsidR="00282D3A" w:rsidRPr="00BD22BC" w:rsidRDefault="00282D3A" w:rsidP="38638030">
            <w:pPr>
              <w:spacing w:line="240" w:lineRule="auto"/>
              <w:rPr>
                <w:rFonts w:ascii="Times New Roman" w:eastAsia="Times New Roman" w:hAnsi="Times New Roman"/>
                <w:sz w:val="24"/>
                <w:lang w:eastAsia="en-GB"/>
              </w:rPr>
            </w:pPr>
            <w:r w:rsidRPr="38638030">
              <w:rPr>
                <w:rFonts w:ascii="Helvetica Neue" w:eastAsia="Times New Roman" w:hAnsi="Helvetica Neue"/>
                <w:color w:val="000000" w:themeColor="text1"/>
                <w:sz w:val="18"/>
                <w:szCs w:val="18"/>
                <w:lang w:eastAsia="en-GB"/>
              </w:rPr>
              <w:t xml:space="preserve">Organized in regular intervals, ideally quarterly, in conjunction with the </w:t>
            </w:r>
            <w:r w:rsidR="00F05E09" w:rsidRPr="38638030">
              <w:rPr>
                <w:rFonts w:ascii="Helvetica Neue" w:eastAsia="Times New Roman" w:hAnsi="Helvetica Neue"/>
                <w:color w:val="000000" w:themeColor="text1"/>
                <w:sz w:val="18"/>
                <w:szCs w:val="18"/>
                <w:lang w:eastAsia="en-GB"/>
              </w:rPr>
              <w:t>m</w:t>
            </w:r>
            <w:r w:rsidRPr="38638030">
              <w:rPr>
                <w:rFonts w:ascii="Helvetica Neue" w:eastAsia="Times New Roman" w:hAnsi="Helvetica Neue"/>
                <w:color w:val="000000" w:themeColor="text1"/>
                <w:sz w:val="18"/>
                <w:szCs w:val="18"/>
                <w:lang w:eastAsia="en-GB"/>
              </w:rPr>
              <w:t xml:space="preserve">onetary </w:t>
            </w:r>
            <w:r w:rsidR="00F05E09" w:rsidRPr="38638030">
              <w:rPr>
                <w:rFonts w:ascii="Helvetica Neue" w:eastAsia="Times New Roman" w:hAnsi="Helvetica Neue"/>
                <w:color w:val="000000" w:themeColor="text1"/>
                <w:sz w:val="18"/>
                <w:szCs w:val="18"/>
                <w:lang w:eastAsia="en-GB"/>
              </w:rPr>
              <w:t>p</w:t>
            </w:r>
            <w:r w:rsidRPr="38638030">
              <w:rPr>
                <w:rFonts w:ascii="Helvetica Neue" w:eastAsia="Times New Roman" w:hAnsi="Helvetica Neue"/>
                <w:color w:val="000000" w:themeColor="text1"/>
                <w:sz w:val="18"/>
                <w:szCs w:val="18"/>
                <w:lang w:eastAsia="en-GB"/>
              </w:rPr>
              <w:t xml:space="preserve">olicy </w:t>
            </w:r>
            <w:r w:rsidR="00F05E09" w:rsidRPr="38638030">
              <w:rPr>
                <w:rFonts w:ascii="Helvetica Neue" w:eastAsia="Times New Roman" w:hAnsi="Helvetica Neue"/>
                <w:color w:val="000000" w:themeColor="text1"/>
                <w:sz w:val="18"/>
                <w:szCs w:val="18"/>
                <w:lang w:eastAsia="en-GB"/>
              </w:rPr>
              <w:t>r</w:t>
            </w:r>
            <w:r w:rsidRPr="38638030">
              <w:rPr>
                <w:rFonts w:ascii="Helvetica Neue" w:eastAsia="Times New Roman" w:hAnsi="Helvetica Neue"/>
                <w:color w:val="000000" w:themeColor="text1"/>
                <w:sz w:val="18"/>
                <w:szCs w:val="18"/>
                <w:lang w:eastAsia="en-GB"/>
              </w:rPr>
              <w:t>eport publication. </w:t>
            </w:r>
          </w:p>
        </w:tc>
      </w:tr>
    </w:tbl>
    <w:p w14:paraId="7A26518A" w14:textId="77777777" w:rsidR="00282D3A" w:rsidRPr="00BD22BC" w:rsidRDefault="00282D3A" w:rsidP="007F72A6"/>
    <w:p w14:paraId="651199A9" w14:textId="77777777" w:rsidR="005677C9" w:rsidRPr="00BD22BC" w:rsidRDefault="005677C9" w:rsidP="005677C9">
      <w:r w:rsidRPr="00BD22BC">
        <w:t>Central banks’ policy communications have evolved along with the advances in digital technology and the changing communication landscape.</w:t>
      </w:r>
    </w:p>
    <w:p w14:paraId="42938E38" w14:textId="77777777" w:rsidR="0065501E" w:rsidRPr="00BD22BC" w:rsidRDefault="0065501E" w:rsidP="005677C9"/>
    <w:p w14:paraId="3FB00C42" w14:textId="4F905085" w:rsidR="0065501E" w:rsidRPr="00BD22BC" w:rsidRDefault="0065501E" w:rsidP="005677C9">
      <w:r>
        <w:t xml:space="preserve">Although the traditional toolkit has emerged as a foundational approach, the prioritization of digital media varies depending on </w:t>
      </w:r>
      <w:r w:rsidR="009A319A">
        <w:t xml:space="preserve">(1) </w:t>
      </w:r>
      <w:r>
        <w:t>the capacity and resources of a central bank</w:t>
      </w:r>
      <w:r w:rsidR="009A319A">
        <w:t xml:space="preserve"> and (2) </w:t>
      </w:r>
      <w:r w:rsidR="00941727">
        <w:t xml:space="preserve">the public’s </w:t>
      </w:r>
      <w:r w:rsidR="009A1ED9">
        <w:t>access to digital media</w:t>
      </w:r>
      <w:r>
        <w:t>.</w:t>
      </w:r>
    </w:p>
    <w:p w14:paraId="3091F657" w14:textId="77777777" w:rsidR="005677C9" w:rsidRPr="00BD22BC" w:rsidRDefault="005677C9" w:rsidP="007F72A6"/>
    <w:p w14:paraId="3B5FB724" w14:textId="014F2C68" w:rsidR="00AB6F77" w:rsidRPr="00BD22BC" w:rsidRDefault="007F72A6" w:rsidP="00AB6F77">
      <w:r>
        <w:lastRenderedPageBreak/>
        <w:t xml:space="preserve">Let's </w:t>
      </w:r>
      <w:r w:rsidR="006A3685">
        <w:t>explore</w:t>
      </w:r>
      <w:r w:rsidR="00282D3A">
        <w:t xml:space="preserve"> the evolution of the central bank communication</w:t>
      </w:r>
      <w:r w:rsidR="005148A7">
        <w:t xml:space="preserve"> tools </w:t>
      </w:r>
      <w:r w:rsidR="00282D3A">
        <w:t xml:space="preserve">and techniques </w:t>
      </w:r>
      <w:r w:rsidR="005148A7">
        <w:t xml:space="preserve">in detail </w:t>
      </w:r>
      <w:r>
        <w:t>in this video.</w:t>
      </w:r>
    </w:p>
    <w:p w14:paraId="7B577D3C" w14:textId="77777777" w:rsidR="007F72A6" w:rsidRPr="00BD22BC" w:rsidRDefault="007F72A6" w:rsidP="00AB6F77"/>
    <w:p w14:paraId="6201A9F5" w14:textId="592F3C34" w:rsidR="00AB6F77" w:rsidRPr="001808F6" w:rsidRDefault="7CA340AB" w:rsidP="00AB6F77">
      <w:pPr>
        <w:pStyle w:val="Heading3"/>
        <w:rPr>
          <w:highlight w:val="cyan"/>
        </w:rPr>
      </w:pPr>
      <w:bookmarkStart w:id="88" w:name="_Toc518879077"/>
      <w:r w:rsidRPr="001808F6">
        <w:rPr>
          <w:highlight w:val="cyan"/>
        </w:rPr>
        <w:t>&lt;VIDEO 2.</w:t>
      </w:r>
      <w:r w:rsidR="5DC4B500" w:rsidRPr="001808F6">
        <w:rPr>
          <w:highlight w:val="cyan"/>
        </w:rPr>
        <w:t>4</w:t>
      </w:r>
      <w:r w:rsidRPr="001808F6">
        <w:rPr>
          <w:highlight w:val="cyan"/>
        </w:rPr>
        <w:t>&gt; "</w:t>
      </w:r>
      <w:bookmarkStart w:id="89" w:name="_Hlk169554525"/>
      <w:r w:rsidR="4E28154B" w:rsidRPr="001808F6">
        <w:rPr>
          <w:highlight w:val="cyan"/>
        </w:rPr>
        <w:t>Tools and techniques</w:t>
      </w:r>
      <w:r w:rsidRPr="001808F6">
        <w:rPr>
          <w:highlight w:val="cyan"/>
        </w:rPr>
        <w:t xml:space="preserve"> for policy communication</w:t>
      </w:r>
      <w:bookmarkEnd w:id="89"/>
      <w:r w:rsidRPr="001808F6">
        <w:rPr>
          <w:highlight w:val="cyan"/>
        </w:rPr>
        <w:t xml:space="preserve">” [word count: </w:t>
      </w:r>
      <w:r w:rsidR="54B09CE8" w:rsidRPr="001808F6">
        <w:rPr>
          <w:highlight w:val="cyan"/>
        </w:rPr>
        <w:t>3</w:t>
      </w:r>
      <w:r w:rsidR="001808F6" w:rsidRPr="001808F6">
        <w:rPr>
          <w:highlight w:val="cyan"/>
        </w:rPr>
        <w:t>64</w:t>
      </w:r>
      <w:r w:rsidRPr="001808F6">
        <w:rPr>
          <w:highlight w:val="cyan"/>
        </w:rPr>
        <w:t>]</w:t>
      </w:r>
      <w:bookmarkEnd w:id="88"/>
    </w:p>
    <w:p w14:paraId="44C9696B" w14:textId="77777777" w:rsidR="001808F6" w:rsidRPr="001808F6" w:rsidRDefault="001808F6" w:rsidP="001808F6">
      <w:pPr>
        <w:pStyle w:val="paragraph"/>
        <w:spacing w:before="0" w:beforeAutospacing="0" w:after="0" w:afterAutospacing="0"/>
        <w:textAlignment w:val="baseline"/>
        <w:rPr>
          <w:rFonts w:ascii="Segoe UI" w:hAnsi="Segoe UI" w:cs="Segoe UI"/>
          <w:sz w:val="18"/>
          <w:szCs w:val="18"/>
          <w:highlight w:val="cyan"/>
        </w:rPr>
      </w:pPr>
      <w:r w:rsidRPr="001808F6">
        <w:rPr>
          <w:rStyle w:val="normaltextrun"/>
          <w:rFonts w:ascii="Arial" w:hAnsi="Arial" w:cs="Arial"/>
          <w:color w:val="000000"/>
          <w:sz w:val="22"/>
          <w:szCs w:val="22"/>
          <w:highlight w:val="cyan"/>
        </w:rPr>
        <w:t>Central banks used to rely heavily on the media to convey their messages to the public, via press releases, announcements, press conferences and reports. However, digital communication advancements have enabled them to skip the middleman and directly communicate with the public. The internet and social media have become their megaphone.</w:t>
      </w:r>
      <w:r w:rsidRPr="001808F6">
        <w:rPr>
          <w:rStyle w:val="eop"/>
          <w:rFonts w:ascii="Arial" w:hAnsi="Arial" w:cs="Arial"/>
          <w:color w:val="000000"/>
          <w:sz w:val="22"/>
          <w:szCs w:val="22"/>
          <w:highlight w:val="cyan"/>
        </w:rPr>
        <w:t> </w:t>
      </w:r>
    </w:p>
    <w:p w14:paraId="7DDE187E" w14:textId="77777777" w:rsidR="001808F6" w:rsidRPr="001808F6" w:rsidRDefault="001808F6" w:rsidP="001808F6">
      <w:pPr>
        <w:pStyle w:val="paragraph"/>
        <w:spacing w:before="0" w:beforeAutospacing="0" w:after="0" w:afterAutospacing="0"/>
        <w:textAlignment w:val="baseline"/>
        <w:rPr>
          <w:rFonts w:ascii="Segoe UI" w:hAnsi="Segoe UI" w:cs="Segoe UI"/>
          <w:sz w:val="18"/>
          <w:szCs w:val="18"/>
          <w:highlight w:val="cyan"/>
        </w:rPr>
      </w:pPr>
      <w:r w:rsidRPr="001808F6">
        <w:rPr>
          <w:rStyle w:val="eop"/>
          <w:rFonts w:ascii="Arial" w:hAnsi="Arial" w:cs="Arial"/>
          <w:color w:val="000000"/>
          <w:sz w:val="22"/>
          <w:szCs w:val="22"/>
          <w:highlight w:val="cyan"/>
        </w:rPr>
        <w:t> </w:t>
      </w:r>
    </w:p>
    <w:p w14:paraId="4C5E85D2" w14:textId="77777777" w:rsidR="001808F6" w:rsidRPr="001808F6" w:rsidRDefault="001808F6" w:rsidP="001808F6">
      <w:pPr>
        <w:pStyle w:val="paragraph"/>
        <w:spacing w:before="0" w:beforeAutospacing="0" w:after="0" w:afterAutospacing="0"/>
        <w:textAlignment w:val="baseline"/>
        <w:rPr>
          <w:rFonts w:ascii="Segoe UI" w:hAnsi="Segoe UI" w:cs="Segoe UI"/>
          <w:sz w:val="18"/>
          <w:szCs w:val="18"/>
          <w:highlight w:val="cyan"/>
        </w:rPr>
      </w:pPr>
      <w:r w:rsidRPr="001808F6">
        <w:rPr>
          <w:rStyle w:val="normaltextrun"/>
          <w:rFonts w:ascii="Arial" w:hAnsi="Arial" w:cs="Arial"/>
          <w:color w:val="000000"/>
          <w:sz w:val="22"/>
          <w:szCs w:val="22"/>
          <w:highlight w:val="cyan"/>
        </w:rPr>
        <w:t>Central banks in developed, developing, and emerging markets now operate multiple online accounts simultaneously. For instance, the Bank of Thailand uses platforms such as Facebook, X, YouTube, and Instagram.</w:t>
      </w:r>
      <w:r w:rsidRPr="001808F6">
        <w:rPr>
          <w:rStyle w:val="eop"/>
          <w:rFonts w:ascii="Arial" w:hAnsi="Arial" w:cs="Arial"/>
          <w:color w:val="000000"/>
          <w:sz w:val="22"/>
          <w:szCs w:val="22"/>
          <w:highlight w:val="cyan"/>
        </w:rPr>
        <w:t> </w:t>
      </w:r>
    </w:p>
    <w:p w14:paraId="6140A06E" w14:textId="77777777" w:rsidR="001808F6" w:rsidRPr="001808F6" w:rsidRDefault="001808F6" w:rsidP="001808F6">
      <w:pPr>
        <w:pStyle w:val="paragraph"/>
        <w:spacing w:before="0" w:beforeAutospacing="0" w:after="0" w:afterAutospacing="0"/>
        <w:textAlignment w:val="baseline"/>
        <w:rPr>
          <w:rFonts w:ascii="Segoe UI" w:hAnsi="Segoe UI" w:cs="Segoe UI"/>
          <w:sz w:val="18"/>
          <w:szCs w:val="18"/>
          <w:highlight w:val="cyan"/>
        </w:rPr>
      </w:pPr>
      <w:r w:rsidRPr="001808F6">
        <w:rPr>
          <w:rStyle w:val="eop"/>
          <w:rFonts w:ascii="Arial" w:hAnsi="Arial" w:cs="Arial"/>
          <w:color w:val="000000"/>
          <w:sz w:val="22"/>
          <w:szCs w:val="22"/>
          <w:highlight w:val="cyan"/>
        </w:rPr>
        <w:t> </w:t>
      </w:r>
    </w:p>
    <w:p w14:paraId="07577F52" w14:textId="77777777" w:rsidR="001808F6" w:rsidRPr="001808F6" w:rsidRDefault="001808F6" w:rsidP="001808F6">
      <w:pPr>
        <w:pStyle w:val="paragraph"/>
        <w:spacing w:before="0" w:beforeAutospacing="0" w:after="0" w:afterAutospacing="0"/>
        <w:textAlignment w:val="baseline"/>
        <w:rPr>
          <w:rFonts w:ascii="Segoe UI" w:hAnsi="Segoe UI" w:cs="Segoe UI"/>
          <w:sz w:val="18"/>
          <w:szCs w:val="18"/>
          <w:highlight w:val="cyan"/>
        </w:rPr>
      </w:pPr>
      <w:r w:rsidRPr="001808F6">
        <w:rPr>
          <w:rStyle w:val="normaltextrun"/>
          <w:rFonts w:ascii="Arial" w:hAnsi="Arial" w:cs="Arial"/>
          <w:color w:val="000000"/>
          <w:sz w:val="22"/>
          <w:szCs w:val="22"/>
          <w:highlight w:val="cyan"/>
        </w:rPr>
        <w:t>Central banks’ new digital tools increase the need to complement lengthy, text-based economic reports with visually appealing images and infographics.</w:t>
      </w:r>
      <w:r w:rsidRPr="001808F6">
        <w:rPr>
          <w:rStyle w:val="eop"/>
          <w:rFonts w:ascii="Arial" w:hAnsi="Arial" w:cs="Arial"/>
          <w:color w:val="000000"/>
          <w:sz w:val="22"/>
          <w:szCs w:val="22"/>
          <w:highlight w:val="cyan"/>
        </w:rPr>
        <w:t> </w:t>
      </w:r>
    </w:p>
    <w:p w14:paraId="42BC1AB8" w14:textId="77777777" w:rsidR="001808F6" w:rsidRPr="001808F6" w:rsidRDefault="001808F6" w:rsidP="001808F6">
      <w:pPr>
        <w:pStyle w:val="paragraph"/>
        <w:spacing w:before="0" w:beforeAutospacing="0" w:after="0" w:afterAutospacing="0"/>
        <w:textAlignment w:val="baseline"/>
        <w:rPr>
          <w:rFonts w:ascii="Segoe UI" w:hAnsi="Segoe UI" w:cs="Segoe UI"/>
          <w:sz w:val="18"/>
          <w:szCs w:val="18"/>
          <w:highlight w:val="cyan"/>
        </w:rPr>
      </w:pPr>
      <w:r w:rsidRPr="001808F6">
        <w:rPr>
          <w:rStyle w:val="eop"/>
          <w:rFonts w:ascii="Arial" w:hAnsi="Arial" w:cs="Arial"/>
          <w:color w:val="000000"/>
          <w:sz w:val="22"/>
          <w:szCs w:val="22"/>
          <w:highlight w:val="cyan"/>
        </w:rPr>
        <w:t> </w:t>
      </w:r>
    </w:p>
    <w:p w14:paraId="4559EBF2" w14:textId="77777777" w:rsidR="001808F6" w:rsidRPr="001808F6" w:rsidRDefault="001808F6" w:rsidP="001808F6">
      <w:pPr>
        <w:pStyle w:val="paragraph"/>
        <w:spacing w:before="0" w:beforeAutospacing="0" w:after="0" w:afterAutospacing="0"/>
        <w:textAlignment w:val="baseline"/>
        <w:rPr>
          <w:rFonts w:ascii="Segoe UI" w:hAnsi="Segoe UI" w:cs="Segoe UI"/>
          <w:sz w:val="18"/>
          <w:szCs w:val="18"/>
          <w:highlight w:val="cyan"/>
        </w:rPr>
      </w:pPr>
      <w:r w:rsidRPr="001808F6">
        <w:rPr>
          <w:rStyle w:val="normaltextrun"/>
          <w:rFonts w:ascii="Arial" w:hAnsi="Arial" w:cs="Arial"/>
          <w:color w:val="000000"/>
          <w:sz w:val="22"/>
          <w:szCs w:val="22"/>
          <w:highlight w:val="cyan"/>
        </w:rPr>
        <w:t>Central bank economists prioritize economic and factual accuracy in their reports. While some may believe their job ends once the report is posted online, in reality, posting a report is just the beginning!</w:t>
      </w:r>
      <w:r w:rsidRPr="001808F6">
        <w:rPr>
          <w:rStyle w:val="eop"/>
          <w:rFonts w:ascii="Arial" w:hAnsi="Arial" w:cs="Arial"/>
          <w:color w:val="000000"/>
          <w:sz w:val="22"/>
          <w:szCs w:val="22"/>
          <w:highlight w:val="cyan"/>
        </w:rPr>
        <w:t> </w:t>
      </w:r>
    </w:p>
    <w:p w14:paraId="25BD7A5B" w14:textId="77777777" w:rsidR="001808F6" w:rsidRPr="001808F6" w:rsidRDefault="001808F6" w:rsidP="001808F6">
      <w:pPr>
        <w:pStyle w:val="paragraph"/>
        <w:spacing w:before="0" w:beforeAutospacing="0" w:after="0" w:afterAutospacing="0"/>
        <w:textAlignment w:val="baseline"/>
        <w:rPr>
          <w:rFonts w:ascii="Segoe UI" w:hAnsi="Segoe UI" w:cs="Segoe UI"/>
          <w:sz w:val="18"/>
          <w:szCs w:val="18"/>
          <w:highlight w:val="cyan"/>
        </w:rPr>
      </w:pPr>
      <w:r w:rsidRPr="001808F6">
        <w:rPr>
          <w:rStyle w:val="eop"/>
          <w:rFonts w:ascii="Arial" w:hAnsi="Arial" w:cs="Arial"/>
          <w:color w:val="000000"/>
          <w:sz w:val="22"/>
          <w:szCs w:val="22"/>
          <w:highlight w:val="cyan"/>
        </w:rPr>
        <w:t> </w:t>
      </w:r>
    </w:p>
    <w:p w14:paraId="710BCDEC" w14:textId="77777777" w:rsidR="001808F6" w:rsidRPr="001808F6" w:rsidRDefault="001808F6" w:rsidP="001808F6">
      <w:pPr>
        <w:pStyle w:val="paragraph"/>
        <w:spacing w:before="0" w:beforeAutospacing="0" w:after="0" w:afterAutospacing="0"/>
        <w:textAlignment w:val="baseline"/>
        <w:rPr>
          <w:rFonts w:ascii="Segoe UI" w:hAnsi="Segoe UI" w:cs="Segoe UI"/>
          <w:sz w:val="18"/>
          <w:szCs w:val="18"/>
          <w:highlight w:val="cyan"/>
        </w:rPr>
      </w:pPr>
      <w:r w:rsidRPr="001808F6">
        <w:rPr>
          <w:rStyle w:val="normaltextrun"/>
          <w:rFonts w:ascii="Arial" w:hAnsi="Arial" w:cs="Arial"/>
          <w:color w:val="000000"/>
          <w:sz w:val="22"/>
          <w:szCs w:val="22"/>
          <w:highlight w:val="cyan"/>
        </w:rPr>
        <w:t>Hence, central banks employ various communication tools beyond posting reports and visuals on their websites and online media.</w:t>
      </w:r>
      <w:r w:rsidRPr="001808F6">
        <w:rPr>
          <w:rStyle w:val="eop"/>
          <w:rFonts w:ascii="Arial" w:hAnsi="Arial" w:cs="Arial"/>
          <w:color w:val="000000"/>
          <w:sz w:val="22"/>
          <w:szCs w:val="22"/>
          <w:highlight w:val="cyan"/>
        </w:rPr>
        <w:t> </w:t>
      </w:r>
    </w:p>
    <w:p w14:paraId="6CE7C0E8" w14:textId="77777777" w:rsidR="001808F6" w:rsidRPr="001808F6" w:rsidRDefault="001808F6" w:rsidP="001808F6">
      <w:pPr>
        <w:pStyle w:val="paragraph"/>
        <w:spacing w:before="0" w:beforeAutospacing="0" w:after="0" w:afterAutospacing="0"/>
        <w:textAlignment w:val="baseline"/>
        <w:rPr>
          <w:rFonts w:ascii="Segoe UI" w:hAnsi="Segoe UI" w:cs="Segoe UI"/>
          <w:sz w:val="18"/>
          <w:szCs w:val="18"/>
          <w:highlight w:val="cyan"/>
        </w:rPr>
      </w:pPr>
      <w:r w:rsidRPr="001808F6">
        <w:rPr>
          <w:rStyle w:val="eop"/>
          <w:rFonts w:ascii="Arial" w:hAnsi="Arial" w:cs="Arial"/>
          <w:color w:val="000000"/>
          <w:sz w:val="22"/>
          <w:szCs w:val="22"/>
          <w:highlight w:val="cyan"/>
        </w:rPr>
        <w:t> </w:t>
      </w:r>
    </w:p>
    <w:p w14:paraId="11E06CF6" w14:textId="77777777" w:rsidR="001808F6" w:rsidRPr="001808F6" w:rsidRDefault="001808F6" w:rsidP="001808F6">
      <w:pPr>
        <w:pStyle w:val="paragraph"/>
        <w:spacing w:before="0" w:beforeAutospacing="0" w:after="0" w:afterAutospacing="0"/>
        <w:textAlignment w:val="baseline"/>
        <w:rPr>
          <w:rFonts w:ascii="Segoe UI" w:hAnsi="Segoe UI" w:cs="Segoe UI"/>
          <w:sz w:val="18"/>
          <w:szCs w:val="18"/>
          <w:highlight w:val="cyan"/>
        </w:rPr>
      </w:pPr>
      <w:r w:rsidRPr="001808F6">
        <w:rPr>
          <w:rStyle w:val="normaltextrun"/>
          <w:rFonts w:ascii="Arial" w:hAnsi="Arial" w:cs="Arial"/>
          <w:color w:val="000000"/>
          <w:sz w:val="22"/>
          <w:szCs w:val="22"/>
          <w:highlight w:val="cyan"/>
        </w:rPr>
        <w:t>Public outreach and dialogue with stakeholders through lectures, meetings, and community forums are indispensable to a central bank’s toolkit, in both advanced and low-income countries.</w:t>
      </w:r>
      <w:r w:rsidRPr="001808F6">
        <w:rPr>
          <w:rStyle w:val="eop"/>
          <w:rFonts w:ascii="Arial" w:hAnsi="Arial" w:cs="Arial"/>
          <w:color w:val="000000"/>
          <w:sz w:val="22"/>
          <w:szCs w:val="22"/>
          <w:highlight w:val="cyan"/>
        </w:rPr>
        <w:t> </w:t>
      </w:r>
    </w:p>
    <w:p w14:paraId="69C0C366" w14:textId="77777777" w:rsidR="001808F6" w:rsidRPr="001808F6" w:rsidRDefault="001808F6" w:rsidP="001808F6">
      <w:pPr>
        <w:pStyle w:val="paragraph"/>
        <w:spacing w:before="0" w:beforeAutospacing="0" w:after="0" w:afterAutospacing="0"/>
        <w:textAlignment w:val="baseline"/>
        <w:rPr>
          <w:rFonts w:ascii="Segoe UI" w:hAnsi="Segoe UI" w:cs="Segoe UI"/>
          <w:sz w:val="18"/>
          <w:szCs w:val="18"/>
          <w:highlight w:val="cyan"/>
        </w:rPr>
      </w:pPr>
      <w:r w:rsidRPr="001808F6">
        <w:rPr>
          <w:rStyle w:val="eop"/>
          <w:rFonts w:ascii="Arial" w:hAnsi="Arial" w:cs="Arial"/>
          <w:color w:val="000000"/>
          <w:sz w:val="22"/>
          <w:szCs w:val="22"/>
          <w:highlight w:val="cyan"/>
        </w:rPr>
        <w:t> </w:t>
      </w:r>
    </w:p>
    <w:p w14:paraId="23151C70" w14:textId="77777777" w:rsidR="001808F6" w:rsidRPr="001808F6" w:rsidRDefault="001808F6" w:rsidP="001808F6">
      <w:pPr>
        <w:pStyle w:val="paragraph"/>
        <w:spacing w:before="0" w:beforeAutospacing="0" w:after="0" w:afterAutospacing="0"/>
        <w:textAlignment w:val="baseline"/>
        <w:rPr>
          <w:rFonts w:ascii="Segoe UI" w:hAnsi="Segoe UI" w:cs="Segoe UI"/>
          <w:sz w:val="18"/>
          <w:szCs w:val="18"/>
          <w:highlight w:val="cyan"/>
        </w:rPr>
      </w:pPr>
      <w:r w:rsidRPr="001808F6">
        <w:rPr>
          <w:rStyle w:val="normaltextrun"/>
          <w:rFonts w:ascii="Arial" w:hAnsi="Arial" w:cs="Arial"/>
          <w:color w:val="000000"/>
          <w:sz w:val="22"/>
          <w:szCs w:val="22"/>
          <w:highlight w:val="cyan"/>
        </w:rPr>
        <w:t>Former Bank of England Chief Economist Andy Haldane emphasized that it is crucial to first, engage with diverse audiences, second, utilize various media channels and third, listen.</w:t>
      </w:r>
      <w:r w:rsidRPr="001808F6">
        <w:rPr>
          <w:rStyle w:val="eop"/>
          <w:rFonts w:ascii="Arial" w:hAnsi="Arial" w:cs="Arial"/>
          <w:color w:val="000000"/>
          <w:sz w:val="22"/>
          <w:szCs w:val="22"/>
          <w:highlight w:val="cyan"/>
        </w:rPr>
        <w:t> </w:t>
      </w:r>
    </w:p>
    <w:p w14:paraId="7BF0BC3E" w14:textId="77777777" w:rsidR="001808F6" w:rsidRPr="001808F6" w:rsidRDefault="001808F6" w:rsidP="001808F6">
      <w:pPr>
        <w:pStyle w:val="paragraph"/>
        <w:spacing w:before="0" w:beforeAutospacing="0" w:after="0" w:afterAutospacing="0"/>
        <w:textAlignment w:val="baseline"/>
        <w:rPr>
          <w:rFonts w:ascii="Segoe UI" w:hAnsi="Segoe UI" w:cs="Segoe UI"/>
          <w:sz w:val="18"/>
          <w:szCs w:val="18"/>
          <w:highlight w:val="cyan"/>
        </w:rPr>
      </w:pPr>
      <w:r w:rsidRPr="001808F6">
        <w:rPr>
          <w:rStyle w:val="eop"/>
          <w:rFonts w:ascii="Arial" w:hAnsi="Arial" w:cs="Arial"/>
          <w:color w:val="000000"/>
          <w:sz w:val="22"/>
          <w:szCs w:val="22"/>
          <w:highlight w:val="cyan"/>
        </w:rPr>
        <w:t> </w:t>
      </w:r>
    </w:p>
    <w:p w14:paraId="5D728245" w14:textId="77777777" w:rsidR="001808F6" w:rsidRPr="001808F6" w:rsidRDefault="001808F6" w:rsidP="001808F6">
      <w:pPr>
        <w:pStyle w:val="paragraph"/>
        <w:spacing w:before="0" w:beforeAutospacing="0" w:after="0" w:afterAutospacing="0"/>
        <w:textAlignment w:val="baseline"/>
        <w:rPr>
          <w:rFonts w:ascii="Segoe UI" w:hAnsi="Segoe UI" w:cs="Segoe UI"/>
          <w:sz w:val="18"/>
          <w:szCs w:val="18"/>
          <w:highlight w:val="cyan"/>
        </w:rPr>
      </w:pPr>
      <w:r w:rsidRPr="001808F6">
        <w:rPr>
          <w:rStyle w:val="normaltextrun"/>
          <w:rFonts w:ascii="Arial" w:hAnsi="Arial" w:cs="Arial"/>
          <w:color w:val="000000"/>
          <w:sz w:val="22"/>
          <w:szCs w:val="22"/>
          <w:highlight w:val="cyan"/>
        </w:rPr>
        <w:t>Importantly, a central bank must actively communicate both after a policy decision and during the time between regularly scheduled policy meetings.</w:t>
      </w:r>
      <w:r w:rsidRPr="001808F6">
        <w:rPr>
          <w:rStyle w:val="eop"/>
          <w:rFonts w:ascii="Arial" w:hAnsi="Arial" w:cs="Arial"/>
          <w:color w:val="000000"/>
          <w:sz w:val="22"/>
          <w:szCs w:val="22"/>
          <w:highlight w:val="cyan"/>
        </w:rPr>
        <w:t> </w:t>
      </w:r>
    </w:p>
    <w:p w14:paraId="0CFC72B4" w14:textId="77777777" w:rsidR="001808F6" w:rsidRPr="001808F6" w:rsidRDefault="001808F6" w:rsidP="001808F6">
      <w:pPr>
        <w:pStyle w:val="paragraph"/>
        <w:spacing w:before="0" w:beforeAutospacing="0" w:after="0" w:afterAutospacing="0"/>
        <w:textAlignment w:val="baseline"/>
        <w:rPr>
          <w:rFonts w:ascii="Segoe UI" w:hAnsi="Segoe UI" w:cs="Segoe UI"/>
          <w:sz w:val="18"/>
          <w:szCs w:val="18"/>
          <w:highlight w:val="cyan"/>
        </w:rPr>
      </w:pPr>
      <w:r w:rsidRPr="001808F6">
        <w:rPr>
          <w:rStyle w:val="eop"/>
          <w:rFonts w:ascii="Arial" w:hAnsi="Arial" w:cs="Arial"/>
          <w:color w:val="000000"/>
          <w:sz w:val="22"/>
          <w:szCs w:val="22"/>
          <w:highlight w:val="cyan"/>
        </w:rPr>
        <w:t> </w:t>
      </w:r>
    </w:p>
    <w:p w14:paraId="4BC90A81" w14:textId="77777777" w:rsidR="001808F6" w:rsidRPr="001808F6" w:rsidRDefault="001808F6" w:rsidP="001808F6">
      <w:pPr>
        <w:pStyle w:val="paragraph"/>
        <w:spacing w:before="0" w:beforeAutospacing="0" w:after="0" w:afterAutospacing="0"/>
        <w:textAlignment w:val="baseline"/>
        <w:rPr>
          <w:rFonts w:ascii="Segoe UI" w:hAnsi="Segoe UI" w:cs="Segoe UI"/>
          <w:sz w:val="18"/>
          <w:szCs w:val="18"/>
          <w:highlight w:val="cyan"/>
        </w:rPr>
      </w:pPr>
      <w:r w:rsidRPr="001808F6">
        <w:rPr>
          <w:rStyle w:val="normaltextrun"/>
          <w:rFonts w:ascii="Arial" w:hAnsi="Arial" w:cs="Arial"/>
          <w:color w:val="000000"/>
          <w:sz w:val="22"/>
          <w:szCs w:val="22"/>
          <w:highlight w:val="cyan"/>
        </w:rPr>
        <w:t>There are four stages of such communications.</w:t>
      </w:r>
      <w:r w:rsidRPr="001808F6">
        <w:rPr>
          <w:rStyle w:val="eop"/>
          <w:rFonts w:ascii="Arial" w:hAnsi="Arial" w:cs="Arial"/>
          <w:color w:val="000000"/>
          <w:sz w:val="22"/>
          <w:szCs w:val="22"/>
          <w:highlight w:val="cyan"/>
        </w:rPr>
        <w:t> </w:t>
      </w:r>
    </w:p>
    <w:p w14:paraId="7AA4C9A8" w14:textId="77777777" w:rsidR="001808F6" w:rsidRPr="001808F6" w:rsidRDefault="001808F6" w:rsidP="001808F6">
      <w:pPr>
        <w:pStyle w:val="paragraph"/>
        <w:spacing w:before="0" w:beforeAutospacing="0" w:after="0" w:afterAutospacing="0"/>
        <w:textAlignment w:val="baseline"/>
        <w:rPr>
          <w:rFonts w:ascii="Segoe UI" w:hAnsi="Segoe UI" w:cs="Segoe UI"/>
          <w:sz w:val="18"/>
          <w:szCs w:val="18"/>
          <w:highlight w:val="cyan"/>
        </w:rPr>
      </w:pPr>
      <w:r w:rsidRPr="001808F6">
        <w:rPr>
          <w:rStyle w:val="eop"/>
          <w:rFonts w:ascii="Arial" w:hAnsi="Arial" w:cs="Arial"/>
          <w:color w:val="000000"/>
          <w:sz w:val="22"/>
          <w:szCs w:val="22"/>
          <w:highlight w:val="cyan"/>
        </w:rPr>
        <w:t> </w:t>
      </w:r>
    </w:p>
    <w:p w14:paraId="1ED92739" w14:textId="77777777" w:rsidR="001808F6" w:rsidRPr="001808F6" w:rsidRDefault="001808F6" w:rsidP="001808F6">
      <w:pPr>
        <w:pStyle w:val="paragraph"/>
        <w:spacing w:before="0" w:beforeAutospacing="0" w:after="0" w:afterAutospacing="0"/>
        <w:textAlignment w:val="baseline"/>
        <w:rPr>
          <w:rFonts w:ascii="Segoe UI" w:hAnsi="Segoe UI" w:cs="Segoe UI"/>
          <w:sz w:val="18"/>
          <w:szCs w:val="18"/>
          <w:highlight w:val="cyan"/>
        </w:rPr>
      </w:pPr>
      <w:r w:rsidRPr="001808F6">
        <w:rPr>
          <w:rStyle w:val="normaltextrun"/>
          <w:rFonts w:ascii="Arial" w:hAnsi="Arial" w:cs="Arial"/>
          <w:color w:val="000000"/>
          <w:sz w:val="22"/>
          <w:szCs w:val="22"/>
          <w:highlight w:val="cyan"/>
        </w:rPr>
        <w:t>First: Key tools include press releases and online posts to spread a clear policy message after a decision.</w:t>
      </w:r>
      <w:r w:rsidRPr="001808F6">
        <w:rPr>
          <w:rStyle w:val="eop"/>
          <w:rFonts w:ascii="Arial" w:hAnsi="Arial" w:cs="Arial"/>
          <w:color w:val="000000"/>
          <w:sz w:val="22"/>
          <w:szCs w:val="22"/>
          <w:highlight w:val="cyan"/>
        </w:rPr>
        <w:t> </w:t>
      </w:r>
    </w:p>
    <w:p w14:paraId="0BC26C7C" w14:textId="77777777" w:rsidR="001808F6" w:rsidRPr="001808F6" w:rsidRDefault="001808F6" w:rsidP="001808F6">
      <w:pPr>
        <w:pStyle w:val="paragraph"/>
        <w:spacing w:before="0" w:beforeAutospacing="0" w:after="0" w:afterAutospacing="0"/>
        <w:textAlignment w:val="baseline"/>
        <w:rPr>
          <w:rFonts w:ascii="Segoe UI" w:hAnsi="Segoe UI" w:cs="Segoe UI"/>
          <w:sz w:val="18"/>
          <w:szCs w:val="18"/>
          <w:highlight w:val="cyan"/>
        </w:rPr>
      </w:pPr>
      <w:r w:rsidRPr="001808F6">
        <w:rPr>
          <w:rStyle w:val="eop"/>
          <w:rFonts w:ascii="Arial" w:hAnsi="Arial" w:cs="Arial"/>
          <w:color w:val="000000"/>
          <w:sz w:val="22"/>
          <w:szCs w:val="22"/>
          <w:highlight w:val="cyan"/>
        </w:rPr>
        <w:t> </w:t>
      </w:r>
    </w:p>
    <w:p w14:paraId="3CC87C0E" w14:textId="77777777" w:rsidR="001808F6" w:rsidRPr="001808F6" w:rsidRDefault="001808F6" w:rsidP="001808F6">
      <w:pPr>
        <w:pStyle w:val="paragraph"/>
        <w:spacing w:before="0" w:beforeAutospacing="0" w:after="0" w:afterAutospacing="0"/>
        <w:textAlignment w:val="baseline"/>
        <w:rPr>
          <w:rFonts w:ascii="Segoe UI" w:hAnsi="Segoe UI" w:cs="Segoe UI"/>
          <w:sz w:val="18"/>
          <w:szCs w:val="18"/>
          <w:highlight w:val="cyan"/>
        </w:rPr>
      </w:pPr>
      <w:r w:rsidRPr="001808F6">
        <w:rPr>
          <w:rStyle w:val="normaltextrun"/>
          <w:rFonts w:ascii="Arial" w:hAnsi="Arial" w:cs="Arial"/>
          <w:color w:val="000000"/>
          <w:sz w:val="22"/>
          <w:szCs w:val="22"/>
          <w:highlight w:val="cyan"/>
        </w:rPr>
        <w:t>Second: A news conference provides on-record explanations for a decision. Engaging media through on-record interviews or background briefings offers ongoing policy guidance between decision meetings. Off-record briefings may be necessary for explanations and clarifications on background.</w:t>
      </w:r>
      <w:r w:rsidRPr="001808F6">
        <w:rPr>
          <w:rStyle w:val="eop"/>
          <w:rFonts w:ascii="Arial" w:hAnsi="Arial" w:cs="Arial"/>
          <w:color w:val="000000"/>
          <w:sz w:val="22"/>
          <w:szCs w:val="22"/>
          <w:highlight w:val="cyan"/>
        </w:rPr>
        <w:t> </w:t>
      </w:r>
    </w:p>
    <w:p w14:paraId="724C08F6" w14:textId="77777777" w:rsidR="001808F6" w:rsidRPr="001808F6" w:rsidRDefault="001808F6" w:rsidP="001808F6">
      <w:pPr>
        <w:pStyle w:val="paragraph"/>
        <w:spacing w:before="0" w:beforeAutospacing="0" w:after="0" w:afterAutospacing="0"/>
        <w:textAlignment w:val="baseline"/>
        <w:rPr>
          <w:rFonts w:ascii="Segoe UI" w:hAnsi="Segoe UI" w:cs="Segoe UI"/>
          <w:sz w:val="18"/>
          <w:szCs w:val="18"/>
          <w:highlight w:val="cyan"/>
        </w:rPr>
      </w:pPr>
      <w:r w:rsidRPr="001808F6">
        <w:rPr>
          <w:rStyle w:val="eop"/>
          <w:rFonts w:ascii="Arial" w:hAnsi="Arial" w:cs="Arial"/>
          <w:color w:val="000000"/>
          <w:sz w:val="22"/>
          <w:szCs w:val="22"/>
          <w:highlight w:val="cyan"/>
        </w:rPr>
        <w:t> </w:t>
      </w:r>
    </w:p>
    <w:p w14:paraId="6A00CA70" w14:textId="77777777" w:rsidR="001808F6" w:rsidRPr="001808F6" w:rsidRDefault="001808F6" w:rsidP="001808F6">
      <w:pPr>
        <w:pStyle w:val="paragraph"/>
        <w:spacing w:before="0" w:beforeAutospacing="0" w:after="0" w:afterAutospacing="0"/>
        <w:textAlignment w:val="baseline"/>
        <w:rPr>
          <w:rFonts w:ascii="Segoe UI" w:hAnsi="Segoe UI" w:cs="Segoe UI"/>
          <w:sz w:val="18"/>
          <w:szCs w:val="18"/>
          <w:highlight w:val="cyan"/>
        </w:rPr>
      </w:pPr>
      <w:r w:rsidRPr="001808F6">
        <w:rPr>
          <w:rStyle w:val="normaltextrun"/>
          <w:rFonts w:ascii="Arial" w:hAnsi="Arial" w:cs="Arial"/>
          <w:color w:val="000000"/>
          <w:sz w:val="22"/>
          <w:szCs w:val="22"/>
          <w:highlight w:val="cyan"/>
        </w:rPr>
        <w:t>Third: Meeting business leaders, holding monetary policy forums with experts, and giving prepared speeches are equally important from meeting to meeting. In some central banks, senior policymakers publish blogs or post their views on social media.</w:t>
      </w:r>
      <w:r w:rsidRPr="001808F6">
        <w:rPr>
          <w:rStyle w:val="eop"/>
          <w:rFonts w:ascii="Arial" w:hAnsi="Arial" w:cs="Arial"/>
          <w:color w:val="000000"/>
          <w:sz w:val="22"/>
          <w:szCs w:val="22"/>
          <w:highlight w:val="cyan"/>
        </w:rPr>
        <w:t> </w:t>
      </w:r>
    </w:p>
    <w:p w14:paraId="3B631B4E" w14:textId="77777777" w:rsidR="001808F6" w:rsidRPr="001808F6" w:rsidRDefault="001808F6" w:rsidP="001808F6">
      <w:pPr>
        <w:pStyle w:val="paragraph"/>
        <w:spacing w:before="0" w:beforeAutospacing="0" w:after="0" w:afterAutospacing="0"/>
        <w:textAlignment w:val="baseline"/>
        <w:rPr>
          <w:rFonts w:ascii="Segoe UI" w:hAnsi="Segoe UI" w:cs="Segoe UI"/>
          <w:sz w:val="18"/>
          <w:szCs w:val="18"/>
          <w:highlight w:val="cyan"/>
        </w:rPr>
      </w:pPr>
      <w:r w:rsidRPr="001808F6">
        <w:rPr>
          <w:rStyle w:val="eop"/>
          <w:rFonts w:ascii="Arial" w:hAnsi="Arial" w:cs="Arial"/>
          <w:color w:val="000000"/>
          <w:sz w:val="22"/>
          <w:szCs w:val="22"/>
          <w:highlight w:val="cyan"/>
        </w:rPr>
        <w:t> </w:t>
      </w:r>
    </w:p>
    <w:p w14:paraId="641B5966" w14:textId="77777777" w:rsidR="001808F6" w:rsidRPr="001808F6" w:rsidRDefault="001808F6" w:rsidP="001808F6">
      <w:pPr>
        <w:pStyle w:val="paragraph"/>
        <w:spacing w:before="0" w:beforeAutospacing="0" w:after="0" w:afterAutospacing="0"/>
        <w:textAlignment w:val="baseline"/>
        <w:rPr>
          <w:rFonts w:ascii="Segoe UI" w:hAnsi="Segoe UI" w:cs="Segoe UI"/>
          <w:sz w:val="18"/>
          <w:szCs w:val="18"/>
          <w:highlight w:val="cyan"/>
        </w:rPr>
      </w:pPr>
      <w:r w:rsidRPr="001808F6">
        <w:rPr>
          <w:rStyle w:val="normaltextrun"/>
          <w:rFonts w:ascii="Arial" w:hAnsi="Arial" w:cs="Arial"/>
          <w:color w:val="000000"/>
          <w:sz w:val="22"/>
          <w:szCs w:val="22"/>
          <w:highlight w:val="cyan"/>
        </w:rPr>
        <w:t xml:space="preserve">Fourth: Public outreach is linked to </w:t>
      </w:r>
      <w:proofErr w:type="spellStart"/>
      <w:r w:rsidRPr="001808F6">
        <w:rPr>
          <w:rStyle w:val="normaltextrun"/>
          <w:rFonts w:ascii="Arial" w:hAnsi="Arial" w:cs="Arial"/>
          <w:color w:val="000000"/>
          <w:sz w:val="22"/>
          <w:szCs w:val="22"/>
          <w:highlight w:val="cyan"/>
        </w:rPr>
        <w:t>policy</w:t>
      </w:r>
      <w:proofErr w:type="spellEnd"/>
      <w:r w:rsidRPr="001808F6">
        <w:rPr>
          <w:rStyle w:val="normaltextrun"/>
          <w:rFonts w:ascii="Arial" w:hAnsi="Arial" w:cs="Arial"/>
          <w:color w:val="000000"/>
          <w:sz w:val="22"/>
          <w:szCs w:val="22"/>
          <w:highlight w:val="cyan"/>
        </w:rPr>
        <w:t xml:space="preserve"> reports, which are usually published quarterly after major updates to macroeconomic forecasts.</w:t>
      </w:r>
      <w:r w:rsidRPr="001808F6">
        <w:rPr>
          <w:rStyle w:val="eop"/>
          <w:rFonts w:ascii="Arial" w:hAnsi="Arial" w:cs="Arial"/>
          <w:color w:val="000000"/>
          <w:sz w:val="22"/>
          <w:szCs w:val="22"/>
          <w:highlight w:val="cyan"/>
        </w:rPr>
        <w:t> </w:t>
      </w:r>
    </w:p>
    <w:p w14:paraId="084184A3" w14:textId="77777777" w:rsidR="001808F6" w:rsidRPr="001808F6" w:rsidRDefault="001808F6" w:rsidP="001808F6">
      <w:pPr>
        <w:pStyle w:val="paragraph"/>
        <w:spacing w:before="0" w:beforeAutospacing="0" w:after="0" w:afterAutospacing="0"/>
        <w:textAlignment w:val="baseline"/>
        <w:rPr>
          <w:rFonts w:ascii="Segoe UI" w:hAnsi="Segoe UI" w:cs="Segoe UI"/>
          <w:sz w:val="18"/>
          <w:szCs w:val="18"/>
          <w:highlight w:val="cyan"/>
        </w:rPr>
      </w:pPr>
      <w:r w:rsidRPr="001808F6">
        <w:rPr>
          <w:rStyle w:val="eop"/>
          <w:rFonts w:ascii="Arial" w:hAnsi="Arial" w:cs="Arial"/>
          <w:color w:val="000000"/>
          <w:sz w:val="22"/>
          <w:szCs w:val="22"/>
          <w:highlight w:val="cyan"/>
        </w:rPr>
        <w:t> </w:t>
      </w:r>
    </w:p>
    <w:p w14:paraId="548A07E0" w14:textId="77777777" w:rsidR="001808F6" w:rsidRPr="001808F6" w:rsidRDefault="001808F6" w:rsidP="001808F6">
      <w:pPr>
        <w:pStyle w:val="paragraph"/>
        <w:spacing w:before="0" w:beforeAutospacing="0" w:after="0" w:afterAutospacing="0"/>
        <w:textAlignment w:val="baseline"/>
        <w:rPr>
          <w:rFonts w:ascii="Segoe UI" w:hAnsi="Segoe UI" w:cs="Segoe UI"/>
          <w:sz w:val="18"/>
          <w:szCs w:val="18"/>
          <w:highlight w:val="cyan"/>
        </w:rPr>
      </w:pPr>
      <w:r w:rsidRPr="001808F6">
        <w:rPr>
          <w:rStyle w:val="normaltextrun"/>
          <w:rFonts w:ascii="Arial" w:hAnsi="Arial" w:cs="Arial"/>
          <w:color w:val="000000"/>
          <w:sz w:val="22"/>
          <w:szCs w:val="22"/>
          <w:highlight w:val="cyan"/>
        </w:rPr>
        <w:t>As Andy Haldane said, listening is as important as talking. Dialogue enhances communication, ensuring that all key messages from a policy decision are effectively disseminated.</w:t>
      </w:r>
      <w:r w:rsidRPr="001808F6">
        <w:rPr>
          <w:rStyle w:val="eop"/>
          <w:rFonts w:ascii="Arial" w:hAnsi="Arial" w:cs="Arial"/>
          <w:color w:val="000000"/>
          <w:sz w:val="22"/>
          <w:szCs w:val="22"/>
          <w:highlight w:val="cyan"/>
        </w:rPr>
        <w:t> </w:t>
      </w:r>
    </w:p>
    <w:p w14:paraId="4E5D1216" w14:textId="77777777" w:rsidR="001808F6" w:rsidRPr="001808F6" w:rsidRDefault="001808F6" w:rsidP="001808F6">
      <w:pPr>
        <w:pStyle w:val="paragraph"/>
        <w:spacing w:before="0" w:beforeAutospacing="0" w:after="0" w:afterAutospacing="0"/>
        <w:textAlignment w:val="baseline"/>
        <w:rPr>
          <w:rFonts w:ascii="Segoe UI" w:hAnsi="Segoe UI" w:cs="Segoe UI"/>
          <w:sz w:val="18"/>
          <w:szCs w:val="18"/>
          <w:highlight w:val="cyan"/>
        </w:rPr>
      </w:pPr>
      <w:r w:rsidRPr="001808F6">
        <w:rPr>
          <w:rStyle w:val="eop"/>
          <w:rFonts w:ascii="Arial" w:hAnsi="Arial" w:cs="Arial"/>
          <w:color w:val="000000"/>
          <w:sz w:val="22"/>
          <w:szCs w:val="22"/>
          <w:highlight w:val="cyan"/>
        </w:rPr>
        <w:t> </w:t>
      </w:r>
    </w:p>
    <w:p w14:paraId="5E631548" w14:textId="77777777" w:rsidR="00847614" w:rsidRPr="001808F6" w:rsidRDefault="00847614" w:rsidP="00847614">
      <w:pPr>
        <w:rPr>
          <w:b/>
          <w:bCs/>
          <w:highlight w:val="cyan"/>
        </w:rPr>
      </w:pPr>
    </w:p>
    <w:p w14:paraId="303885E9" w14:textId="77777777" w:rsidR="00AB6F77" w:rsidRPr="00BD22BC" w:rsidRDefault="00AB6F77" w:rsidP="00AB6F77">
      <w:pPr>
        <w:rPr>
          <w:b/>
          <w:bCs/>
        </w:rPr>
      </w:pPr>
      <w:r w:rsidRPr="001808F6">
        <w:rPr>
          <w:b/>
          <w:bCs/>
          <w:highlight w:val="cyan"/>
        </w:rPr>
        <w:t>&lt;END OF VIDEO &gt;</w:t>
      </w:r>
    </w:p>
    <w:p w14:paraId="037618EF" w14:textId="77777777" w:rsidR="00AB6F77" w:rsidRPr="00BD22BC" w:rsidRDefault="00AB6F77" w:rsidP="00AB6F77">
      <w:pPr>
        <w:pBdr>
          <w:bottom w:val="single" w:sz="6" w:space="1" w:color="auto"/>
        </w:pBdr>
      </w:pPr>
    </w:p>
    <w:p w14:paraId="5D4AB145" w14:textId="77777777" w:rsidR="00AB6F77" w:rsidRPr="00BD22BC" w:rsidRDefault="00AB6F77" w:rsidP="6EEC262A"/>
    <w:p w14:paraId="4A26306F" w14:textId="3A36C601" w:rsidR="002F2BBF" w:rsidRPr="00BD22BC" w:rsidRDefault="002F2BBF" w:rsidP="002F2BBF">
      <w:r w:rsidRPr="00BD22BC">
        <w:t xml:space="preserve">Over the past decade, the communications landscape for central banks has been profoundly transformed by several factors: a loss of trust in expert authority, the relentless 24-hour news cycle, the re-emergence of economic crises, and </w:t>
      </w:r>
      <w:r w:rsidR="19CC4C6B" w:rsidRPr="00BD22BC">
        <w:t>finally</w:t>
      </w:r>
      <w:r w:rsidRPr="00BD22BC">
        <w:t>, sweeping technological advancements.</w:t>
      </w:r>
    </w:p>
    <w:p w14:paraId="361CDD54" w14:textId="77777777" w:rsidR="002F2BBF" w:rsidRPr="00BD22BC" w:rsidRDefault="002F2BBF" w:rsidP="002F2BBF"/>
    <w:p w14:paraId="0C63B28A" w14:textId="77777777" w:rsidR="002F2BBF" w:rsidRPr="00BD22BC" w:rsidRDefault="002F2BBF" w:rsidP="002F2BBF">
      <w:r>
        <w:t>This transformation has prompted central banks to adapt their policy communication toolkits, prioritizing timely information dissemination and proactive public engagement via new online technologies.</w:t>
      </w:r>
    </w:p>
    <w:p w14:paraId="65C079C3" w14:textId="77777777" w:rsidR="002F2BBF" w:rsidRPr="00BD22BC" w:rsidRDefault="002F2BBF" w:rsidP="6EEC262A">
      <w:bookmarkStart w:id="90" w:name="_Hlk180949493"/>
    </w:p>
    <w:p w14:paraId="10849E3B" w14:textId="6CE04815" w:rsidR="002F2BBF" w:rsidRPr="00BD22BC" w:rsidRDefault="002F2BBF" w:rsidP="00645424">
      <w:r w:rsidRPr="00BD22BC">
        <w:t xml:space="preserve">This document </w:t>
      </w:r>
      <w:r w:rsidRPr="00BD22BC">
        <w:rPr>
          <w:b/>
          <w:bCs/>
          <w:highlight w:val="yellow"/>
        </w:rPr>
        <w:t>&lt;INSERT PDF #</w:t>
      </w:r>
      <w:r w:rsidR="728C1F5A" w:rsidRPr="00BD22BC">
        <w:rPr>
          <w:b/>
          <w:bCs/>
          <w:highlight w:val="yellow"/>
        </w:rPr>
        <w:t>7</w:t>
      </w:r>
      <w:r w:rsidRPr="00BD22BC">
        <w:rPr>
          <w:b/>
          <w:bCs/>
          <w:highlight w:val="yellow"/>
        </w:rPr>
        <w:t>&gt;</w:t>
      </w:r>
      <w:r w:rsidRPr="00BD22BC">
        <w:t xml:space="preserve"> looks at </w:t>
      </w:r>
      <w:r w:rsidR="00E959D1" w:rsidRPr="00BD22BC">
        <w:t>traditional and innovative tools of policy communication in greater detail.</w:t>
      </w:r>
    </w:p>
    <w:bookmarkEnd w:id="90"/>
    <w:p w14:paraId="3AF40097" w14:textId="77777777" w:rsidR="008E2675" w:rsidRPr="00BD22BC" w:rsidRDefault="008E2675">
      <w:pPr>
        <w:spacing w:after="160" w:line="259" w:lineRule="auto"/>
        <w:rPr>
          <w:rFonts w:cs="Arial"/>
          <w:b/>
          <w:bCs/>
          <w:szCs w:val="26"/>
          <w:highlight w:val="yellow"/>
        </w:rPr>
      </w:pPr>
      <w:r w:rsidRPr="00BD22BC">
        <w:rPr>
          <w:highlight w:val="yellow"/>
        </w:rPr>
        <w:br w:type="page"/>
      </w:r>
    </w:p>
    <w:p w14:paraId="1C5823A1" w14:textId="590BA38B" w:rsidR="00A5682B" w:rsidRPr="00BD22BC" w:rsidRDefault="2D33B218" w:rsidP="002851B1">
      <w:pPr>
        <w:pStyle w:val="Heading3"/>
      </w:pPr>
      <w:bookmarkStart w:id="91" w:name="_Toc982414065"/>
      <w:r w:rsidRPr="7EEFCAA8">
        <w:rPr>
          <w:highlight w:val="yellow"/>
        </w:rPr>
        <w:lastRenderedPageBreak/>
        <w:t>&lt;PDF #</w:t>
      </w:r>
      <w:r w:rsidR="34FC17AC" w:rsidRPr="7EEFCAA8">
        <w:rPr>
          <w:highlight w:val="yellow"/>
        </w:rPr>
        <w:t>7</w:t>
      </w:r>
      <w:r w:rsidRPr="7EEFCAA8">
        <w:rPr>
          <w:highlight w:val="yellow"/>
        </w:rPr>
        <w:t>&gt;</w:t>
      </w:r>
      <w:bookmarkEnd w:id="91"/>
      <w:r w:rsidR="754D524F">
        <w:t xml:space="preserve"> </w:t>
      </w:r>
    </w:p>
    <w:p w14:paraId="2358AD20" w14:textId="58ACB8F3" w:rsidR="00B0410C" w:rsidRPr="00BD22BC" w:rsidRDefault="00B0410C" w:rsidP="00EA2824">
      <w:pPr>
        <w:jc w:val="center"/>
        <w:rPr>
          <w:b/>
          <w:bCs/>
        </w:rPr>
      </w:pPr>
      <w:r w:rsidRPr="1BB63DC4">
        <w:rPr>
          <w:b/>
          <w:bCs/>
        </w:rPr>
        <w:t>Traditional vs. innovative tools of communication</w:t>
      </w:r>
    </w:p>
    <w:p w14:paraId="5A21C629" w14:textId="77777777" w:rsidR="00E959D1" w:rsidRPr="00BD22BC" w:rsidRDefault="00E959D1" w:rsidP="00B0410C"/>
    <w:p w14:paraId="4EE4E5A9" w14:textId="51C3EEF5" w:rsidR="00C1703F" w:rsidRPr="00BD22BC" w:rsidRDefault="00C1703F" w:rsidP="00B0410C">
      <w:r w:rsidRPr="00BD22BC">
        <w:t>Despite the advent of digital platforms, traditional methods of communication remain the primary mode of delivery, holding substantial importance for central banks.</w:t>
      </w:r>
    </w:p>
    <w:p w14:paraId="782657F9" w14:textId="77777777" w:rsidR="00473FC1" w:rsidRPr="00BD22BC" w:rsidRDefault="00473FC1" w:rsidP="00B0410C"/>
    <w:p w14:paraId="7F1ACF27" w14:textId="77777777" w:rsidR="005A65EA" w:rsidRPr="00BD22BC" w:rsidRDefault="005A65EA" w:rsidP="008C0DB0">
      <w:pPr>
        <w:rPr>
          <w:b/>
          <w:bCs/>
        </w:rPr>
      </w:pPr>
      <w:r w:rsidRPr="00BD22BC">
        <w:rPr>
          <w:b/>
          <w:bCs/>
        </w:rPr>
        <w:t>Traditional Tools</w:t>
      </w:r>
    </w:p>
    <w:p w14:paraId="2EDE5F8F" w14:textId="77777777" w:rsidR="002F2BBF" w:rsidRPr="00BD22BC" w:rsidRDefault="002F2BBF" w:rsidP="008C0DB0">
      <w:pPr>
        <w:rPr>
          <w:b/>
          <w:bCs/>
        </w:rPr>
      </w:pPr>
    </w:p>
    <w:p w14:paraId="6697DE24" w14:textId="0491AD2E" w:rsidR="008C0DB0" w:rsidRPr="00BD22BC" w:rsidRDefault="008C0DB0" w:rsidP="008C0DB0">
      <w:r w:rsidRPr="00BD22BC">
        <w:t xml:space="preserve">Press releases and press conferences continue to be the most widely used tools for external communication. </w:t>
      </w:r>
    </w:p>
    <w:p w14:paraId="6B31F852" w14:textId="77777777" w:rsidR="008C0DB0" w:rsidRPr="00BD22BC" w:rsidRDefault="008C0DB0" w:rsidP="008C0DB0"/>
    <w:p w14:paraId="77105B8B" w14:textId="473C6016" w:rsidR="008C0DB0" w:rsidRPr="00BD22BC" w:rsidRDefault="00035488" w:rsidP="008C0DB0">
      <w:r>
        <w:t>T</w:t>
      </w:r>
      <w:r w:rsidR="008C0DB0">
        <w:t>he policy press release</w:t>
      </w:r>
      <w:r w:rsidR="00C908F5">
        <w:t xml:space="preserve"> </w:t>
      </w:r>
      <w:r w:rsidR="008C0DB0">
        <w:t xml:space="preserve">has </w:t>
      </w:r>
      <w:r>
        <w:t>retained</w:t>
      </w:r>
      <w:r w:rsidR="008C0DB0">
        <w:t xml:space="preserve"> its prominence (also referred to as “Monetary Policy Statement”, “Board Statement”, or “Monetary Policy Communique” by some central banks).</w:t>
      </w:r>
    </w:p>
    <w:p w14:paraId="44992627" w14:textId="77777777" w:rsidR="00035488" w:rsidRPr="00BD22BC" w:rsidRDefault="00035488" w:rsidP="000D1920"/>
    <w:p w14:paraId="16E5FD42" w14:textId="7DB9DE64" w:rsidR="00DB76E8" w:rsidRDefault="00AF74D6" w:rsidP="1BB63DC4">
      <w:r>
        <w:t xml:space="preserve">That said, </w:t>
      </w:r>
      <w:r w:rsidR="00035488">
        <w:t xml:space="preserve">the world’s leading </w:t>
      </w:r>
      <w:r>
        <w:t xml:space="preserve">central banks </w:t>
      </w:r>
      <w:r w:rsidR="000D1920">
        <w:t>keep upgrading</w:t>
      </w:r>
      <w:r>
        <w:t xml:space="preserve"> even th</w:t>
      </w:r>
      <w:r w:rsidR="00035488">
        <w:t>is</w:t>
      </w:r>
      <w:r w:rsidR="008C0DB0">
        <w:t xml:space="preserve"> traditional</w:t>
      </w:r>
      <w:r>
        <w:t xml:space="preserve"> communication</w:t>
      </w:r>
      <w:r w:rsidR="008C0DB0">
        <w:t xml:space="preserve"> tool</w:t>
      </w:r>
      <w:r w:rsidR="000D1920">
        <w:t>. For instance, the European Central Bank (ECB), u</w:t>
      </w:r>
      <w:r w:rsidR="008C0DB0">
        <w:t>pon a “strategic review” of its communication practices</w:t>
      </w:r>
      <w:r w:rsidR="005129D9">
        <w:t xml:space="preserve"> in 2021</w:t>
      </w:r>
      <w:r w:rsidR="008C0DB0">
        <w:t xml:space="preserve">, has </w:t>
      </w:r>
      <w:hyperlink r:id="rId28" w:history="1">
        <w:r w:rsidR="008C0DB0" w:rsidRPr="00250857">
          <w:rPr>
            <w:rStyle w:val="Hyperlink"/>
          </w:rPr>
          <w:t xml:space="preserve">made its monetary policy </w:t>
        </w:r>
        <w:r w:rsidR="000D1920" w:rsidRPr="00250857">
          <w:rPr>
            <w:rStyle w:val="Hyperlink"/>
          </w:rPr>
          <w:t xml:space="preserve">release </w:t>
        </w:r>
        <w:r w:rsidR="008C0DB0" w:rsidRPr="00250857">
          <w:rPr>
            <w:rStyle w:val="Hyperlink"/>
          </w:rPr>
          <w:t>more accessible</w:t>
        </w:r>
      </w:hyperlink>
      <w:r w:rsidR="000D1920">
        <w:t xml:space="preserve">. </w:t>
      </w:r>
      <w:r w:rsidR="00482874">
        <w:t>The ECB</w:t>
      </w:r>
      <w:r w:rsidR="008C0DB0">
        <w:t xml:space="preserve"> </w:t>
      </w:r>
      <w:r w:rsidR="000D1920">
        <w:t>replace</w:t>
      </w:r>
      <w:r w:rsidR="00482874">
        <w:t>d</w:t>
      </w:r>
      <w:r w:rsidR="000D1920">
        <w:t xml:space="preserve"> </w:t>
      </w:r>
      <w:r w:rsidR="008C0DB0">
        <w:t>its “introductory statement” with the new “monetary policy statement”, which is more streamlined and has a stronger narrative.</w:t>
      </w:r>
      <w:r w:rsidR="004E4F18">
        <w:t xml:space="preserve"> </w:t>
      </w:r>
    </w:p>
    <w:p w14:paraId="58929FA7" w14:textId="77777777" w:rsidR="008C0DB0" w:rsidRPr="00BD22BC" w:rsidRDefault="008C0DB0" w:rsidP="00B0410C"/>
    <w:p w14:paraId="65B45835" w14:textId="02ED02C2" w:rsidR="00473FC1" w:rsidRPr="00BD22BC" w:rsidRDefault="008C0DB0" w:rsidP="00B0410C">
      <w:pPr>
        <w:rPr>
          <w:b/>
          <w:bCs/>
        </w:rPr>
      </w:pPr>
      <w:r w:rsidRPr="00BD22BC">
        <w:rPr>
          <w:b/>
          <w:bCs/>
        </w:rPr>
        <w:t>Going digital</w:t>
      </w:r>
    </w:p>
    <w:p w14:paraId="03514EC6" w14:textId="77777777" w:rsidR="00D50E58" w:rsidRPr="00BD22BC" w:rsidRDefault="00D50E58" w:rsidP="00B0410C"/>
    <w:p w14:paraId="50D12894" w14:textId="4D212571" w:rsidR="00AE337B" w:rsidRPr="00BD22BC" w:rsidRDefault="00B24FBD" w:rsidP="00B0410C">
      <w:bookmarkStart w:id="92" w:name="_Hlk173182126"/>
      <w:r w:rsidRPr="00BD22BC">
        <w:t>With the emergence of new technologies, central banks have tested and adopted novel communication approaches in the digital domain. They have learned to harness digital tools and social media platforms for transparent and relatable communications, ensuring two-way engagement with diverse audiences.</w:t>
      </w:r>
      <w:bookmarkEnd w:id="92"/>
    </w:p>
    <w:p w14:paraId="0109423A" w14:textId="77777777" w:rsidR="00B24FBD" w:rsidRPr="00BD22BC" w:rsidRDefault="00B24FBD" w:rsidP="00B0410C"/>
    <w:p w14:paraId="7921E69D" w14:textId="464195DC" w:rsidR="002D28AB" w:rsidRPr="00BD22BC" w:rsidRDefault="002D28AB" w:rsidP="00B0410C">
      <w:r>
        <w:t xml:space="preserve">The Czech National Bank </w:t>
      </w:r>
      <w:r w:rsidR="00982738">
        <w:t xml:space="preserve">won the Central Banking Transparency Award </w:t>
      </w:r>
      <w:r>
        <w:t xml:space="preserve">for 2015 after speeding up its communications procedures in the wake of its momentous exchange rate commitment, expanding into social media and </w:t>
      </w:r>
      <w:r w:rsidR="00982738">
        <w:t>becoming the first central bank to create</w:t>
      </w:r>
      <w:r>
        <w:t xml:space="preserve"> an online blog for senior </w:t>
      </w:r>
      <w:r w:rsidR="00982738">
        <w:t>policymakers</w:t>
      </w:r>
      <w:r>
        <w:t>.</w:t>
      </w:r>
    </w:p>
    <w:p w14:paraId="02C43A17" w14:textId="77777777" w:rsidR="002D28AB" w:rsidRPr="00BD22BC" w:rsidRDefault="002D28AB" w:rsidP="00B0410C"/>
    <w:p w14:paraId="17C4E2CE" w14:textId="25F1AFD6" w:rsidR="00F711AA" w:rsidRPr="00BD22BC" w:rsidRDefault="00F711AA" w:rsidP="00B0410C">
      <w:r>
        <w:t>Since 2015</w:t>
      </w:r>
      <w:r w:rsidR="001A6899">
        <w:t>,</w:t>
      </w:r>
      <w:r>
        <w:t xml:space="preserve"> the Bank of England has published a staff blog, “Bank Underground”, offering shorter, punchier access to </w:t>
      </w:r>
      <w:r w:rsidR="00F92004">
        <w:t>central b</w:t>
      </w:r>
      <w:r>
        <w:t xml:space="preserve">ank analysis, including when it deviates from established </w:t>
      </w:r>
      <w:r w:rsidR="00F92004">
        <w:t>b</w:t>
      </w:r>
      <w:r>
        <w:t>ank policy positions.</w:t>
      </w:r>
    </w:p>
    <w:p w14:paraId="754ECEDD" w14:textId="77777777" w:rsidR="00B803C0" w:rsidRPr="00BD22BC" w:rsidRDefault="00B803C0" w:rsidP="00B0410C"/>
    <w:p w14:paraId="5F0FAEC2" w14:textId="3249641C" w:rsidR="00B24FBD" w:rsidRPr="00BD22BC" w:rsidRDefault="00B24FBD" w:rsidP="00B24FBD">
      <w:r>
        <w:t xml:space="preserve">The </w:t>
      </w:r>
      <w:r w:rsidR="002F2BBF">
        <w:t xml:space="preserve">European Central Bank </w:t>
      </w:r>
      <w:r>
        <w:t>has also embraced “new” communication platforms and technologies</w:t>
      </w:r>
      <w:r w:rsidR="00D711C1">
        <w:t xml:space="preserve"> as part of its policy communication portfolio</w:t>
      </w:r>
      <w:r>
        <w:t xml:space="preserve">, to reach out especially </w:t>
      </w:r>
      <w:r w:rsidR="00560275">
        <w:t xml:space="preserve">to </w:t>
      </w:r>
      <w:r>
        <w:t xml:space="preserve">younger people who increasingly consume news on online platforms. The </w:t>
      </w:r>
      <w:r w:rsidR="00F92004">
        <w:t xml:space="preserve">central bank </w:t>
      </w:r>
      <w:r>
        <w:t>has strengthened its social media presence, including on X (formerly Twitter), LinkedIn, Instagram</w:t>
      </w:r>
      <w:r w:rsidR="00F92004">
        <w:t>,</w:t>
      </w:r>
      <w:r>
        <w:t xml:space="preserve"> and YouTube.</w:t>
      </w:r>
    </w:p>
    <w:p w14:paraId="5A023638" w14:textId="77777777" w:rsidR="008F1DF6" w:rsidRPr="00BD22BC" w:rsidRDefault="008F1DF6" w:rsidP="00B24FBD"/>
    <w:p w14:paraId="27272685" w14:textId="26072C57" w:rsidR="008F1DF6" w:rsidRPr="00BD22BC" w:rsidRDefault="008F1DF6" w:rsidP="008F1DF6">
      <w:r>
        <w:t xml:space="preserve">The Bank of Jamaica made headlines in financial press worldwide after using reggae-inspired music videos to teach people about inflation and monetary policy, releasing a series of videos on </w:t>
      </w:r>
      <w:r w:rsidR="007D501F">
        <w:t>X</w:t>
      </w:r>
      <w:r>
        <w:t>.</w:t>
      </w:r>
      <w:r w:rsidR="00E768DA">
        <w:t xml:space="preserve"> </w:t>
      </w:r>
      <w:r w:rsidR="0000165B">
        <w:t>A Bank of Jamaica information feature,</w:t>
      </w:r>
      <w:r w:rsidR="00750322">
        <w:t xml:space="preserve"> titled</w:t>
      </w:r>
      <w:r w:rsidR="0000165B">
        <w:t xml:space="preserve"> </w:t>
      </w:r>
      <w:r w:rsidR="00994E15">
        <w:t>Centrally Speaking, has aired as a TV, radio, and newspaper program. It covers various aspects of the central bank, including monetary policy. The TV versions are available on</w:t>
      </w:r>
      <w:r w:rsidR="00BF3C14">
        <w:t xml:space="preserve"> the</w:t>
      </w:r>
      <w:r w:rsidR="00994E15">
        <w:t xml:space="preserve"> </w:t>
      </w:r>
      <w:hyperlink r:id="rId29" w:history="1">
        <w:r w:rsidR="00994E15" w:rsidRPr="00250857">
          <w:rPr>
            <w:rStyle w:val="Hyperlink"/>
          </w:rPr>
          <w:t>YouTube channel</w:t>
        </w:r>
      </w:hyperlink>
      <w:r w:rsidR="00250857">
        <w:t>.</w:t>
      </w:r>
    </w:p>
    <w:p w14:paraId="7C8B9A10" w14:textId="77777777" w:rsidR="008F1DF6" w:rsidRPr="00BD22BC" w:rsidRDefault="008F1DF6" w:rsidP="00B24FBD"/>
    <w:p w14:paraId="152D539F" w14:textId="29A22C30" w:rsidR="004A6942" w:rsidRPr="00BD22BC" w:rsidRDefault="00D711C1" w:rsidP="00B24FBD">
      <w:r>
        <w:t>Social media offers central banks a straightforward way to interact directly with the publi</w:t>
      </w:r>
      <w:r w:rsidR="004A6942">
        <w:t>c.</w:t>
      </w:r>
      <w:r>
        <w:t xml:space="preserve"> </w:t>
      </w:r>
      <w:bookmarkStart w:id="93" w:name="_Hlk173186095"/>
      <w:r w:rsidR="004A6942">
        <w:t xml:space="preserve">According to respondents </w:t>
      </w:r>
      <w:r w:rsidR="00EB5AA4">
        <w:t xml:space="preserve">to </w:t>
      </w:r>
      <w:r w:rsidR="004A6942">
        <w:t xml:space="preserve">a Communications Benchmarks survey published by Central Banking, </w:t>
      </w:r>
      <w:bookmarkEnd w:id="93"/>
      <w:r w:rsidR="004A6942">
        <w:t xml:space="preserve">social media accounts for more than half of all their communications material, on average. Communication teams at </w:t>
      </w:r>
      <w:r w:rsidR="004A6942">
        <w:lastRenderedPageBreak/>
        <w:t>many central banks use social media and digital platforms like WhatsApp to engage directly with key audiences and gather feedback.</w:t>
      </w:r>
    </w:p>
    <w:p w14:paraId="1F93145E" w14:textId="77777777" w:rsidR="00473FC1" w:rsidRPr="00BD22BC" w:rsidRDefault="00473FC1" w:rsidP="00B0410C"/>
    <w:p w14:paraId="4F3E885C" w14:textId="3203E872" w:rsidR="00473FC1" w:rsidRPr="00BD22BC" w:rsidRDefault="00473FC1" w:rsidP="00B0410C">
      <w:pPr>
        <w:rPr>
          <w:b/>
          <w:bCs/>
        </w:rPr>
      </w:pPr>
      <w:r w:rsidRPr="00BD22BC">
        <w:rPr>
          <w:b/>
          <w:bCs/>
        </w:rPr>
        <w:t>Instagram</w:t>
      </w:r>
      <w:r w:rsidR="008F1DF6" w:rsidRPr="00BD22BC">
        <w:rPr>
          <w:b/>
          <w:bCs/>
        </w:rPr>
        <w:t xml:space="preserve"> and TikTok</w:t>
      </w:r>
      <w:r w:rsidR="003B6124" w:rsidRPr="00BD22BC">
        <w:rPr>
          <w:b/>
          <w:bCs/>
        </w:rPr>
        <w:t>:</w:t>
      </w:r>
      <w:r w:rsidRPr="00BD22BC">
        <w:rPr>
          <w:b/>
          <w:bCs/>
        </w:rPr>
        <w:t xml:space="preserve"> </w:t>
      </w:r>
      <w:r w:rsidR="003B6124" w:rsidRPr="00BD22BC">
        <w:rPr>
          <w:b/>
          <w:bCs/>
        </w:rPr>
        <w:t>N</w:t>
      </w:r>
      <w:r w:rsidRPr="00BD22BC">
        <w:rPr>
          <w:b/>
          <w:bCs/>
        </w:rPr>
        <w:t>ew frontier</w:t>
      </w:r>
      <w:r w:rsidR="008F1DF6" w:rsidRPr="00BD22BC">
        <w:rPr>
          <w:b/>
          <w:bCs/>
        </w:rPr>
        <w:t>s</w:t>
      </w:r>
      <w:r w:rsidRPr="00BD22BC">
        <w:rPr>
          <w:b/>
          <w:bCs/>
        </w:rPr>
        <w:t xml:space="preserve"> for central banks</w:t>
      </w:r>
    </w:p>
    <w:p w14:paraId="2E7A0835" w14:textId="77777777" w:rsidR="004A6942" w:rsidRPr="00BD22BC" w:rsidRDefault="004A6942" w:rsidP="00B0410C"/>
    <w:p w14:paraId="2737526F" w14:textId="3F2BC8FD" w:rsidR="00D711C1" w:rsidRPr="00BD22BC" w:rsidRDefault="00473FC1" w:rsidP="00B0410C">
      <w:r w:rsidRPr="00BD22BC">
        <w:t xml:space="preserve">Central banks are increasingly turning to Instagram to get their messages across. The audiovisual social media network is helping central banks offer financial education and other campaigns targeted </w:t>
      </w:r>
      <w:r w:rsidR="008F1DF6" w:rsidRPr="00BD22BC">
        <w:t>at younger generations</w:t>
      </w:r>
      <w:r w:rsidRPr="00BD22BC">
        <w:t xml:space="preserve">, </w:t>
      </w:r>
      <w:r w:rsidR="001D7A11" w:rsidRPr="00BD22BC">
        <w:t xml:space="preserve">to </w:t>
      </w:r>
      <w:r w:rsidRPr="00BD22BC">
        <w:t>complement their traditional communication methods.</w:t>
      </w:r>
    </w:p>
    <w:p w14:paraId="210ED00A" w14:textId="77777777" w:rsidR="004E4F18" w:rsidRPr="00BD22BC" w:rsidRDefault="004E4F18" w:rsidP="00B0410C"/>
    <w:p w14:paraId="4AB354BD" w14:textId="42A4CA4C" w:rsidR="00DB76E8" w:rsidRDefault="00000000" w:rsidP="004E4F18">
      <w:hyperlink r:id="rId30" w:history="1">
        <w:r w:rsidR="004E4F18" w:rsidRPr="003A6C07">
          <w:rPr>
            <w:rStyle w:val="Hyperlink"/>
          </w:rPr>
          <w:t>Several central banks</w:t>
        </w:r>
      </w:hyperlink>
      <w:r w:rsidR="004E4F18">
        <w:t xml:space="preserve"> have launched official Instagram accounts since late 2018, including the European Central Bank</w:t>
      </w:r>
      <w:r w:rsidR="00861E98">
        <w:t xml:space="preserve">, </w:t>
      </w:r>
      <w:r w:rsidR="004E4F18">
        <w:t>the Deutsche Bundesbank, Banque de France, Bank of Portugal</w:t>
      </w:r>
      <w:r w:rsidR="00F92004">
        <w:t>,</w:t>
      </w:r>
      <w:r w:rsidR="004E4F18">
        <w:t xml:space="preserve"> and the Hong Kong Monetary Authority. These follow much earlier launches by, for example, the Federal Reserve Bank of Chicago and Bank Indonesia. </w:t>
      </w:r>
    </w:p>
    <w:p w14:paraId="3BD099A7" w14:textId="77777777" w:rsidR="00DB76E8" w:rsidRDefault="00DB76E8" w:rsidP="004E4F18"/>
    <w:p w14:paraId="271A4B51" w14:textId="06619D20" w:rsidR="004E4F18" w:rsidRPr="00BD22BC" w:rsidRDefault="004E4F18" w:rsidP="004E4F18">
      <w:r>
        <w:t xml:space="preserve">The posts </w:t>
      </w:r>
      <w:r w:rsidR="00A5451E">
        <w:t xml:space="preserve">with the highest engagement rates </w:t>
      </w:r>
      <w:r w:rsidR="009661EB">
        <w:t>tend to be</w:t>
      </w:r>
      <w:r>
        <w:t xml:space="preserve"> those that are people-orientated, while special posts such as</w:t>
      </w:r>
      <w:r w:rsidR="00FC5E40">
        <w:t xml:space="preserve"> that embed</w:t>
      </w:r>
      <w:r>
        <w:t xml:space="preserve"> trivia and quizzes</w:t>
      </w:r>
      <w:r w:rsidR="00F92004" w:rsidRPr="38638030">
        <w:rPr>
          <w:rFonts w:cs="Arial"/>
        </w:rPr>
        <w:t>—</w:t>
      </w:r>
      <w:r>
        <w:t>help improve interaction with followers.</w:t>
      </w:r>
    </w:p>
    <w:p w14:paraId="4F8D29A6" w14:textId="77777777" w:rsidR="004E4F18" w:rsidRPr="00BD22BC" w:rsidRDefault="004E4F18" w:rsidP="00B0410C"/>
    <w:p w14:paraId="28072DE0" w14:textId="52FF6955" w:rsidR="008F1DF6" w:rsidRPr="00BD22BC" w:rsidRDefault="008F1DF6" w:rsidP="00B0410C">
      <w:r>
        <w:t xml:space="preserve">Seventy-one central banks were on the </w:t>
      </w:r>
      <w:r w:rsidR="00062E23">
        <w:t xml:space="preserve">Instagram </w:t>
      </w:r>
      <w:r>
        <w:t>platform as of December 2021, according to the Central Banking’s Central Bank Directory.</w:t>
      </w:r>
    </w:p>
    <w:p w14:paraId="1A72B480" w14:textId="0ED162A5" w:rsidR="00D50E58" w:rsidRPr="00BD22BC" w:rsidRDefault="00D50E58" w:rsidP="00D50E58"/>
    <w:p w14:paraId="53950089" w14:textId="6A1C7DEB" w:rsidR="00A436FA" w:rsidRPr="00BD22BC" w:rsidRDefault="00A436FA" w:rsidP="00A436FA">
      <w:r w:rsidRPr="00BD22BC">
        <w:t xml:space="preserve">Deutsche Bundesbank has had broad success with its “In the lift with...” series of Instagram stories. </w:t>
      </w:r>
      <w:r w:rsidR="004E4F18" w:rsidRPr="00BD22BC">
        <w:t>The posts</w:t>
      </w:r>
      <w:r w:rsidRPr="00BD22BC">
        <w:t xml:space="preserve"> featured central bank employee</w:t>
      </w:r>
      <w:r w:rsidR="2DE56CE1" w:rsidRPr="00BD22BC">
        <w:t>s</w:t>
      </w:r>
      <w:r w:rsidRPr="00BD22BC">
        <w:t xml:space="preserve"> alongside a corresponding Instagram video story</w:t>
      </w:r>
      <w:r w:rsidR="004E4F18" w:rsidRPr="00BD22BC">
        <w:t xml:space="preserve"> about the work they do</w:t>
      </w:r>
      <w:r w:rsidRPr="00BD22BC">
        <w:t>.</w:t>
      </w:r>
    </w:p>
    <w:p w14:paraId="779B6168" w14:textId="77777777" w:rsidR="00A436FA" w:rsidRPr="00BD22BC" w:rsidRDefault="00A436FA" w:rsidP="00A436FA"/>
    <w:p w14:paraId="2E945EA5" w14:textId="0CD8BCB0" w:rsidR="00A436FA" w:rsidRPr="00BD22BC" w:rsidRDefault="004E4F18" w:rsidP="004E4F18">
      <w:r>
        <w:t>T</w:t>
      </w:r>
      <w:r w:rsidR="00A436FA">
        <w:t>he Hong Kong Monetary Authority designed a series of videos featuring actress Mandy Chan and former chief executive Norman Chan. The goal of the campaign</w:t>
      </w:r>
      <w:r>
        <w:t xml:space="preserve"> was</w:t>
      </w:r>
      <w:r w:rsidR="00A436FA">
        <w:t xml:space="preserve"> to remind people to use public </w:t>
      </w:r>
      <w:r w:rsidR="06FEDE9E">
        <w:t>Wi-Fi</w:t>
      </w:r>
      <w:r w:rsidR="00A436FA">
        <w:t xml:space="preserve"> more cautiously to protect their online passwords, including digital keys to bank accounts. </w:t>
      </w:r>
    </w:p>
    <w:p w14:paraId="4F979F74" w14:textId="77777777" w:rsidR="00AE337B" w:rsidRPr="00BD22BC" w:rsidRDefault="00AE337B" w:rsidP="00B0410C"/>
    <w:p w14:paraId="0DB3ECAF" w14:textId="37658381" w:rsidR="00D50E58" w:rsidRPr="00BD22BC" w:rsidRDefault="00DF4D55" w:rsidP="00B0410C">
      <w:r>
        <w:t>After Instagram, the next frontier for central banks may be TikTok. Bank Indonesia is ahead of its peers. It started posting in 2022, with videos touting Indonesia's potential as a center for Islamic ﬁnance and comedy sketches on how to pay parking ﬁnes online.</w:t>
      </w:r>
      <w:r w:rsidR="0057668C">
        <w:t xml:space="preserve"> </w:t>
      </w:r>
      <w:r w:rsidR="00B72CA6">
        <w:t xml:space="preserve">The </w:t>
      </w:r>
      <w:r w:rsidR="00D43B46">
        <w:t xml:space="preserve">Central Bank of Trinidad </w:t>
      </w:r>
      <w:r w:rsidR="00F92004">
        <w:t>and</w:t>
      </w:r>
      <w:r w:rsidR="00D43B46">
        <w:t xml:space="preserve"> Tobago </w:t>
      </w:r>
      <w:r w:rsidR="003E0241">
        <w:t xml:space="preserve">has also been actively posting to </w:t>
      </w:r>
      <w:hyperlink r:id="rId31">
        <w:r w:rsidR="003E0241" w:rsidRPr="38638030">
          <w:rPr>
            <w:rStyle w:val="Hyperlink"/>
          </w:rPr>
          <w:t>TikTok</w:t>
        </w:r>
      </w:hyperlink>
      <w:r w:rsidR="003E0241">
        <w:t>, with educational videos about banknote security features and similar topics</w:t>
      </w:r>
      <w:r w:rsidR="003711CE">
        <w:t xml:space="preserve"> featuring local</w:t>
      </w:r>
      <w:r w:rsidR="00C2618B">
        <w:t xml:space="preserve"> influencers</w:t>
      </w:r>
      <w:r w:rsidR="641B9B10">
        <w:t>.</w:t>
      </w:r>
    </w:p>
    <w:p w14:paraId="52F25A4C" w14:textId="77777777" w:rsidR="00395D7E" w:rsidRPr="00BD22BC" w:rsidRDefault="00395D7E" w:rsidP="00B0410C"/>
    <w:p w14:paraId="2E122B1F" w14:textId="68EDCF98" w:rsidR="00AB6F77" w:rsidRPr="00BD22BC" w:rsidRDefault="00DF4D55" w:rsidP="6EEC262A">
      <w:pPr>
        <w:rPr>
          <w:b/>
          <w:bCs/>
        </w:rPr>
      </w:pPr>
      <w:bookmarkStart w:id="94" w:name="_Hlk173185707"/>
      <w:bookmarkStart w:id="95" w:name="_Hlk173185895"/>
      <w:r w:rsidRPr="00BD22BC">
        <w:t xml:space="preserve">All these novel approaches help central banks </w:t>
      </w:r>
      <w:r w:rsidR="00EA798F" w:rsidRPr="00BD22BC">
        <w:t>connect with</w:t>
      </w:r>
      <w:r w:rsidRPr="00BD22BC">
        <w:t xml:space="preserve"> audiences </w:t>
      </w:r>
      <w:r w:rsidR="00EA798F" w:rsidRPr="00BD22BC">
        <w:t xml:space="preserve">who </w:t>
      </w:r>
      <w:r w:rsidRPr="00BD22BC">
        <w:t>have</w:t>
      </w:r>
      <w:r w:rsidR="0010431D" w:rsidRPr="00BD22BC">
        <w:t xml:space="preserve"> not been</w:t>
      </w:r>
      <w:r w:rsidRPr="00BD22BC">
        <w:t xml:space="preserve"> </w:t>
      </w:r>
      <w:r w:rsidR="00FF5950" w:rsidRPr="00BD22BC">
        <w:t>traditionally on</w:t>
      </w:r>
      <w:r w:rsidRPr="00BD22BC">
        <w:t xml:space="preserve"> the receiving end of their communication.</w:t>
      </w:r>
      <w:r w:rsidR="00320EC2" w:rsidRPr="00BD22BC">
        <w:t xml:space="preserve"> </w:t>
      </w:r>
      <w:bookmarkEnd w:id="94"/>
      <w:bookmarkEnd w:id="95"/>
      <w:r w:rsidR="00320EC2" w:rsidRPr="00BD22BC">
        <w:t xml:space="preserve">Research suggests that more accessible, relatable, and visual communication can increase the impact of central bank messages. </w:t>
      </w:r>
    </w:p>
    <w:p w14:paraId="095B7D6F" w14:textId="77777777" w:rsidR="00D50E58" w:rsidRPr="00BD22BC" w:rsidRDefault="00D50E58" w:rsidP="6EEC262A">
      <w:pPr>
        <w:rPr>
          <w:b/>
          <w:bCs/>
        </w:rPr>
      </w:pPr>
      <w:bookmarkStart w:id="96" w:name="_Hlk180949835"/>
    </w:p>
    <w:p w14:paraId="0E932A67" w14:textId="77777777" w:rsidR="00A5682B" w:rsidRPr="00BD22BC" w:rsidRDefault="00A5682B" w:rsidP="00A5682B">
      <w:pPr>
        <w:rPr>
          <w:rFonts w:eastAsia="Arial" w:cs="Arial"/>
          <w:szCs w:val="22"/>
        </w:rPr>
      </w:pPr>
      <w:bookmarkStart w:id="97" w:name="_Hlk169567143"/>
      <w:r w:rsidRPr="00BD22BC">
        <w:rPr>
          <w:rFonts w:eastAsia="Arial" w:cs="Arial"/>
          <w:b/>
          <w:bCs/>
          <w:color w:val="000000" w:themeColor="text1"/>
          <w:szCs w:val="22"/>
          <w:highlight w:val="yellow"/>
        </w:rPr>
        <w:t>&lt;END OF PDF&gt;</w:t>
      </w:r>
    </w:p>
    <w:bookmarkEnd w:id="96"/>
    <w:bookmarkEnd w:id="97"/>
    <w:p w14:paraId="007B204F" w14:textId="77777777" w:rsidR="00A5682B" w:rsidRPr="00BD22BC" w:rsidRDefault="00A5682B" w:rsidP="6EEC262A">
      <w:pPr>
        <w:rPr>
          <w:b/>
          <w:bCs/>
        </w:rPr>
      </w:pPr>
    </w:p>
    <w:p w14:paraId="317F44B8" w14:textId="7EF3DBAD" w:rsidR="00651570" w:rsidRPr="00BD22BC" w:rsidRDefault="00651570">
      <w:pPr>
        <w:spacing w:after="160" w:line="259" w:lineRule="auto"/>
      </w:pPr>
    </w:p>
    <w:p w14:paraId="52EA451C" w14:textId="77777777" w:rsidR="00162DB4" w:rsidRPr="00BD22BC" w:rsidRDefault="00162DB4">
      <w:pPr>
        <w:spacing w:after="160" w:line="259" w:lineRule="auto"/>
        <w:rPr>
          <w:rFonts w:cs="Arial"/>
          <w:b/>
          <w:iCs/>
          <w:highlight w:val="yellow"/>
        </w:rPr>
      </w:pPr>
      <w:r w:rsidRPr="00BD22BC">
        <w:rPr>
          <w:highlight w:val="yellow"/>
        </w:rPr>
        <w:br w:type="page"/>
      </w:r>
    </w:p>
    <w:p w14:paraId="10600253" w14:textId="59A8E3FC" w:rsidR="00651570" w:rsidRPr="00BD22BC" w:rsidRDefault="63369C8D" w:rsidP="00651570">
      <w:pPr>
        <w:pStyle w:val="Heading1"/>
      </w:pPr>
      <w:bookmarkStart w:id="98" w:name="_Toc798627358"/>
      <w:bookmarkStart w:id="99" w:name="_Hlk180950291"/>
      <w:bookmarkStart w:id="100" w:name="_Hlk180929227"/>
      <w:r w:rsidRPr="7EEFCAA8">
        <w:rPr>
          <w:highlight w:val="yellow"/>
        </w:rPr>
        <w:lastRenderedPageBreak/>
        <w:t>SECTION 3: Who communicates</w:t>
      </w:r>
      <w:r w:rsidR="0BE28590" w:rsidRPr="7EEFCAA8">
        <w:rPr>
          <w:highlight w:val="yellow"/>
        </w:rPr>
        <w:t xml:space="preserve"> and to whom</w:t>
      </w:r>
      <w:r w:rsidRPr="7EEFCAA8">
        <w:rPr>
          <w:highlight w:val="yellow"/>
        </w:rPr>
        <w:t>?</w:t>
      </w:r>
      <w:bookmarkEnd w:id="98"/>
      <w:r>
        <w:t xml:space="preserve"> </w:t>
      </w:r>
    </w:p>
    <w:p w14:paraId="246788A5" w14:textId="77777777" w:rsidR="008E2675" w:rsidRPr="00BD22BC" w:rsidRDefault="008E2675" w:rsidP="0090062A">
      <w:bookmarkStart w:id="101" w:name="_Hlk169560182"/>
      <w:bookmarkEnd w:id="99"/>
    </w:p>
    <w:p w14:paraId="23A9132D" w14:textId="29DC2144" w:rsidR="00EE4CE9" w:rsidRPr="00BD22BC" w:rsidRDefault="6EEB1685" w:rsidP="00EE4CE9">
      <w:pPr>
        <w:pStyle w:val="Heading2"/>
      </w:pPr>
      <w:bookmarkStart w:id="102" w:name="_Toc1212325810"/>
      <w:bookmarkStart w:id="103" w:name="_Hlk173188532"/>
      <w:r w:rsidRPr="7EEFCAA8">
        <w:rPr>
          <w:highlight w:val="yellow"/>
        </w:rPr>
        <w:t>UNIT 3.1:</w:t>
      </w:r>
      <w:r>
        <w:t xml:space="preserve"> </w:t>
      </w:r>
      <w:r w:rsidR="145E1B9F">
        <w:t>F</w:t>
      </w:r>
      <w:r>
        <w:t>oundations of a communication function</w:t>
      </w:r>
      <w:bookmarkEnd w:id="102"/>
    </w:p>
    <w:bookmarkEnd w:id="100"/>
    <w:bookmarkEnd w:id="103"/>
    <w:p w14:paraId="6E87EE8F" w14:textId="77777777" w:rsidR="008E2675" w:rsidRPr="00BD22BC" w:rsidRDefault="008E2675" w:rsidP="0070692F"/>
    <w:p w14:paraId="2360E326" w14:textId="65D86410" w:rsidR="00F65D74" w:rsidRPr="00BD22BC" w:rsidRDefault="0070692F" w:rsidP="0070692F">
      <w:r w:rsidRPr="00BD22BC">
        <w:t>Central bank policymakers can</w:t>
      </w:r>
      <w:r w:rsidR="003C4765" w:rsidRPr="00BD22BC">
        <w:t xml:space="preserve">not </w:t>
      </w:r>
      <w:r w:rsidRPr="00BD22BC">
        <w:t xml:space="preserve">communicate effectively without the support of communication experts. Nowadays, no central bank exists without a dedicated communication function. This may range </w:t>
      </w:r>
      <w:r w:rsidR="005D6D93" w:rsidRPr="00BD22BC">
        <w:t xml:space="preserve">from </w:t>
      </w:r>
      <w:r w:rsidR="003E7BED" w:rsidRPr="00BD22BC">
        <w:t>having no</w:t>
      </w:r>
      <w:r w:rsidR="005D6D93" w:rsidRPr="00BD22BC">
        <w:t xml:space="preserve"> communication professional</w:t>
      </w:r>
      <w:r w:rsidR="00320EC2" w:rsidRPr="00BD22BC">
        <w:t xml:space="preserve"> (</w:t>
      </w:r>
      <w:r w:rsidR="003E7BED" w:rsidRPr="00BD22BC">
        <w:t xml:space="preserve">as was the case in mid-2024 </w:t>
      </w:r>
      <w:r w:rsidR="00320EC2" w:rsidRPr="00BD22BC">
        <w:t>at the Central Bank of Aruba, for instance)</w:t>
      </w:r>
      <w:r w:rsidR="005D6D93" w:rsidRPr="00BD22BC">
        <w:t xml:space="preserve"> to</w:t>
      </w:r>
      <w:r w:rsidRPr="00BD22BC">
        <w:t xml:space="preserve"> a large department with </w:t>
      </w:r>
      <w:r w:rsidR="005D6D93" w:rsidRPr="00BD22BC">
        <w:t>more than one hundred</w:t>
      </w:r>
      <w:r w:rsidRPr="00BD22BC">
        <w:t xml:space="preserve"> staff</w:t>
      </w:r>
      <w:r w:rsidR="00320EC2" w:rsidRPr="00BD22BC">
        <w:t xml:space="preserve"> (such as the </w:t>
      </w:r>
      <w:r w:rsidR="00A82B77" w:rsidRPr="00BD22BC">
        <w:t>communication</w:t>
      </w:r>
      <w:r w:rsidR="00411765" w:rsidRPr="00BD22BC">
        <w:t xml:space="preserve"> dep</w:t>
      </w:r>
      <w:r w:rsidR="00A82B77" w:rsidRPr="00BD22BC">
        <w:t>artment</w:t>
      </w:r>
      <w:r w:rsidR="00411765" w:rsidRPr="00BD22BC">
        <w:t xml:space="preserve"> </w:t>
      </w:r>
      <w:r w:rsidR="00320EC2" w:rsidRPr="00BD22BC">
        <w:t>at the Bank of Canada)</w:t>
      </w:r>
      <w:r w:rsidRPr="00BD22BC">
        <w:t>.</w:t>
      </w:r>
      <w:r w:rsidR="00F65D74" w:rsidRPr="00BD22BC">
        <w:t xml:space="preserve"> </w:t>
      </w:r>
    </w:p>
    <w:p w14:paraId="4C782F32" w14:textId="77777777" w:rsidR="00320EC2" w:rsidRPr="00BD22BC" w:rsidRDefault="00320EC2" w:rsidP="0070692F"/>
    <w:p w14:paraId="4F7C3569" w14:textId="306361C4" w:rsidR="00320EC2" w:rsidRPr="00BD22BC" w:rsidRDefault="00320EC2" w:rsidP="0088777E">
      <w:r>
        <w:t xml:space="preserve">According to </w:t>
      </w:r>
      <w:r w:rsidR="00EB5AA4">
        <w:t xml:space="preserve">the </w:t>
      </w:r>
      <w:r>
        <w:t>Communications Benchmarks survey</w:t>
      </w:r>
      <w:r w:rsidR="00EB5AA4">
        <w:t>,</w:t>
      </w:r>
      <w:r>
        <w:t xml:space="preserve"> published by Central Banking, the average communication team</w:t>
      </w:r>
      <w:r w:rsidR="0088777E">
        <w:t xml:space="preserve"> has </w:t>
      </w:r>
      <w:r>
        <w:t>around 20 staff, but th</w:t>
      </w:r>
      <w:r w:rsidR="00E332E4">
        <w:t>is</w:t>
      </w:r>
      <w:r>
        <w:t xml:space="preserve"> </w:t>
      </w:r>
      <w:r w:rsidR="5F3F94B8">
        <w:t>number</w:t>
      </w:r>
      <w:r w:rsidR="00A82B77">
        <w:t xml:space="preserve"> </w:t>
      </w:r>
      <w:r>
        <w:t>vari</w:t>
      </w:r>
      <w:r w:rsidR="00E332E4">
        <w:t>es</w:t>
      </w:r>
      <w:r>
        <w:t xml:space="preserve"> wide</w:t>
      </w:r>
      <w:r w:rsidR="00E332E4">
        <w:t>ly</w:t>
      </w:r>
      <w:r>
        <w:t>.</w:t>
      </w:r>
    </w:p>
    <w:p w14:paraId="5ACEC0E6" w14:textId="77777777" w:rsidR="00F65D74" w:rsidRPr="00BD22BC" w:rsidRDefault="00F65D74" w:rsidP="0070692F"/>
    <w:p w14:paraId="4CC29DE2" w14:textId="7D644F9B" w:rsidR="003E7BED" w:rsidRPr="00BD22BC" w:rsidRDefault="003E7BED" w:rsidP="0070692F">
      <w:r>
        <w:t>As central banks develop their communication function, it is imperative to establish both the communication strategy and operational guidelines at the appropriate levels of the institutional hierarchy from the outset.</w:t>
      </w:r>
    </w:p>
    <w:p w14:paraId="3614136F" w14:textId="77777777" w:rsidR="00E768DA" w:rsidRPr="00BD22BC" w:rsidRDefault="00E768DA" w:rsidP="00E768DA"/>
    <w:p w14:paraId="3B3A536E" w14:textId="628182C7" w:rsidR="00E768DA" w:rsidRPr="00BD22BC" w:rsidRDefault="00E768DA" w:rsidP="00E768DA">
      <w:r w:rsidRPr="00BD22BC">
        <w:t xml:space="preserve">This document </w:t>
      </w:r>
      <w:r w:rsidRPr="00BD22BC">
        <w:rPr>
          <w:b/>
          <w:bCs/>
          <w:highlight w:val="yellow"/>
        </w:rPr>
        <w:t>&lt;INSERT PDF #</w:t>
      </w:r>
      <w:r w:rsidR="5F5E1D58" w:rsidRPr="00BD22BC">
        <w:rPr>
          <w:b/>
          <w:bCs/>
          <w:highlight w:val="yellow"/>
        </w:rPr>
        <w:t>8</w:t>
      </w:r>
      <w:r w:rsidRPr="00BD22BC">
        <w:rPr>
          <w:b/>
          <w:bCs/>
          <w:highlight w:val="yellow"/>
        </w:rPr>
        <w:t>&gt;</w:t>
      </w:r>
      <w:r w:rsidRPr="00BD22BC">
        <w:t xml:space="preserve"> </w:t>
      </w:r>
      <w:r w:rsidR="0019482B" w:rsidRPr="00BD22BC">
        <w:t>suggests a role model approach to formalizing the institutional framework for the communication function</w:t>
      </w:r>
      <w:r w:rsidRPr="00BD22BC">
        <w:t>.</w:t>
      </w:r>
    </w:p>
    <w:p w14:paraId="63E1D2B4" w14:textId="77777777" w:rsidR="003E7BED" w:rsidRPr="00BD22BC" w:rsidRDefault="003E7BED" w:rsidP="0070692F"/>
    <w:p w14:paraId="79125BFC" w14:textId="1D830622" w:rsidR="0019482B" w:rsidRPr="00BD22BC" w:rsidRDefault="5E22EF57" w:rsidP="0019482B">
      <w:pPr>
        <w:pStyle w:val="Heading3"/>
      </w:pPr>
      <w:bookmarkStart w:id="104" w:name="_Toc1664164982"/>
      <w:r w:rsidRPr="7EEFCAA8">
        <w:rPr>
          <w:highlight w:val="yellow"/>
        </w:rPr>
        <w:t>&lt;PDF #</w:t>
      </w:r>
      <w:r w:rsidR="4380A75F" w:rsidRPr="7EEFCAA8">
        <w:rPr>
          <w:highlight w:val="yellow"/>
        </w:rPr>
        <w:t>8</w:t>
      </w:r>
      <w:r w:rsidRPr="7EEFCAA8">
        <w:rPr>
          <w:highlight w:val="yellow"/>
        </w:rPr>
        <w:t>&gt;</w:t>
      </w:r>
      <w:bookmarkEnd w:id="104"/>
      <w:r>
        <w:t xml:space="preserve"> </w:t>
      </w:r>
    </w:p>
    <w:p w14:paraId="0E3C7348" w14:textId="77777777" w:rsidR="0019482B" w:rsidRPr="00BD22BC" w:rsidRDefault="0019482B" w:rsidP="0019482B">
      <w:pPr>
        <w:ind w:left="870"/>
        <w:rPr>
          <w:szCs w:val="22"/>
        </w:rPr>
      </w:pPr>
      <w:r w:rsidRPr="00BD22BC">
        <w:rPr>
          <w:b/>
          <w:bCs/>
          <w:sz w:val="23"/>
          <w:szCs w:val="23"/>
        </w:rPr>
        <w:t>Structure of Documents on Institutional Policies and Procedures</w:t>
      </w:r>
    </w:p>
    <w:p w14:paraId="401F4289" w14:textId="77777777" w:rsidR="0019482B" w:rsidRPr="00BD22BC" w:rsidRDefault="0019482B" w:rsidP="00EA0432">
      <w:pPr>
        <w:pStyle w:val="paragraph"/>
        <w:spacing w:after="0" w:afterAutospacing="0"/>
        <w:textAlignment w:val="baseline"/>
        <w:rPr>
          <w:rStyle w:val="normaltextrun"/>
          <w:rFonts w:asciiTheme="minorHAnsi" w:hAnsiTheme="minorHAnsi" w:cstheme="minorHAnsi"/>
          <w:color w:val="000000"/>
          <w:sz w:val="22"/>
          <w:szCs w:val="22"/>
        </w:rPr>
      </w:pPr>
      <w:r w:rsidRPr="00BD22BC">
        <w:rPr>
          <w:rStyle w:val="normaltextrun"/>
          <w:rFonts w:asciiTheme="minorHAnsi" w:hAnsiTheme="minorHAnsi" w:cstheme="minorHAnsi"/>
          <w:color w:val="000000"/>
          <w:sz w:val="22"/>
          <w:szCs w:val="22"/>
        </w:rPr>
        <w:t xml:space="preserve">In the </w:t>
      </w:r>
      <w:bookmarkStart w:id="105" w:name="_Hlk180950032"/>
      <w:r w:rsidRPr="00BD22BC">
        <w:rPr>
          <w:rStyle w:val="normaltextrun"/>
          <w:rFonts w:asciiTheme="minorHAnsi" w:hAnsiTheme="minorHAnsi" w:cstheme="minorHAnsi"/>
          <w:color w:val="000000"/>
          <w:sz w:val="22"/>
          <w:szCs w:val="22"/>
        </w:rPr>
        <w:t>institutional framework for the communication function</w:t>
      </w:r>
      <w:bookmarkEnd w:id="105"/>
      <w:r w:rsidRPr="00BD22BC">
        <w:rPr>
          <w:rStyle w:val="normaltextrun"/>
          <w:rFonts w:asciiTheme="minorHAnsi" w:hAnsiTheme="minorHAnsi" w:cstheme="minorHAnsi"/>
          <w:color w:val="000000"/>
          <w:sz w:val="22"/>
          <w:szCs w:val="22"/>
        </w:rPr>
        <w:t>, it is important to distinguish (1)</w:t>
      </w:r>
      <w:r w:rsidRPr="00BD22BC">
        <w:rPr>
          <w:rStyle w:val="apple-converted-space"/>
          <w:rFonts w:asciiTheme="minorHAnsi" w:hAnsiTheme="minorHAnsi" w:cstheme="minorHAnsi"/>
          <w:color w:val="000000"/>
          <w:sz w:val="22"/>
          <w:szCs w:val="22"/>
        </w:rPr>
        <w:t> </w:t>
      </w:r>
      <w:r w:rsidRPr="00BD22BC">
        <w:rPr>
          <w:rStyle w:val="normaltextrun"/>
          <w:rFonts w:asciiTheme="minorHAnsi" w:hAnsiTheme="minorHAnsi" w:cstheme="minorHAnsi"/>
          <w:i/>
          <w:iCs/>
          <w:color w:val="000000"/>
          <w:sz w:val="22"/>
          <w:szCs w:val="22"/>
        </w:rPr>
        <w:t>strategic issues,</w:t>
      </w:r>
      <w:r w:rsidRPr="00BD22BC">
        <w:rPr>
          <w:rStyle w:val="apple-converted-space"/>
          <w:rFonts w:asciiTheme="minorHAnsi" w:hAnsiTheme="minorHAnsi" w:cstheme="minorHAnsi"/>
          <w:color w:val="000000"/>
          <w:sz w:val="22"/>
          <w:szCs w:val="22"/>
        </w:rPr>
        <w:t> </w:t>
      </w:r>
      <w:r w:rsidRPr="00BD22BC">
        <w:rPr>
          <w:rStyle w:val="normaltextrun"/>
          <w:rFonts w:asciiTheme="minorHAnsi" w:hAnsiTheme="minorHAnsi" w:cstheme="minorHAnsi"/>
          <w:color w:val="000000"/>
          <w:sz w:val="22"/>
          <w:szCs w:val="22"/>
        </w:rPr>
        <w:t>such as goals and principles, along with stable institutional-wide procedures, including those for interdepartmental cooperation, from (2)</w:t>
      </w:r>
      <w:r w:rsidRPr="00BD22BC">
        <w:rPr>
          <w:rStyle w:val="apple-converted-space"/>
          <w:rFonts w:asciiTheme="minorHAnsi" w:hAnsiTheme="minorHAnsi" w:cstheme="minorHAnsi"/>
          <w:color w:val="000000"/>
          <w:sz w:val="22"/>
          <w:szCs w:val="22"/>
        </w:rPr>
        <w:t> </w:t>
      </w:r>
      <w:r w:rsidRPr="00BD22BC">
        <w:rPr>
          <w:rStyle w:val="normaltextrun"/>
          <w:rFonts w:asciiTheme="minorHAnsi" w:hAnsiTheme="minorHAnsi" w:cstheme="minorHAnsi"/>
          <w:i/>
          <w:iCs/>
          <w:color w:val="000000"/>
          <w:sz w:val="22"/>
          <w:szCs w:val="22"/>
        </w:rPr>
        <w:t>operational issues</w:t>
      </w:r>
      <w:r w:rsidRPr="00BD22BC">
        <w:rPr>
          <w:rStyle w:val="apple-converted-space"/>
          <w:rFonts w:asciiTheme="minorHAnsi" w:hAnsiTheme="minorHAnsi" w:cstheme="minorHAnsi"/>
          <w:color w:val="000000"/>
          <w:sz w:val="22"/>
          <w:szCs w:val="22"/>
        </w:rPr>
        <w:t> </w:t>
      </w:r>
      <w:r w:rsidRPr="00BD22BC">
        <w:rPr>
          <w:rStyle w:val="normaltextrun"/>
          <w:rFonts w:asciiTheme="minorHAnsi" w:hAnsiTheme="minorHAnsi" w:cstheme="minorHAnsi"/>
          <w:color w:val="000000"/>
          <w:sz w:val="22"/>
          <w:szCs w:val="22"/>
        </w:rPr>
        <w:t>managed by departments and divisions on a day-today basis. Operational issues should be kept out of strategic documents to preserve</w:t>
      </w:r>
      <w:r w:rsidRPr="00BD22BC">
        <w:rPr>
          <w:rStyle w:val="apple-converted-space"/>
          <w:rFonts w:asciiTheme="minorHAnsi" w:hAnsiTheme="minorHAnsi" w:cstheme="minorHAnsi"/>
          <w:color w:val="000000"/>
          <w:sz w:val="22"/>
          <w:szCs w:val="22"/>
        </w:rPr>
        <w:t> </w:t>
      </w:r>
      <w:r w:rsidRPr="00BD22BC">
        <w:rPr>
          <w:rStyle w:val="normaltextrun"/>
          <w:rFonts w:asciiTheme="minorHAnsi" w:hAnsiTheme="minorHAnsi" w:cstheme="minorHAnsi"/>
          <w:i/>
          <w:iCs/>
          <w:color w:val="000000"/>
          <w:sz w:val="22"/>
          <w:szCs w:val="22"/>
        </w:rPr>
        <w:t>operational flexibility and adaptability</w:t>
      </w:r>
      <w:r w:rsidRPr="00BD22BC">
        <w:rPr>
          <w:rStyle w:val="normaltextrun"/>
          <w:rFonts w:asciiTheme="minorHAnsi" w:hAnsiTheme="minorHAnsi" w:cstheme="minorHAnsi"/>
          <w:color w:val="000000"/>
          <w:sz w:val="22"/>
          <w:szCs w:val="22"/>
        </w:rPr>
        <w:t>, thus enabling</w:t>
      </w:r>
      <w:r w:rsidRPr="00BD22BC">
        <w:rPr>
          <w:rStyle w:val="apple-converted-space"/>
          <w:rFonts w:asciiTheme="minorHAnsi" w:hAnsiTheme="minorHAnsi" w:cstheme="minorHAnsi"/>
          <w:color w:val="000000"/>
          <w:sz w:val="22"/>
          <w:szCs w:val="22"/>
        </w:rPr>
        <w:t> </w:t>
      </w:r>
      <w:r w:rsidRPr="00BD22BC">
        <w:rPr>
          <w:rStyle w:val="normaltextrun"/>
          <w:rFonts w:asciiTheme="minorHAnsi" w:hAnsiTheme="minorHAnsi" w:cstheme="minorHAnsi"/>
          <w:i/>
          <w:iCs/>
          <w:color w:val="000000"/>
          <w:sz w:val="22"/>
          <w:szCs w:val="22"/>
        </w:rPr>
        <w:t>efficiency of operations</w:t>
      </w:r>
      <w:r w:rsidRPr="00BD22BC">
        <w:rPr>
          <w:rStyle w:val="normaltextrun"/>
          <w:rFonts w:asciiTheme="minorHAnsi" w:hAnsiTheme="minorHAnsi" w:cstheme="minorHAnsi"/>
          <w:color w:val="000000"/>
          <w:sz w:val="22"/>
          <w:szCs w:val="22"/>
        </w:rPr>
        <w:t>,</w:t>
      </w:r>
      <w:r w:rsidRPr="00BD22BC">
        <w:rPr>
          <w:rStyle w:val="apple-converted-space"/>
          <w:rFonts w:asciiTheme="minorHAnsi" w:hAnsiTheme="minorHAnsi" w:cstheme="minorHAnsi"/>
          <w:color w:val="000000"/>
          <w:sz w:val="22"/>
          <w:szCs w:val="22"/>
        </w:rPr>
        <w:t> </w:t>
      </w:r>
      <w:r w:rsidRPr="00BD22BC">
        <w:rPr>
          <w:rStyle w:val="normaltextrun"/>
          <w:rFonts w:asciiTheme="minorHAnsi" w:hAnsiTheme="minorHAnsi" w:cstheme="minorHAnsi"/>
          <w:i/>
          <w:iCs/>
          <w:color w:val="000000"/>
          <w:sz w:val="22"/>
          <w:szCs w:val="22"/>
        </w:rPr>
        <w:t>including by adapting new technologies and techniques.</w:t>
      </w:r>
      <w:r w:rsidRPr="00BD22BC">
        <w:rPr>
          <w:rStyle w:val="normaltextrun"/>
          <w:rFonts w:asciiTheme="minorHAnsi" w:hAnsiTheme="minorHAnsi" w:cstheme="minorHAnsi"/>
          <w:color w:val="000000"/>
          <w:sz w:val="22"/>
          <w:szCs w:val="22"/>
        </w:rPr>
        <w:t> </w:t>
      </w:r>
      <w:r w:rsidRPr="00BD22BC">
        <w:rPr>
          <w:rStyle w:val="eop"/>
          <w:rFonts w:asciiTheme="minorHAnsi" w:hAnsiTheme="minorHAnsi" w:cstheme="minorHAnsi"/>
          <w:color w:val="000000"/>
          <w:sz w:val="22"/>
          <w:szCs w:val="22"/>
        </w:rPr>
        <w:t> </w:t>
      </w:r>
    </w:p>
    <w:p w14:paraId="0A485026" w14:textId="77777777" w:rsidR="0019482B" w:rsidRPr="00BD22BC" w:rsidRDefault="0019482B" w:rsidP="00EA0432">
      <w:pPr>
        <w:pStyle w:val="paragraph"/>
        <w:spacing w:after="0" w:afterAutospacing="0"/>
        <w:textAlignment w:val="baseline"/>
        <w:rPr>
          <w:rFonts w:asciiTheme="minorHAnsi" w:hAnsiTheme="minorHAnsi" w:cstheme="minorHAnsi"/>
          <w:color w:val="000000"/>
          <w:sz w:val="22"/>
          <w:szCs w:val="22"/>
        </w:rPr>
      </w:pPr>
      <w:r w:rsidRPr="00BD22BC">
        <w:rPr>
          <w:rStyle w:val="normaltextrun"/>
          <w:rFonts w:asciiTheme="minorHAnsi" w:hAnsiTheme="minorHAnsi" w:cstheme="minorHAnsi"/>
          <w:color w:val="000000"/>
          <w:sz w:val="22"/>
          <w:szCs w:val="22"/>
        </w:rPr>
        <w:t xml:space="preserve">As higher-level documents, communication </w:t>
      </w:r>
      <w:r w:rsidRPr="00BD22BC">
        <w:rPr>
          <w:rStyle w:val="normaltextrun"/>
          <w:rFonts w:asciiTheme="minorHAnsi" w:hAnsiTheme="minorHAnsi" w:cstheme="minorHAnsi"/>
          <w:b/>
          <w:bCs/>
          <w:i/>
          <w:iCs/>
          <w:color w:val="000000"/>
          <w:sz w:val="22"/>
          <w:szCs w:val="22"/>
        </w:rPr>
        <w:t>strategies and policies</w:t>
      </w:r>
      <w:r w:rsidRPr="00BD22BC">
        <w:rPr>
          <w:rStyle w:val="normaltextrun"/>
          <w:rFonts w:asciiTheme="minorHAnsi" w:hAnsiTheme="minorHAnsi" w:cstheme="minorHAnsi"/>
          <w:color w:val="000000"/>
          <w:sz w:val="22"/>
          <w:szCs w:val="22"/>
        </w:rPr>
        <w:t xml:space="preserve"> should be approved by the management of the institution and focus on longer-term institutional and interdepartmental matters</w:t>
      </w:r>
      <w:r w:rsidRPr="00BD22BC">
        <w:rPr>
          <w:rStyle w:val="apple-converted-space"/>
          <w:rFonts w:asciiTheme="minorHAnsi" w:hAnsiTheme="minorHAnsi" w:cstheme="minorHAnsi"/>
          <w:color w:val="000000"/>
          <w:sz w:val="22"/>
          <w:szCs w:val="22"/>
        </w:rPr>
        <w:t> </w:t>
      </w:r>
      <w:r w:rsidRPr="00BD22BC">
        <w:rPr>
          <w:rStyle w:val="normaltextrun"/>
          <w:rFonts w:asciiTheme="minorHAnsi" w:hAnsiTheme="minorHAnsi" w:cstheme="minorHAnsi"/>
          <w:color w:val="000000"/>
          <w:sz w:val="22"/>
          <w:szCs w:val="22"/>
        </w:rPr>
        <w:t>that are not likely to require changes for some time.</w:t>
      </w:r>
      <w:r w:rsidRPr="00BD22BC">
        <w:rPr>
          <w:rFonts w:asciiTheme="minorHAnsi" w:hAnsiTheme="minorHAnsi" w:cstheme="minorHAnsi"/>
          <w:color w:val="000000"/>
          <w:sz w:val="22"/>
          <w:szCs w:val="22"/>
        </w:rPr>
        <w:t> </w:t>
      </w:r>
    </w:p>
    <w:p w14:paraId="13377522" w14:textId="77777777" w:rsidR="0019482B" w:rsidRPr="00BD22BC" w:rsidRDefault="0019482B" w:rsidP="00EA0432">
      <w:pPr>
        <w:pStyle w:val="paragraph"/>
        <w:spacing w:after="0" w:afterAutospacing="0"/>
        <w:textAlignment w:val="baseline"/>
        <w:rPr>
          <w:rFonts w:asciiTheme="minorHAnsi" w:hAnsiTheme="minorHAnsi" w:cstheme="minorHAnsi"/>
          <w:color w:val="000000"/>
          <w:sz w:val="22"/>
          <w:szCs w:val="22"/>
        </w:rPr>
      </w:pPr>
      <w:r w:rsidRPr="00BD22BC">
        <w:rPr>
          <w:rStyle w:val="normaltextrun"/>
          <w:rFonts w:asciiTheme="minorHAnsi" w:hAnsiTheme="minorHAnsi" w:cstheme="minorHAnsi"/>
          <w:color w:val="000000"/>
          <w:sz w:val="22"/>
          <w:szCs w:val="22"/>
        </w:rPr>
        <w:t>The</w:t>
      </w:r>
      <w:r w:rsidRPr="00BD22BC">
        <w:rPr>
          <w:rStyle w:val="apple-converted-space"/>
          <w:rFonts w:asciiTheme="minorHAnsi" w:hAnsiTheme="minorHAnsi" w:cstheme="minorHAnsi"/>
          <w:color w:val="000000"/>
          <w:sz w:val="22"/>
          <w:szCs w:val="22"/>
        </w:rPr>
        <w:t> </w:t>
      </w:r>
      <w:r w:rsidRPr="00BD22BC">
        <w:rPr>
          <w:rStyle w:val="normaltextrun"/>
          <w:rFonts w:asciiTheme="minorHAnsi" w:hAnsiTheme="minorHAnsi" w:cstheme="minorHAnsi"/>
          <w:b/>
          <w:bCs/>
          <w:i/>
          <w:iCs/>
          <w:color w:val="000000"/>
          <w:sz w:val="22"/>
          <w:szCs w:val="22"/>
        </w:rPr>
        <w:t>terms of reference</w:t>
      </w:r>
      <w:r w:rsidRPr="00BD22BC">
        <w:rPr>
          <w:rStyle w:val="apple-converted-space"/>
          <w:rFonts w:asciiTheme="minorHAnsi" w:hAnsiTheme="minorHAnsi" w:cstheme="minorHAnsi"/>
          <w:b/>
          <w:bCs/>
          <w:color w:val="000000"/>
          <w:sz w:val="22"/>
          <w:szCs w:val="22"/>
        </w:rPr>
        <w:t> </w:t>
      </w:r>
      <w:r w:rsidRPr="00BD22BC">
        <w:rPr>
          <w:rStyle w:val="normaltextrun"/>
          <w:rFonts w:asciiTheme="minorHAnsi" w:hAnsiTheme="minorHAnsi" w:cstheme="minorHAnsi"/>
          <w:color w:val="000000"/>
          <w:sz w:val="22"/>
          <w:szCs w:val="22"/>
        </w:rPr>
        <w:t>for the communications unit (department or division) should support the implementation of the institutional strategies and policies. The</w:t>
      </w:r>
      <w:r w:rsidRPr="00BD22BC">
        <w:rPr>
          <w:rStyle w:val="apple-converted-space"/>
          <w:rFonts w:asciiTheme="minorHAnsi" w:hAnsiTheme="minorHAnsi" w:cstheme="minorHAnsi"/>
          <w:color w:val="000000"/>
          <w:sz w:val="22"/>
          <w:szCs w:val="22"/>
        </w:rPr>
        <w:t> </w:t>
      </w:r>
      <w:r w:rsidRPr="00BD22BC">
        <w:rPr>
          <w:rStyle w:val="normaltextrun"/>
          <w:rFonts w:asciiTheme="minorHAnsi" w:hAnsiTheme="minorHAnsi" w:cstheme="minorHAnsi"/>
          <w:i/>
          <w:iCs/>
          <w:color w:val="000000"/>
          <w:sz w:val="22"/>
          <w:szCs w:val="22"/>
        </w:rPr>
        <w:t>terms of reference</w:t>
      </w:r>
      <w:r w:rsidRPr="00BD22BC">
        <w:rPr>
          <w:rStyle w:val="apple-converted-space"/>
          <w:rFonts w:asciiTheme="minorHAnsi" w:hAnsiTheme="minorHAnsi" w:cstheme="minorHAnsi"/>
          <w:color w:val="000000"/>
          <w:sz w:val="22"/>
          <w:szCs w:val="22"/>
        </w:rPr>
        <w:t> </w:t>
      </w:r>
      <w:r w:rsidRPr="00BD22BC">
        <w:rPr>
          <w:rStyle w:val="normaltextrun"/>
          <w:rFonts w:asciiTheme="minorHAnsi" w:hAnsiTheme="minorHAnsi" w:cstheme="minorHAnsi"/>
          <w:color w:val="000000"/>
          <w:sz w:val="22"/>
          <w:szCs w:val="22"/>
        </w:rPr>
        <w:t>would include the</w:t>
      </w:r>
      <w:r w:rsidRPr="00BD22BC">
        <w:rPr>
          <w:rStyle w:val="apple-converted-space"/>
          <w:rFonts w:asciiTheme="minorHAnsi" w:hAnsiTheme="minorHAnsi" w:cstheme="minorHAnsi"/>
          <w:color w:val="000000"/>
          <w:sz w:val="22"/>
          <w:szCs w:val="22"/>
        </w:rPr>
        <w:t> </w:t>
      </w:r>
      <w:r w:rsidRPr="00BD22BC">
        <w:rPr>
          <w:rStyle w:val="normaltextrun"/>
          <w:rFonts w:asciiTheme="minorHAnsi" w:hAnsiTheme="minorHAnsi" w:cstheme="minorHAnsi"/>
          <w:i/>
          <w:iCs/>
          <w:color w:val="000000"/>
          <w:sz w:val="22"/>
          <w:szCs w:val="22"/>
        </w:rPr>
        <w:t>goals</w:t>
      </w:r>
      <w:r w:rsidRPr="00BD22BC">
        <w:rPr>
          <w:rStyle w:val="normaltextrun"/>
          <w:rFonts w:asciiTheme="minorHAnsi" w:hAnsiTheme="minorHAnsi" w:cstheme="minorHAnsi"/>
          <w:color w:val="000000"/>
          <w:sz w:val="22"/>
          <w:szCs w:val="22"/>
        </w:rPr>
        <w:t>,</w:t>
      </w:r>
      <w:r w:rsidRPr="00BD22BC">
        <w:rPr>
          <w:rStyle w:val="apple-converted-space"/>
          <w:rFonts w:asciiTheme="minorHAnsi" w:hAnsiTheme="minorHAnsi" w:cstheme="minorHAnsi"/>
          <w:color w:val="000000"/>
          <w:sz w:val="22"/>
          <w:szCs w:val="22"/>
        </w:rPr>
        <w:t> </w:t>
      </w:r>
      <w:r w:rsidRPr="00BD22BC">
        <w:rPr>
          <w:rStyle w:val="normaltextrun"/>
          <w:rFonts w:asciiTheme="minorHAnsi" w:hAnsiTheme="minorHAnsi" w:cstheme="minorHAnsi"/>
          <w:i/>
          <w:iCs/>
          <w:color w:val="000000"/>
          <w:sz w:val="22"/>
          <w:szCs w:val="22"/>
        </w:rPr>
        <w:t>responsibilities,</w:t>
      </w:r>
      <w:r w:rsidRPr="00BD22BC">
        <w:rPr>
          <w:rStyle w:val="apple-converted-space"/>
          <w:rFonts w:asciiTheme="minorHAnsi" w:hAnsiTheme="minorHAnsi" w:cstheme="minorHAnsi"/>
          <w:color w:val="000000"/>
          <w:sz w:val="22"/>
          <w:szCs w:val="22"/>
        </w:rPr>
        <w:t> </w:t>
      </w:r>
      <w:r w:rsidRPr="00BD22BC">
        <w:rPr>
          <w:rStyle w:val="normaltextrun"/>
          <w:rFonts w:asciiTheme="minorHAnsi" w:hAnsiTheme="minorHAnsi" w:cstheme="minorHAnsi"/>
          <w:color w:val="000000"/>
          <w:sz w:val="22"/>
          <w:szCs w:val="22"/>
        </w:rPr>
        <w:t>and the main</w:t>
      </w:r>
      <w:r w:rsidRPr="00BD22BC">
        <w:rPr>
          <w:rStyle w:val="apple-converted-space"/>
          <w:rFonts w:asciiTheme="minorHAnsi" w:hAnsiTheme="minorHAnsi" w:cstheme="minorHAnsi"/>
          <w:color w:val="000000"/>
          <w:sz w:val="22"/>
          <w:szCs w:val="22"/>
        </w:rPr>
        <w:t> </w:t>
      </w:r>
      <w:r w:rsidRPr="00BD22BC">
        <w:rPr>
          <w:rStyle w:val="normaltextrun"/>
          <w:rFonts w:asciiTheme="minorHAnsi" w:hAnsiTheme="minorHAnsi" w:cstheme="minorHAnsi"/>
          <w:i/>
          <w:iCs/>
          <w:color w:val="000000"/>
          <w:sz w:val="22"/>
          <w:szCs w:val="22"/>
        </w:rPr>
        <w:t>functions</w:t>
      </w:r>
      <w:r w:rsidRPr="00BD22BC">
        <w:rPr>
          <w:rStyle w:val="apple-converted-space"/>
          <w:rFonts w:asciiTheme="minorHAnsi" w:hAnsiTheme="minorHAnsi" w:cstheme="minorHAnsi"/>
          <w:color w:val="000000"/>
          <w:sz w:val="22"/>
          <w:szCs w:val="22"/>
        </w:rPr>
        <w:t> </w:t>
      </w:r>
      <w:r w:rsidRPr="00BD22BC">
        <w:rPr>
          <w:rStyle w:val="normaltextrun"/>
          <w:rFonts w:asciiTheme="minorHAnsi" w:hAnsiTheme="minorHAnsi" w:cstheme="minorHAnsi"/>
          <w:color w:val="000000"/>
          <w:sz w:val="22"/>
          <w:szCs w:val="22"/>
        </w:rPr>
        <w:t>of the communications unit. At the same time, divisional management (in consultation with the immediate supervisor if needed) would have the authority and flexibility to define and adjust operations at any time to</w:t>
      </w:r>
      <w:r w:rsidRPr="00BD22BC">
        <w:rPr>
          <w:rStyle w:val="apple-converted-space"/>
          <w:rFonts w:asciiTheme="minorHAnsi" w:hAnsiTheme="minorHAnsi" w:cstheme="minorHAnsi"/>
          <w:color w:val="000000"/>
          <w:sz w:val="22"/>
          <w:szCs w:val="22"/>
        </w:rPr>
        <w:t> </w:t>
      </w:r>
      <w:r w:rsidRPr="00BD22BC">
        <w:rPr>
          <w:rStyle w:val="normaltextrun"/>
          <w:rFonts w:asciiTheme="minorHAnsi" w:hAnsiTheme="minorHAnsi" w:cstheme="minorHAnsi"/>
          <w:i/>
          <w:iCs/>
          <w:color w:val="000000"/>
          <w:sz w:val="22"/>
          <w:szCs w:val="22"/>
        </w:rPr>
        <w:t>enhance their efficiency, including by adopting new technologies and techniques.</w:t>
      </w:r>
    </w:p>
    <w:p w14:paraId="51955D16" w14:textId="468EF7CE" w:rsidR="0019482B" w:rsidRPr="00BD22BC" w:rsidRDefault="0019482B" w:rsidP="00EA0432">
      <w:pPr>
        <w:pStyle w:val="paragraph"/>
        <w:spacing w:after="0" w:afterAutospacing="0"/>
        <w:textAlignment w:val="baseline"/>
        <w:rPr>
          <w:rStyle w:val="normaltextrun"/>
          <w:rFonts w:asciiTheme="minorHAnsi" w:hAnsiTheme="minorHAnsi" w:cstheme="minorBidi"/>
          <w:color w:val="000000"/>
          <w:sz w:val="22"/>
          <w:szCs w:val="22"/>
        </w:rPr>
      </w:pPr>
      <w:r w:rsidRPr="00BD22BC">
        <w:rPr>
          <w:rStyle w:val="normaltextrun"/>
          <w:rFonts w:asciiTheme="minorHAnsi" w:hAnsiTheme="minorHAnsi" w:cstheme="minorBidi"/>
          <w:color w:val="000000" w:themeColor="text1"/>
          <w:sz w:val="22"/>
          <w:szCs w:val="22"/>
        </w:rPr>
        <w:t xml:space="preserve">Key divisional functions and operations would be formalized in the </w:t>
      </w:r>
      <w:r w:rsidRPr="00BD22BC">
        <w:rPr>
          <w:rStyle w:val="normaltextrun"/>
          <w:rFonts w:asciiTheme="minorHAnsi" w:hAnsiTheme="minorHAnsi" w:cstheme="minorBidi"/>
          <w:b/>
          <w:i/>
          <w:color w:val="000000" w:themeColor="text1"/>
          <w:sz w:val="22"/>
          <w:szCs w:val="22"/>
        </w:rPr>
        <w:t>departmental/divisional guidelines or a manual</w:t>
      </w:r>
      <w:r w:rsidRPr="00BD22BC">
        <w:rPr>
          <w:rStyle w:val="normaltextrun"/>
          <w:rFonts w:asciiTheme="minorHAnsi" w:hAnsiTheme="minorHAnsi" w:cstheme="minorBidi"/>
          <w:color w:val="000000" w:themeColor="text1"/>
          <w:sz w:val="22"/>
          <w:szCs w:val="22"/>
        </w:rPr>
        <w:t xml:space="preserve">. The guidelines or a manual would normally cover procedures for media and social media monitoring and analysis; maintenance of the registry of media requests and institutional responses; conceptual approach to visual materials, including their production and storage and the use of stock photos; and others. The divisional guidelines are important for the consistency of operations and </w:t>
      </w:r>
      <w:r w:rsidR="03651B51" w:rsidRPr="00BD22BC">
        <w:rPr>
          <w:rStyle w:val="normaltextrun"/>
          <w:rFonts w:asciiTheme="minorHAnsi" w:hAnsiTheme="minorHAnsi" w:cstheme="minorBidi"/>
          <w:color w:val="000000" w:themeColor="text1"/>
          <w:sz w:val="22"/>
          <w:szCs w:val="22"/>
        </w:rPr>
        <w:t xml:space="preserve">to ensure </w:t>
      </w:r>
      <w:r w:rsidRPr="00BD22BC">
        <w:rPr>
          <w:rStyle w:val="normaltextrun"/>
          <w:rFonts w:asciiTheme="minorHAnsi" w:hAnsiTheme="minorHAnsi" w:cstheme="minorBidi"/>
          <w:color w:val="000000" w:themeColor="text1"/>
          <w:sz w:val="22"/>
          <w:szCs w:val="22"/>
        </w:rPr>
        <w:t xml:space="preserve">more efficient and faster onboarding of new staff members. </w:t>
      </w:r>
    </w:p>
    <w:p w14:paraId="6A20F69F" w14:textId="759A0306" w:rsidR="0019482B" w:rsidRPr="00BD22BC" w:rsidRDefault="0019482B" w:rsidP="0019482B">
      <w:pPr>
        <w:jc w:val="center"/>
        <w:rPr>
          <w:b/>
          <w:bCs/>
          <w:sz w:val="23"/>
          <w:szCs w:val="23"/>
        </w:rPr>
      </w:pPr>
    </w:p>
    <w:tbl>
      <w:tblPr>
        <w:tblStyle w:val="GridTable4-Accent1"/>
        <w:tblW w:w="8982" w:type="dxa"/>
        <w:tblInd w:w="85" w:type="dxa"/>
        <w:tblCellMar>
          <w:top w:w="144" w:type="dxa"/>
          <w:left w:w="144" w:type="dxa"/>
          <w:bottom w:w="72" w:type="dxa"/>
          <w:right w:w="144" w:type="dxa"/>
        </w:tblCellMar>
        <w:tblLook w:val="02A0" w:firstRow="1" w:lastRow="0" w:firstColumn="1" w:lastColumn="0" w:noHBand="1" w:noVBand="0"/>
      </w:tblPr>
      <w:tblGrid>
        <w:gridCol w:w="3044"/>
        <w:gridCol w:w="2959"/>
        <w:gridCol w:w="2979"/>
      </w:tblGrid>
      <w:tr w:rsidR="0019482B" w:rsidRPr="00BD22BC" w14:paraId="208EAA78" w14:textId="77777777" w:rsidTr="38638030">
        <w:trPr>
          <w:cnfStyle w:val="100000000000" w:firstRow="1" w:lastRow="0" w:firstColumn="0" w:lastColumn="0" w:oddVBand="0" w:evenVBand="0" w:oddHBand="0" w:evenHBand="0" w:firstRowFirstColumn="0" w:firstRowLastColumn="0" w:lastRowFirstColumn="0" w:lastRowLastColumn="0"/>
          <w:trHeight w:val="426"/>
        </w:trPr>
        <w:tc>
          <w:tcPr>
            <w:cnfStyle w:val="001000000000" w:firstRow="0" w:lastRow="0" w:firstColumn="1" w:lastColumn="0" w:oddVBand="0" w:evenVBand="0" w:oddHBand="0" w:evenHBand="0" w:firstRowFirstColumn="0" w:firstRowLastColumn="0" w:lastRowFirstColumn="0" w:lastRowLastColumn="0"/>
            <w:tcW w:w="3044" w:type="dxa"/>
            <w:tcBorders>
              <w:bottom w:val="dotted" w:sz="4" w:space="0" w:color="FFC000" w:themeColor="accent4"/>
            </w:tcBorders>
            <w:shd w:val="clear" w:color="auto" w:fill="657C9C"/>
            <w:vAlign w:val="center"/>
          </w:tcPr>
          <w:p w14:paraId="0DA2259B" w14:textId="77777777" w:rsidR="0019482B" w:rsidRPr="00BD22BC" w:rsidRDefault="0019482B" w:rsidP="00C5618D">
            <w:pPr>
              <w:rPr>
                <w:sz w:val="22"/>
                <w:szCs w:val="22"/>
              </w:rPr>
            </w:pPr>
            <w:r w:rsidRPr="00BD22BC">
              <w:rPr>
                <w:sz w:val="22"/>
                <w:szCs w:val="22"/>
              </w:rPr>
              <w:lastRenderedPageBreak/>
              <w:t>Institutional Management    </w:t>
            </w:r>
          </w:p>
        </w:tc>
        <w:tc>
          <w:tcPr>
            <w:cnfStyle w:val="000010000000" w:firstRow="0" w:lastRow="0" w:firstColumn="0" w:lastColumn="0" w:oddVBand="1" w:evenVBand="0" w:oddHBand="0" w:evenHBand="0" w:firstRowFirstColumn="0" w:firstRowLastColumn="0" w:lastRowFirstColumn="0" w:lastRowLastColumn="0"/>
            <w:tcW w:w="2959" w:type="dxa"/>
            <w:tcBorders>
              <w:bottom w:val="dotted" w:sz="4" w:space="0" w:color="FFC000" w:themeColor="accent4"/>
            </w:tcBorders>
            <w:shd w:val="clear" w:color="auto" w:fill="657C9C"/>
            <w:vAlign w:val="center"/>
          </w:tcPr>
          <w:p w14:paraId="208957BE" w14:textId="510B20A5" w:rsidR="0019482B" w:rsidRPr="00BD22BC" w:rsidRDefault="0019482B" w:rsidP="00C5618D">
            <w:pPr>
              <w:rPr>
                <w:sz w:val="22"/>
                <w:szCs w:val="22"/>
              </w:rPr>
            </w:pPr>
            <w:r w:rsidRPr="38638030">
              <w:rPr>
                <w:sz w:val="22"/>
                <w:szCs w:val="22"/>
              </w:rPr>
              <w:t>Departments/Divisions Terms of Reference</w:t>
            </w:r>
          </w:p>
        </w:tc>
        <w:tc>
          <w:tcPr>
            <w:tcW w:w="2979" w:type="dxa"/>
            <w:tcBorders>
              <w:bottom w:val="dotted" w:sz="4" w:space="0" w:color="FFC000" w:themeColor="accent4"/>
            </w:tcBorders>
            <w:shd w:val="clear" w:color="auto" w:fill="657C9C"/>
            <w:vAlign w:val="center"/>
          </w:tcPr>
          <w:p w14:paraId="4FF7E2D9" w14:textId="3983EE4B" w:rsidR="0019482B" w:rsidRPr="00BD22BC" w:rsidRDefault="0019482B" w:rsidP="00C5618D">
            <w:pPr>
              <w:cnfStyle w:val="100000000000" w:firstRow="1" w:lastRow="0" w:firstColumn="0" w:lastColumn="0" w:oddVBand="0" w:evenVBand="0" w:oddHBand="0" w:evenHBand="0" w:firstRowFirstColumn="0" w:firstRowLastColumn="0" w:lastRowFirstColumn="0" w:lastRowLastColumn="0"/>
              <w:rPr>
                <w:b w:val="0"/>
                <w:bCs w:val="0"/>
                <w:sz w:val="22"/>
                <w:szCs w:val="22"/>
              </w:rPr>
            </w:pPr>
            <w:r w:rsidRPr="38638030">
              <w:rPr>
                <w:sz w:val="22"/>
                <w:szCs w:val="22"/>
              </w:rPr>
              <w:t xml:space="preserve">Departments/Divisions </w:t>
            </w:r>
          </w:p>
          <w:p w14:paraId="73C67BF7" w14:textId="77777777" w:rsidR="0019482B" w:rsidRPr="00BD22BC" w:rsidRDefault="0019482B" w:rsidP="00C5618D">
            <w:pPr>
              <w:cnfStyle w:val="100000000000" w:firstRow="1" w:lastRow="0" w:firstColumn="0" w:lastColumn="0" w:oddVBand="0" w:evenVBand="0" w:oddHBand="0" w:evenHBand="0" w:firstRowFirstColumn="0" w:firstRowLastColumn="0" w:lastRowFirstColumn="0" w:lastRowLastColumn="0"/>
              <w:rPr>
                <w:sz w:val="22"/>
                <w:szCs w:val="22"/>
              </w:rPr>
            </w:pPr>
            <w:r w:rsidRPr="00BD22BC">
              <w:rPr>
                <w:sz w:val="22"/>
                <w:szCs w:val="22"/>
              </w:rPr>
              <w:t>Manuals</w:t>
            </w:r>
          </w:p>
        </w:tc>
      </w:tr>
      <w:tr w:rsidR="0019482B" w:rsidRPr="00BD22BC" w14:paraId="6F337C1F" w14:textId="77777777" w:rsidTr="00EA0432">
        <w:trPr>
          <w:trHeight w:val="1817"/>
        </w:trPr>
        <w:tc>
          <w:tcPr>
            <w:cnfStyle w:val="001000000000" w:firstRow="0" w:lastRow="0" w:firstColumn="1" w:lastColumn="0" w:oddVBand="0" w:evenVBand="0" w:oddHBand="0" w:evenHBand="0" w:firstRowFirstColumn="0" w:firstRowLastColumn="0" w:lastRowFirstColumn="0" w:lastRowLastColumn="0"/>
            <w:tcW w:w="3044" w:type="dxa"/>
            <w:tcBorders>
              <w:top w:val="dotted" w:sz="4" w:space="0" w:color="FFC000" w:themeColor="accent4"/>
              <w:left w:val="dotted" w:sz="4" w:space="0" w:color="FFC000" w:themeColor="accent4"/>
              <w:bottom w:val="dotted" w:sz="4" w:space="0" w:color="FFC000" w:themeColor="accent4"/>
              <w:right w:val="dotted" w:sz="4" w:space="0" w:color="FFC000" w:themeColor="accent4"/>
            </w:tcBorders>
          </w:tcPr>
          <w:p w14:paraId="1C2E7B1D" w14:textId="77777777" w:rsidR="0019482B" w:rsidRPr="00BD22BC" w:rsidRDefault="0019482B" w:rsidP="00C5618D">
            <w:pPr>
              <w:rPr>
                <w:b w:val="0"/>
                <w:bCs w:val="0"/>
                <w:sz w:val="22"/>
                <w:szCs w:val="22"/>
              </w:rPr>
            </w:pPr>
            <w:r w:rsidRPr="00BD22BC">
              <w:rPr>
                <w:b w:val="0"/>
                <w:bCs w:val="0"/>
                <w:sz w:val="22"/>
                <w:szCs w:val="22"/>
              </w:rPr>
              <w:t xml:space="preserve">Strategies, policies, and strategic issues, such as </w:t>
            </w:r>
            <w:r w:rsidRPr="00BD22BC">
              <w:rPr>
                <w:b w:val="0"/>
                <w:bCs w:val="0"/>
                <w:i/>
                <w:iCs/>
                <w:sz w:val="22"/>
                <w:szCs w:val="22"/>
              </w:rPr>
              <w:t>goals</w:t>
            </w:r>
            <w:r w:rsidRPr="00BD22BC">
              <w:rPr>
                <w:b w:val="0"/>
                <w:bCs w:val="0"/>
                <w:sz w:val="22"/>
                <w:szCs w:val="22"/>
              </w:rPr>
              <w:t xml:space="preserve"> and </w:t>
            </w:r>
            <w:r w:rsidRPr="00BD22BC">
              <w:rPr>
                <w:b w:val="0"/>
                <w:bCs w:val="0"/>
                <w:i/>
                <w:iCs/>
                <w:sz w:val="22"/>
                <w:szCs w:val="22"/>
              </w:rPr>
              <w:t>principles</w:t>
            </w:r>
            <w:r w:rsidRPr="00BD22BC">
              <w:rPr>
                <w:b w:val="0"/>
                <w:bCs w:val="0"/>
                <w:sz w:val="22"/>
                <w:szCs w:val="22"/>
              </w:rPr>
              <w:t>, along with stable institutional-wide procedures, including those for interdepartmental cooperation.</w:t>
            </w:r>
          </w:p>
        </w:tc>
        <w:tc>
          <w:tcPr>
            <w:cnfStyle w:val="000010000000" w:firstRow="0" w:lastRow="0" w:firstColumn="0" w:lastColumn="0" w:oddVBand="1" w:evenVBand="0" w:oddHBand="0" w:evenHBand="0" w:firstRowFirstColumn="0" w:firstRowLastColumn="0" w:lastRowFirstColumn="0" w:lastRowLastColumn="0"/>
            <w:tcW w:w="2959" w:type="dxa"/>
            <w:tcBorders>
              <w:top w:val="dotted" w:sz="4" w:space="0" w:color="FFC000" w:themeColor="accent4"/>
              <w:left w:val="dotted" w:sz="4" w:space="0" w:color="FFC000" w:themeColor="accent4"/>
              <w:bottom w:val="dotted" w:sz="4" w:space="0" w:color="FFC000" w:themeColor="accent4"/>
              <w:right w:val="dotted" w:sz="4" w:space="0" w:color="FFC000" w:themeColor="accent4"/>
            </w:tcBorders>
            <w:shd w:val="clear" w:color="auto" w:fill="FFFFFF" w:themeFill="background1"/>
          </w:tcPr>
          <w:p w14:paraId="3E35BFE2" w14:textId="77777777" w:rsidR="0019482B" w:rsidRPr="00BD22BC" w:rsidRDefault="0019482B" w:rsidP="00C5618D">
            <w:pPr>
              <w:rPr>
                <w:sz w:val="22"/>
                <w:szCs w:val="22"/>
              </w:rPr>
            </w:pPr>
            <w:r w:rsidRPr="00BD22BC">
              <w:rPr>
                <w:sz w:val="22"/>
                <w:szCs w:val="22"/>
              </w:rPr>
              <w:t xml:space="preserve">These include the </w:t>
            </w:r>
            <w:r w:rsidRPr="00BD22BC">
              <w:rPr>
                <w:i/>
                <w:iCs/>
                <w:sz w:val="22"/>
                <w:szCs w:val="22"/>
              </w:rPr>
              <w:t>goals</w:t>
            </w:r>
            <w:r w:rsidRPr="00BD22BC">
              <w:rPr>
                <w:sz w:val="22"/>
                <w:szCs w:val="22"/>
              </w:rPr>
              <w:t xml:space="preserve">, </w:t>
            </w:r>
            <w:r w:rsidRPr="00BD22BC">
              <w:rPr>
                <w:i/>
                <w:iCs/>
                <w:sz w:val="22"/>
                <w:szCs w:val="22"/>
              </w:rPr>
              <w:t>responsibilities</w:t>
            </w:r>
            <w:r w:rsidRPr="00BD22BC">
              <w:rPr>
                <w:sz w:val="22"/>
                <w:szCs w:val="22"/>
              </w:rPr>
              <w:t xml:space="preserve">, and the main </w:t>
            </w:r>
            <w:r w:rsidRPr="00BD22BC">
              <w:rPr>
                <w:i/>
                <w:iCs/>
                <w:sz w:val="22"/>
                <w:szCs w:val="22"/>
              </w:rPr>
              <w:t>functions</w:t>
            </w:r>
            <w:r w:rsidRPr="00BD22BC">
              <w:rPr>
                <w:sz w:val="22"/>
                <w:szCs w:val="22"/>
              </w:rPr>
              <w:t xml:space="preserve"> of the departments and divisions.</w:t>
            </w:r>
          </w:p>
        </w:tc>
        <w:tc>
          <w:tcPr>
            <w:tcW w:w="2979" w:type="dxa"/>
            <w:tcBorders>
              <w:top w:val="dotted" w:sz="4" w:space="0" w:color="FFC000" w:themeColor="accent4"/>
              <w:left w:val="dotted" w:sz="4" w:space="0" w:color="FFC000" w:themeColor="accent4"/>
              <w:bottom w:val="dotted" w:sz="4" w:space="0" w:color="FFC000" w:themeColor="accent4"/>
              <w:right w:val="dotted" w:sz="4" w:space="0" w:color="FFC000" w:themeColor="accent4"/>
            </w:tcBorders>
          </w:tcPr>
          <w:p w14:paraId="2F0F0B5B" w14:textId="77777777" w:rsidR="0019482B" w:rsidRPr="00BD22BC" w:rsidRDefault="0019482B" w:rsidP="00C5618D">
            <w:pPr>
              <w:cnfStyle w:val="000000000000" w:firstRow="0" w:lastRow="0" w:firstColumn="0" w:lastColumn="0" w:oddVBand="0" w:evenVBand="0" w:oddHBand="0" w:evenHBand="0" w:firstRowFirstColumn="0" w:firstRowLastColumn="0" w:lastRowFirstColumn="0" w:lastRowLastColumn="0"/>
              <w:rPr>
                <w:sz w:val="22"/>
                <w:szCs w:val="22"/>
              </w:rPr>
            </w:pPr>
            <w:r w:rsidRPr="00BD22BC">
              <w:rPr>
                <w:sz w:val="22"/>
                <w:szCs w:val="22"/>
              </w:rPr>
              <w:t xml:space="preserve">Manuals (or guidelines) for staff describe the implementation of key </w:t>
            </w:r>
            <w:r w:rsidRPr="00BD22BC">
              <w:rPr>
                <w:i/>
                <w:iCs/>
                <w:sz w:val="22"/>
                <w:szCs w:val="22"/>
              </w:rPr>
              <w:t>functions</w:t>
            </w:r>
            <w:r w:rsidRPr="00BD22BC">
              <w:rPr>
                <w:sz w:val="22"/>
                <w:szCs w:val="22"/>
              </w:rPr>
              <w:t xml:space="preserve">, </w:t>
            </w:r>
            <w:r w:rsidRPr="00BD22BC">
              <w:rPr>
                <w:i/>
                <w:iCs/>
                <w:sz w:val="22"/>
                <w:szCs w:val="22"/>
              </w:rPr>
              <w:t>operations, and procedures</w:t>
            </w:r>
            <w:r w:rsidRPr="00BD22BC">
              <w:rPr>
                <w:sz w:val="22"/>
                <w:szCs w:val="22"/>
              </w:rPr>
              <w:t xml:space="preserve"> of the departments and divisions.</w:t>
            </w:r>
          </w:p>
        </w:tc>
      </w:tr>
    </w:tbl>
    <w:p w14:paraId="52E07E5E" w14:textId="77777777" w:rsidR="0019482B" w:rsidRPr="00BD22BC" w:rsidRDefault="0019482B" w:rsidP="0019482B">
      <w:pPr>
        <w:rPr>
          <w:b/>
          <w:bCs/>
        </w:rPr>
      </w:pPr>
    </w:p>
    <w:p w14:paraId="284CF193" w14:textId="0FD67303" w:rsidR="0019482B" w:rsidRPr="00BD22BC" w:rsidRDefault="0019482B" w:rsidP="0070692F">
      <w:pPr>
        <w:rPr>
          <w:rFonts w:eastAsia="Arial" w:cs="Arial"/>
          <w:szCs w:val="22"/>
        </w:rPr>
      </w:pPr>
      <w:r w:rsidRPr="00BD22BC">
        <w:rPr>
          <w:rFonts w:eastAsia="Arial" w:cs="Arial"/>
          <w:b/>
          <w:bCs/>
          <w:color w:val="000000" w:themeColor="text1"/>
          <w:szCs w:val="22"/>
          <w:highlight w:val="yellow"/>
        </w:rPr>
        <w:t>&lt;END OF PDF&gt;</w:t>
      </w:r>
    </w:p>
    <w:p w14:paraId="27CA2F03" w14:textId="77777777" w:rsidR="0019482B" w:rsidRPr="00BD22BC" w:rsidRDefault="0019482B" w:rsidP="0070692F">
      <w:pPr>
        <w:rPr>
          <w:rFonts w:eastAsia="Arial" w:cs="Arial"/>
          <w:szCs w:val="22"/>
        </w:rPr>
      </w:pPr>
    </w:p>
    <w:p w14:paraId="4E77B131" w14:textId="77777777" w:rsidR="0019482B" w:rsidRPr="00BD22BC" w:rsidRDefault="0019482B" w:rsidP="0070692F"/>
    <w:p w14:paraId="228F6F31" w14:textId="04050ADD" w:rsidR="003E7BED" w:rsidRPr="00BD22BC" w:rsidRDefault="145E1B9F" w:rsidP="003E7BED">
      <w:pPr>
        <w:pStyle w:val="Heading2"/>
      </w:pPr>
      <w:bookmarkStart w:id="106" w:name="_Toc1046054624"/>
      <w:r w:rsidRPr="7EEFCAA8">
        <w:rPr>
          <w:highlight w:val="yellow"/>
        </w:rPr>
        <w:t>UNIT 3.2:</w:t>
      </w:r>
      <w:r>
        <w:t xml:space="preserve"> Organization of a communication function</w:t>
      </w:r>
      <w:bookmarkEnd w:id="106"/>
    </w:p>
    <w:p w14:paraId="4A832726" w14:textId="77777777" w:rsidR="003E7BED" w:rsidRPr="00BD22BC" w:rsidRDefault="003E7BED" w:rsidP="0070692F"/>
    <w:p w14:paraId="74CCECFF" w14:textId="7FB05B2B" w:rsidR="0070692F" w:rsidRPr="00BD22BC" w:rsidRDefault="00F65D74" w:rsidP="0070692F">
      <w:r w:rsidRPr="00BD22BC">
        <w:t xml:space="preserve">The work of communication specialists has a direct impact on how an institution and its policies are perceived and received. </w:t>
      </w:r>
      <w:r w:rsidR="00EE4CE9" w:rsidRPr="00BD22BC">
        <w:t>In this section, we</w:t>
      </w:r>
      <w:r w:rsidR="0070692F" w:rsidRPr="00BD22BC">
        <w:t xml:space="preserve"> focus on the roles and importance of these communication professionals.</w:t>
      </w:r>
    </w:p>
    <w:bookmarkEnd w:id="101"/>
    <w:p w14:paraId="6890C3F4" w14:textId="77777777" w:rsidR="00651570" w:rsidRPr="00BD22BC" w:rsidRDefault="00651570" w:rsidP="00651570"/>
    <w:p w14:paraId="08B17AC0" w14:textId="162CCA93" w:rsidR="001F39E2" w:rsidRDefault="00EB5AA4" w:rsidP="0070692F">
      <w:r>
        <w:t>T</w:t>
      </w:r>
      <w:r w:rsidR="002F45DA">
        <w:t>hree main factors influence h</w:t>
      </w:r>
      <w:r w:rsidR="0070692F">
        <w:t xml:space="preserve">ow a communication function is organized. </w:t>
      </w:r>
    </w:p>
    <w:p w14:paraId="5B080A08" w14:textId="77777777" w:rsidR="00245203" w:rsidRDefault="00245203" w:rsidP="0070692F"/>
    <w:p w14:paraId="593BB3BD" w14:textId="11584096" w:rsidR="00245203" w:rsidRDefault="00245203" w:rsidP="00245203">
      <w:pPr>
        <w:rPr>
          <w:b/>
        </w:rPr>
      </w:pPr>
      <w:r w:rsidRPr="38638030">
        <w:rPr>
          <w:b/>
          <w:bCs/>
          <w:highlight w:val="yellow"/>
        </w:rPr>
        <w:t>&lt;</w:t>
      </w:r>
      <w:r>
        <w:rPr>
          <w:b/>
          <w:bCs/>
          <w:highlight w:val="yellow"/>
        </w:rPr>
        <w:t>Asset 4.3.2a_influencing factors</w:t>
      </w:r>
      <w:r w:rsidRPr="38638030">
        <w:rPr>
          <w:b/>
          <w:bCs/>
          <w:highlight w:val="yellow"/>
        </w:rPr>
        <w:t>&gt;</w:t>
      </w:r>
    </w:p>
    <w:p w14:paraId="0D2EFC44" w14:textId="4D889A91" w:rsidR="00283F88" w:rsidRPr="00BD22BC" w:rsidRDefault="00283F88" w:rsidP="00245203">
      <w:r>
        <w:t> </w:t>
      </w:r>
    </w:p>
    <w:p w14:paraId="35FB7824" w14:textId="77777777" w:rsidR="00245203" w:rsidRPr="00BD22BC" w:rsidRDefault="00245203" w:rsidP="0070692F"/>
    <w:tbl>
      <w:tblPr>
        <w:tblStyle w:val="TableGrid"/>
        <w:tblW w:w="0" w:type="auto"/>
        <w:tblLook w:val="04A0" w:firstRow="1" w:lastRow="0" w:firstColumn="1" w:lastColumn="0" w:noHBand="0" w:noVBand="1"/>
      </w:tblPr>
      <w:tblGrid>
        <w:gridCol w:w="3356"/>
        <w:gridCol w:w="3357"/>
        <w:gridCol w:w="3357"/>
      </w:tblGrid>
      <w:tr w:rsidR="004D3179" w:rsidRPr="00BD22BC" w14:paraId="040A0CF0" w14:textId="77777777" w:rsidTr="00E965F7">
        <w:tc>
          <w:tcPr>
            <w:tcW w:w="3356" w:type="dxa"/>
          </w:tcPr>
          <w:p w14:paraId="56E77354" w14:textId="77777777" w:rsidR="00E965F7" w:rsidRPr="00BD22BC" w:rsidRDefault="00E965F7" w:rsidP="00E965F7">
            <w:pPr>
              <w:jc w:val="center"/>
            </w:pPr>
            <w:r w:rsidRPr="00BD22BC">
              <w:t xml:space="preserve">Central </w:t>
            </w:r>
            <w:r w:rsidR="005548A7" w:rsidRPr="00BD22BC">
              <w:t>b</w:t>
            </w:r>
            <w:r w:rsidRPr="00BD22BC">
              <w:t xml:space="preserve">ank </w:t>
            </w:r>
            <w:r w:rsidR="005548A7" w:rsidRPr="00BD22BC">
              <w:t>g</w:t>
            </w:r>
            <w:r w:rsidRPr="00BD22BC">
              <w:t>overnance</w:t>
            </w:r>
          </w:p>
          <w:p w14:paraId="2B31FEDD" w14:textId="77777777" w:rsidR="00EE051F" w:rsidRPr="00BD22BC" w:rsidRDefault="00EE051F" w:rsidP="00E965F7">
            <w:pPr>
              <w:jc w:val="center"/>
            </w:pPr>
          </w:p>
          <w:p w14:paraId="5C6D451A" w14:textId="77AD47C1" w:rsidR="00EE051F" w:rsidRPr="00BD22BC" w:rsidRDefault="00EE051F" w:rsidP="00075A9C">
            <w:pPr>
              <w:jc w:val="center"/>
            </w:pPr>
            <w:r w:rsidRPr="00BD22BC">
              <w:rPr>
                <w:noProof/>
              </w:rPr>
              <w:drawing>
                <wp:inline distT="0" distB="0" distL="0" distR="0" wp14:anchorId="3F7F041B" wp14:editId="06CD4A5E">
                  <wp:extent cx="752475" cy="752475"/>
                  <wp:effectExtent l="0" t="0" r="9525" b="9525"/>
                  <wp:docPr id="18329395"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29395" name=""/>
                          <pic:cNvPicPr/>
                        </pic:nvPicPr>
                        <pic:blipFill>
                          <a:blip r:embed="rId32">
                            <a:extLst>
                              <a:ext uri="{96DAC541-7B7A-43D3-8B79-37D633B846F1}">
                                <asvg:svgBlip xmlns:asvg="http://schemas.microsoft.com/office/drawing/2016/SVG/main" r:embed="rId33"/>
                              </a:ext>
                            </a:extLst>
                          </a:blip>
                          <a:stretch>
                            <a:fillRect/>
                          </a:stretch>
                        </pic:blipFill>
                        <pic:spPr>
                          <a:xfrm>
                            <a:off x="0" y="0"/>
                            <a:ext cx="752475" cy="752475"/>
                          </a:xfrm>
                          <a:prstGeom prst="rect">
                            <a:avLst/>
                          </a:prstGeom>
                        </pic:spPr>
                      </pic:pic>
                    </a:graphicData>
                  </a:graphic>
                </wp:inline>
              </w:drawing>
            </w:r>
          </w:p>
        </w:tc>
        <w:tc>
          <w:tcPr>
            <w:tcW w:w="3357" w:type="dxa"/>
          </w:tcPr>
          <w:p w14:paraId="2927D9DC" w14:textId="77777777" w:rsidR="00E965F7" w:rsidRPr="00BD22BC" w:rsidRDefault="00C73024" w:rsidP="00E965F7">
            <w:pPr>
              <w:jc w:val="center"/>
            </w:pPr>
            <w:r w:rsidRPr="00BD22BC">
              <w:t>Complexity of forecasting and policy analysis system</w:t>
            </w:r>
          </w:p>
          <w:p w14:paraId="6700E304" w14:textId="0783371D" w:rsidR="00E8143C" w:rsidRPr="00BD22BC" w:rsidRDefault="00E8143C" w:rsidP="00075A9C">
            <w:pPr>
              <w:jc w:val="center"/>
            </w:pPr>
            <w:r w:rsidRPr="00BD22BC">
              <w:rPr>
                <w:noProof/>
              </w:rPr>
              <w:drawing>
                <wp:inline distT="0" distB="0" distL="0" distR="0" wp14:anchorId="4FE61638" wp14:editId="48EF5582">
                  <wp:extent cx="742950" cy="742950"/>
                  <wp:effectExtent l="0" t="0" r="0" b="0"/>
                  <wp:docPr id="1196456048"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456048" name=""/>
                          <pic:cNvPicPr/>
                        </pic:nvPicPr>
                        <pic:blipFill>
                          <a:blip r:embed="rId34">
                            <a:extLst>
                              <a:ext uri="{96DAC541-7B7A-43D3-8B79-37D633B846F1}">
                                <asvg:svgBlip xmlns:asvg="http://schemas.microsoft.com/office/drawing/2016/SVG/main" r:embed="rId35"/>
                              </a:ext>
                            </a:extLst>
                          </a:blip>
                          <a:stretch>
                            <a:fillRect/>
                          </a:stretch>
                        </pic:blipFill>
                        <pic:spPr>
                          <a:xfrm>
                            <a:off x="0" y="0"/>
                            <a:ext cx="742950" cy="742950"/>
                          </a:xfrm>
                          <a:prstGeom prst="rect">
                            <a:avLst/>
                          </a:prstGeom>
                        </pic:spPr>
                      </pic:pic>
                    </a:graphicData>
                  </a:graphic>
                </wp:inline>
              </w:drawing>
            </w:r>
          </w:p>
        </w:tc>
        <w:tc>
          <w:tcPr>
            <w:tcW w:w="3357" w:type="dxa"/>
          </w:tcPr>
          <w:p w14:paraId="57A3E070" w14:textId="77777777" w:rsidR="00E965F7" w:rsidRPr="00BD22BC" w:rsidRDefault="005548A7" w:rsidP="00E965F7">
            <w:pPr>
              <w:jc w:val="center"/>
            </w:pPr>
            <w:r w:rsidRPr="00BD22BC">
              <w:t>Policy fluency of key audiences</w:t>
            </w:r>
          </w:p>
          <w:p w14:paraId="089B156B" w14:textId="77777777" w:rsidR="00E8143C" w:rsidRPr="00BD22BC" w:rsidRDefault="00E8143C" w:rsidP="00E965F7">
            <w:pPr>
              <w:jc w:val="center"/>
            </w:pPr>
          </w:p>
          <w:p w14:paraId="2811F1DD" w14:textId="1F649135" w:rsidR="00E8143C" w:rsidRPr="00BD22BC" w:rsidRDefault="00F82F13" w:rsidP="00075A9C">
            <w:pPr>
              <w:jc w:val="center"/>
            </w:pPr>
            <w:r w:rsidRPr="00BD22BC">
              <w:rPr>
                <w:noProof/>
              </w:rPr>
              <w:drawing>
                <wp:inline distT="0" distB="0" distL="0" distR="0" wp14:anchorId="70236EA6" wp14:editId="1A58D2B0">
                  <wp:extent cx="752475" cy="523875"/>
                  <wp:effectExtent l="0" t="0" r="9525" b="9525"/>
                  <wp:docPr id="312640595"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640595" name=""/>
                          <pic:cNvPicPr/>
                        </pic:nvPicPr>
                        <pic:blipFill>
                          <a:blip r:embed="rId36">
                            <a:extLst>
                              <a:ext uri="{96DAC541-7B7A-43D3-8B79-37D633B846F1}">
                                <asvg:svgBlip xmlns:asvg="http://schemas.microsoft.com/office/drawing/2016/SVG/main" r:embed="rId37"/>
                              </a:ext>
                            </a:extLst>
                          </a:blip>
                          <a:stretch>
                            <a:fillRect/>
                          </a:stretch>
                        </pic:blipFill>
                        <pic:spPr>
                          <a:xfrm>
                            <a:off x="0" y="0"/>
                            <a:ext cx="752475" cy="523875"/>
                          </a:xfrm>
                          <a:prstGeom prst="rect">
                            <a:avLst/>
                          </a:prstGeom>
                        </pic:spPr>
                      </pic:pic>
                    </a:graphicData>
                  </a:graphic>
                </wp:inline>
              </w:drawing>
            </w:r>
          </w:p>
        </w:tc>
      </w:tr>
    </w:tbl>
    <w:p w14:paraId="2E1638A6" w14:textId="77777777" w:rsidR="00E965F7" w:rsidRPr="00BD22BC" w:rsidRDefault="00E965F7" w:rsidP="0070692F"/>
    <w:p w14:paraId="6C71C3CE" w14:textId="325DD28F" w:rsidR="0070692F" w:rsidRPr="00BD22BC" w:rsidRDefault="0070692F" w:rsidP="0070692F">
      <w:r>
        <w:t>Th</w:t>
      </w:r>
      <w:r w:rsidR="00FF70A4">
        <w:t>e</w:t>
      </w:r>
      <w:r>
        <w:t>s</w:t>
      </w:r>
      <w:r w:rsidR="00FF70A4">
        <w:t>e</w:t>
      </w:r>
      <w:r>
        <w:t xml:space="preserve"> </w:t>
      </w:r>
      <w:r w:rsidR="009846C9">
        <w:t>three factors</w:t>
      </w:r>
      <w:r w:rsidR="0088777E">
        <w:t xml:space="preserve">, </w:t>
      </w:r>
      <w:r>
        <w:t>in turn</w:t>
      </w:r>
      <w:r w:rsidR="00FF70A4">
        <w:t>,</w:t>
      </w:r>
      <w:r>
        <w:t xml:space="preserve"> determine how elaborate </w:t>
      </w:r>
      <w:r w:rsidR="00644889">
        <w:t>central banks’</w:t>
      </w:r>
      <w:r>
        <w:t xml:space="preserve"> media outputs and policy reports </w:t>
      </w:r>
      <w:r w:rsidR="00EB5AA4">
        <w:t xml:space="preserve">can </w:t>
      </w:r>
      <w:r w:rsidR="0088777E">
        <w:t>be</w:t>
      </w:r>
      <w:r>
        <w:t>.</w:t>
      </w:r>
      <w:r w:rsidR="0088777E">
        <w:t xml:space="preserve"> More advanced and forward-looking policy framework calls for proactive, </w:t>
      </w:r>
      <w:r w:rsidR="00352421">
        <w:t>well-</w:t>
      </w:r>
      <w:r w:rsidR="0088777E">
        <w:t>considered, and controlled communications</w:t>
      </w:r>
      <w:r w:rsidR="00EB5AA4" w:rsidRPr="38638030">
        <w:rPr>
          <w:rFonts w:cs="Arial"/>
        </w:rPr>
        <w:t>—</w:t>
      </w:r>
      <w:r w:rsidR="0058031C">
        <w:t>this requires</w:t>
      </w:r>
      <w:r w:rsidR="0088777E">
        <w:t xml:space="preserve"> support by a strong communication function.</w:t>
      </w:r>
    </w:p>
    <w:p w14:paraId="602BB87B" w14:textId="77777777" w:rsidR="00AF5985" w:rsidRPr="00BD22BC" w:rsidRDefault="00AF5985" w:rsidP="00CC27FC">
      <w:pPr>
        <w:spacing w:after="160" w:line="259" w:lineRule="auto"/>
      </w:pPr>
      <w:bookmarkStart w:id="107" w:name="_Hlk173190506"/>
    </w:p>
    <w:p w14:paraId="6B36DB29" w14:textId="0FD45774" w:rsidR="00CC27FC" w:rsidRDefault="00CC27FC" w:rsidP="00CC27FC">
      <w:pPr>
        <w:spacing w:after="160" w:line="259" w:lineRule="auto"/>
      </w:pPr>
      <w:r>
        <w:t xml:space="preserve">In leading central banks, both in developed and emerging market/developing countries, consensus has emerged around two main principles for organizing </w:t>
      </w:r>
      <w:r w:rsidR="009431FE">
        <w:t xml:space="preserve">the </w:t>
      </w:r>
      <w:r>
        <w:t>communication function:</w:t>
      </w:r>
    </w:p>
    <w:p w14:paraId="284FCCC3" w14:textId="550DEAAA" w:rsidR="0023627B" w:rsidRDefault="00DD4105" w:rsidP="00245203">
      <w:pPr>
        <w:rPr>
          <w:b/>
          <w:bCs/>
          <w:highlight w:val="yellow"/>
        </w:rPr>
      </w:pPr>
      <w:r>
        <w:t> </w:t>
      </w:r>
    </w:p>
    <w:p w14:paraId="49CB9964" w14:textId="77777777" w:rsidR="0023627B" w:rsidRPr="00BD22BC" w:rsidRDefault="0023627B" w:rsidP="0023627B">
      <w:pPr>
        <w:rPr>
          <w:b/>
          <w:bCs/>
        </w:rPr>
      </w:pPr>
      <w:r w:rsidRPr="38638030">
        <w:rPr>
          <w:b/>
          <w:bCs/>
          <w:highlight w:val="yellow"/>
        </w:rPr>
        <w:t xml:space="preserve">&lt;Interactive </w:t>
      </w:r>
      <w:proofErr w:type="spellStart"/>
      <w:r w:rsidRPr="38638030">
        <w:rPr>
          <w:b/>
          <w:bCs/>
          <w:highlight w:val="yellow"/>
        </w:rPr>
        <w:t>hotspot_START</w:t>
      </w:r>
      <w:proofErr w:type="spellEnd"/>
      <w:r w:rsidRPr="38638030">
        <w:rPr>
          <w:b/>
          <w:bCs/>
          <w:highlight w:val="yellow"/>
        </w:rPr>
        <w:t>&gt;</w:t>
      </w:r>
    </w:p>
    <w:p w14:paraId="362F1AAC" w14:textId="77777777" w:rsidR="0023627B" w:rsidRDefault="0023627B" w:rsidP="00245203">
      <w:pPr>
        <w:rPr>
          <w:b/>
          <w:bCs/>
          <w:highlight w:val="yellow"/>
        </w:rPr>
      </w:pPr>
    </w:p>
    <w:p w14:paraId="135DA33D" w14:textId="030D7431" w:rsidR="00245203" w:rsidRPr="00BD22BC" w:rsidRDefault="00245203" w:rsidP="00245203">
      <w:r w:rsidRPr="38638030">
        <w:rPr>
          <w:b/>
          <w:bCs/>
          <w:highlight w:val="yellow"/>
        </w:rPr>
        <w:t>&lt;</w:t>
      </w:r>
      <w:r>
        <w:rPr>
          <w:b/>
          <w:bCs/>
          <w:highlight w:val="yellow"/>
        </w:rPr>
        <w:t>Asset 4.3.2b_influencing factors</w:t>
      </w:r>
      <w:r w:rsidRPr="38638030">
        <w:rPr>
          <w:b/>
          <w:bCs/>
          <w:highlight w:val="yellow"/>
        </w:rPr>
        <w:t>&gt;</w:t>
      </w:r>
    </w:p>
    <w:p w14:paraId="115C0C17" w14:textId="77777777" w:rsidR="00B10A74" w:rsidRPr="00BD22BC" w:rsidRDefault="00CC27FC" w:rsidP="00CC27FC">
      <w:pPr>
        <w:pStyle w:val="ListParagraph"/>
        <w:numPr>
          <w:ilvl w:val="0"/>
          <w:numId w:val="32"/>
        </w:numPr>
        <w:spacing w:after="160" w:line="259" w:lineRule="auto"/>
      </w:pPr>
      <w:r>
        <w:t>A dedicated Department of Communication is established and properly staffed</w:t>
      </w:r>
    </w:p>
    <w:p w14:paraId="60B27049" w14:textId="5D51926B" w:rsidR="00B10A74" w:rsidRPr="00BD22BC" w:rsidRDefault="00CC27FC" w:rsidP="000D1920">
      <w:pPr>
        <w:pStyle w:val="ListParagraph"/>
        <w:numPr>
          <w:ilvl w:val="0"/>
          <w:numId w:val="32"/>
        </w:numPr>
        <w:spacing w:after="160" w:line="259" w:lineRule="auto"/>
      </w:pPr>
      <w:r>
        <w:t>Director of Communication reports to the Governor</w:t>
      </w:r>
      <w:r w:rsidR="00352421">
        <w:t xml:space="preserve"> (or Chairman)</w:t>
      </w:r>
      <w:r>
        <w:t xml:space="preserve"> </w:t>
      </w:r>
      <w:r w:rsidR="00352421">
        <w:t>and serves as the institution’s spokesperson</w:t>
      </w:r>
    </w:p>
    <w:p w14:paraId="396DCB1A" w14:textId="77777777" w:rsidR="0088777E" w:rsidRPr="00BD22BC" w:rsidRDefault="0088777E" w:rsidP="0088777E"/>
    <w:p w14:paraId="742C3DEF" w14:textId="7D5020EB" w:rsidR="00754789" w:rsidRPr="00BD22BC" w:rsidRDefault="00352421" w:rsidP="00754789">
      <w:pPr>
        <w:spacing w:after="160" w:line="259" w:lineRule="auto"/>
        <w:rPr>
          <w:b/>
          <w:bCs/>
        </w:rPr>
      </w:pPr>
      <w:r w:rsidRPr="0023627B">
        <w:rPr>
          <w:b/>
          <w:bCs/>
        </w:rPr>
        <w:lastRenderedPageBreak/>
        <w:t xml:space="preserve">Dedicated </w:t>
      </w:r>
      <w:r w:rsidR="00754789" w:rsidRPr="1BB63DC4">
        <w:rPr>
          <w:b/>
          <w:bCs/>
        </w:rPr>
        <w:t>Department</w:t>
      </w:r>
      <w:r w:rsidR="00B0410C" w:rsidRPr="1BB63DC4">
        <w:rPr>
          <w:b/>
          <w:bCs/>
        </w:rPr>
        <w:t xml:space="preserve"> of Communication </w:t>
      </w:r>
    </w:p>
    <w:p w14:paraId="3BEE0566" w14:textId="269878C4" w:rsidR="00746026" w:rsidRPr="00BD22BC" w:rsidRDefault="0056672D" w:rsidP="006C1E74">
      <w:pPr>
        <w:spacing w:after="160" w:line="259" w:lineRule="auto"/>
      </w:pPr>
      <w:bookmarkStart w:id="108" w:name="_Hlk169562225"/>
      <w:r>
        <w:t xml:space="preserve">The best practice is to have the department as a standalone unit, as part of a wider office of the central bank </w:t>
      </w:r>
      <w:r w:rsidR="00EB5AA4">
        <w:t>g</w:t>
      </w:r>
      <w:r>
        <w:t xml:space="preserve">overnor. </w:t>
      </w:r>
      <w:r w:rsidR="006C1E74">
        <w:t>Its</w:t>
      </w:r>
      <w:r>
        <w:t xml:space="preserve"> main responsibility is managing internal and external communications. </w:t>
      </w:r>
    </w:p>
    <w:p w14:paraId="38709AC8" w14:textId="77777777" w:rsidR="00746026" w:rsidRPr="00BD22BC" w:rsidRDefault="0056672D" w:rsidP="0056672D">
      <w:pPr>
        <w:spacing w:after="160" w:line="259" w:lineRule="auto"/>
      </w:pPr>
      <w:r w:rsidRPr="00BD22BC">
        <w:t>Key roles include</w:t>
      </w:r>
      <w:r w:rsidR="00746026" w:rsidRPr="00BD22BC">
        <w:t>:</w:t>
      </w:r>
      <w:r w:rsidRPr="00BD22BC">
        <w:t xml:space="preserve"> </w:t>
      </w:r>
    </w:p>
    <w:p w14:paraId="14C20097" w14:textId="015D291B" w:rsidR="00746026" w:rsidRPr="00BD22BC" w:rsidRDefault="0056672D" w:rsidP="00746026">
      <w:pPr>
        <w:pStyle w:val="ListParagraph"/>
        <w:numPr>
          <w:ilvl w:val="0"/>
          <w:numId w:val="37"/>
        </w:numPr>
        <w:spacing w:after="160" w:line="259" w:lineRule="auto"/>
      </w:pPr>
      <w:r>
        <w:t>public relations with a focus on media</w:t>
      </w:r>
      <w:r w:rsidR="00746026">
        <w:t xml:space="preserve"> (crafting and disseminating press releases)</w:t>
      </w:r>
      <w:r>
        <w:t xml:space="preserve">, events </w:t>
      </w:r>
      <w:r w:rsidR="00746026">
        <w:t>(organizing press conferences</w:t>
      </w:r>
      <w:r w:rsidR="00DC75B5">
        <w:t>, expert meetings and other public for</w:t>
      </w:r>
      <w:r w:rsidR="00EB5AA4">
        <w:t>ums</w:t>
      </w:r>
      <w:r w:rsidR="00746026">
        <w:t xml:space="preserve">) </w:t>
      </w:r>
      <w:r>
        <w:t xml:space="preserve">and public inquiries, </w:t>
      </w:r>
    </w:p>
    <w:p w14:paraId="5B096809" w14:textId="7D99CDC6" w:rsidR="0056672D" w:rsidRPr="00BD22BC" w:rsidRDefault="0056672D" w:rsidP="00746026">
      <w:pPr>
        <w:pStyle w:val="ListParagraph"/>
        <w:numPr>
          <w:ilvl w:val="0"/>
          <w:numId w:val="37"/>
        </w:numPr>
        <w:spacing w:after="160" w:line="259" w:lineRule="auto"/>
      </w:pPr>
      <w:r w:rsidRPr="00BD22BC">
        <w:t xml:space="preserve">managing the official website and digital platforms </w:t>
      </w:r>
    </w:p>
    <w:p w14:paraId="4E74F561" w14:textId="10782609" w:rsidR="00746026" w:rsidRPr="00BD22BC" w:rsidRDefault="00746026" w:rsidP="00746026">
      <w:pPr>
        <w:pStyle w:val="ListParagraph"/>
        <w:numPr>
          <w:ilvl w:val="0"/>
          <w:numId w:val="37"/>
        </w:numPr>
        <w:spacing w:after="160" w:line="259" w:lineRule="auto"/>
      </w:pPr>
      <w:r w:rsidRPr="00BD22BC">
        <w:t>facilitating internal communication, and managing internal online platform (intranet)</w:t>
      </w:r>
    </w:p>
    <w:p w14:paraId="126F5741" w14:textId="4E68B196" w:rsidR="00DC75B5" w:rsidRPr="00BD22BC" w:rsidRDefault="00DC75B5" w:rsidP="00746026">
      <w:pPr>
        <w:pStyle w:val="ListParagraph"/>
        <w:numPr>
          <w:ilvl w:val="0"/>
          <w:numId w:val="37"/>
        </w:numPr>
        <w:spacing w:after="160" w:line="259" w:lineRule="auto"/>
      </w:pPr>
      <w:r w:rsidRPr="00BD22BC">
        <w:t>speechwriting (a dedicated speechwriting function is a feature of advanced countries’ central banks; in emerging countries’ central banks, expert department</w:t>
      </w:r>
      <w:r w:rsidR="009B2BFF" w:rsidRPr="00BD22BC">
        <w:t>s</w:t>
      </w:r>
      <w:r w:rsidRPr="00BD22BC">
        <w:t xml:space="preserve"> </w:t>
      </w:r>
      <w:r w:rsidR="009B2BFF" w:rsidRPr="00BD22BC">
        <w:t xml:space="preserve">are </w:t>
      </w:r>
      <w:r w:rsidRPr="00BD22BC">
        <w:t>usually tasked with writing policymakers’ speeches)</w:t>
      </w:r>
    </w:p>
    <w:p w14:paraId="73650F03" w14:textId="7EC63F1C" w:rsidR="00746026" w:rsidRPr="00BD22BC" w:rsidRDefault="00746026" w:rsidP="0056672D">
      <w:pPr>
        <w:pStyle w:val="ListParagraph"/>
        <w:numPr>
          <w:ilvl w:val="0"/>
          <w:numId w:val="37"/>
        </w:numPr>
        <w:spacing w:after="160" w:line="259" w:lineRule="auto"/>
      </w:pPr>
      <w:r>
        <w:t>editorial functions, particularly editing and translating of main publications,</w:t>
      </w:r>
      <w:r w:rsidR="004E0E1E">
        <w:t xml:space="preserve"> including research publications by the agency (</w:t>
      </w:r>
      <w:r w:rsidR="000451D5">
        <w:t xml:space="preserve">e.g., </w:t>
      </w:r>
      <w:r w:rsidR="00EB5AA4">
        <w:t>w</w:t>
      </w:r>
      <w:r w:rsidR="004E0E1E">
        <w:t xml:space="preserve">orking </w:t>
      </w:r>
      <w:r w:rsidR="00EB5AA4">
        <w:t>p</w:t>
      </w:r>
      <w:r w:rsidR="004E0E1E">
        <w:t xml:space="preserve">aper </w:t>
      </w:r>
      <w:r w:rsidR="000451D5">
        <w:t>s</w:t>
      </w:r>
      <w:r w:rsidR="004E0E1E">
        <w:t>eries)</w:t>
      </w:r>
    </w:p>
    <w:p w14:paraId="59B68F8C" w14:textId="577B598A" w:rsidR="00746026" w:rsidRPr="00BD22BC" w:rsidRDefault="0056672D" w:rsidP="0056672D">
      <w:pPr>
        <w:pStyle w:val="ListParagraph"/>
        <w:numPr>
          <w:ilvl w:val="0"/>
          <w:numId w:val="37"/>
        </w:numPr>
        <w:spacing w:after="160" w:line="259" w:lineRule="auto"/>
      </w:pPr>
      <w:r w:rsidRPr="00BD22BC">
        <w:t>monitor</w:t>
      </w:r>
      <w:r w:rsidR="00746026" w:rsidRPr="00BD22BC">
        <w:t>ing and evaluation of</w:t>
      </w:r>
      <w:r w:rsidRPr="00BD22BC">
        <w:t xml:space="preserve"> media coverage</w:t>
      </w:r>
      <w:r w:rsidR="00DC75B5" w:rsidRPr="00BD22BC">
        <w:t>, messaging resonance, policy pickup</w:t>
      </w:r>
      <w:r w:rsidR="00746026" w:rsidRPr="00BD22BC">
        <w:t xml:space="preserve"> and public image</w:t>
      </w:r>
      <w:r w:rsidRPr="00BD22BC">
        <w:t xml:space="preserve">, </w:t>
      </w:r>
      <w:r w:rsidR="00746026" w:rsidRPr="00BD22BC">
        <w:t>for</w:t>
      </w:r>
      <w:r w:rsidRPr="00BD22BC">
        <w:t xml:space="preserve"> feedback to refine communication strateg</w:t>
      </w:r>
      <w:r w:rsidR="00746026" w:rsidRPr="00BD22BC">
        <w:t>y</w:t>
      </w:r>
    </w:p>
    <w:p w14:paraId="7C2AD610" w14:textId="3226DBB3" w:rsidR="0056672D" w:rsidRPr="00BD22BC" w:rsidRDefault="00746026" w:rsidP="0031586F">
      <w:pPr>
        <w:pStyle w:val="ListParagraph"/>
        <w:numPr>
          <w:ilvl w:val="0"/>
          <w:numId w:val="37"/>
        </w:numPr>
        <w:spacing w:after="160" w:line="259" w:lineRule="auto"/>
      </w:pPr>
      <w:r w:rsidRPr="00BD22BC">
        <w:t>educational activities</w:t>
      </w:r>
      <w:r w:rsidR="0056672D" w:rsidRPr="00BD22BC">
        <w:t xml:space="preserve"> to enhance public understanding of financial and economic issues</w:t>
      </w:r>
    </w:p>
    <w:p w14:paraId="383D4639" w14:textId="25C33CD3" w:rsidR="0056672D" w:rsidRPr="00BD22BC" w:rsidRDefault="00E8165F" w:rsidP="00754789">
      <w:pPr>
        <w:spacing w:after="160" w:line="259" w:lineRule="auto"/>
      </w:pPr>
      <w:r>
        <w:t>Traditionally</w:t>
      </w:r>
      <w:r w:rsidR="00A41356">
        <w:t xml:space="preserve">, media relations have occupied a substantial portion of a communication team’s time. However, </w:t>
      </w:r>
      <w:r w:rsidR="00EB5AA4">
        <w:t>a growing</w:t>
      </w:r>
      <w:r w:rsidR="00A41356">
        <w:t xml:space="preserve"> trend </w:t>
      </w:r>
      <w:r w:rsidR="00EB5AA4">
        <w:t xml:space="preserve">is </w:t>
      </w:r>
      <w:r w:rsidR="00A41356">
        <w:t>prioritizing digital platforms and direct public outreach to a diverse range of audiences.</w:t>
      </w:r>
    </w:p>
    <w:p w14:paraId="3A1204C3" w14:textId="641B07F2" w:rsidR="00754789" w:rsidRPr="00BD22BC" w:rsidRDefault="00FB1D26" w:rsidP="00754789">
      <w:pPr>
        <w:spacing w:after="160" w:line="259" w:lineRule="auto"/>
      </w:pPr>
      <w:bookmarkStart w:id="109" w:name="_Hlk173188329"/>
      <w:r>
        <w:t>Besides this core responsibility</w:t>
      </w:r>
      <w:r w:rsidR="003E7BED">
        <w:t xml:space="preserve"> for public and media relations</w:t>
      </w:r>
      <w:r>
        <w:t xml:space="preserve">, the </w:t>
      </w:r>
      <w:r w:rsidR="00AB6A8E">
        <w:t xml:space="preserve">relative share of the above </w:t>
      </w:r>
      <w:r>
        <w:t xml:space="preserve">communication </w:t>
      </w:r>
      <w:r w:rsidR="000F4956">
        <w:t xml:space="preserve">roles </w:t>
      </w:r>
      <w:r>
        <w:t>varies greatly among central banks, given the variability of their governance setups</w:t>
      </w:r>
      <w:r w:rsidR="000F4956">
        <w:t xml:space="preserve"> and </w:t>
      </w:r>
      <w:r w:rsidR="003E7BED">
        <w:t>policy fluency</w:t>
      </w:r>
      <w:r w:rsidR="000F4956">
        <w:t xml:space="preserve"> of the audiences</w:t>
      </w:r>
      <w:r>
        <w:t>.</w:t>
      </w:r>
    </w:p>
    <w:bookmarkEnd w:id="108"/>
    <w:bookmarkEnd w:id="109"/>
    <w:p w14:paraId="2A53A6F7" w14:textId="07AB9802" w:rsidR="00754789" w:rsidRPr="00BD22BC" w:rsidRDefault="00754789" w:rsidP="00754789">
      <w:pPr>
        <w:spacing w:after="160" w:line="259" w:lineRule="auto"/>
        <w:rPr>
          <w:b/>
          <w:bCs/>
        </w:rPr>
      </w:pPr>
      <w:r w:rsidRPr="38638030">
        <w:rPr>
          <w:b/>
          <w:bCs/>
        </w:rPr>
        <w:t xml:space="preserve">Director of </w:t>
      </w:r>
      <w:r w:rsidR="00EB5AA4" w:rsidRPr="38638030">
        <w:rPr>
          <w:b/>
          <w:bCs/>
        </w:rPr>
        <w:t>c</w:t>
      </w:r>
      <w:r w:rsidRPr="38638030">
        <w:rPr>
          <w:b/>
          <w:bCs/>
        </w:rPr>
        <w:t xml:space="preserve">ommunication </w:t>
      </w:r>
      <w:r w:rsidR="00352421" w:rsidRPr="38638030">
        <w:rPr>
          <w:b/>
          <w:bCs/>
        </w:rPr>
        <w:t xml:space="preserve">reporting to the </w:t>
      </w:r>
      <w:r w:rsidR="00EB5AA4" w:rsidRPr="38638030">
        <w:rPr>
          <w:b/>
          <w:bCs/>
        </w:rPr>
        <w:t>g</w:t>
      </w:r>
      <w:r w:rsidR="00352421" w:rsidRPr="38638030">
        <w:rPr>
          <w:b/>
          <w:bCs/>
        </w:rPr>
        <w:t>overnor</w:t>
      </w:r>
    </w:p>
    <w:p w14:paraId="47914C8B" w14:textId="64FB1A1C" w:rsidR="00FB1D26" w:rsidRPr="00BD22BC" w:rsidRDefault="00FB1D26" w:rsidP="00754789">
      <w:pPr>
        <w:spacing w:after="160" w:line="259" w:lineRule="auto"/>
      </w:pPr>
      <w:r>
        <w:t xml:space="preserve">As head of the department, the </w:t>
      </w:r>
      <w:r w:rsidR="00EB5AA4">
        <w:t>d</w:t>
      </w:r>
      <w:r>
        <w:t xml:space="preserve">irector of </w:t>
      </w:r>
      <w:r w:rsidR="00EB5AA4">
        <w:t>c</w:t>
      </w:r>
      <w:r>
        <w:t xml:space="preserve">ommunication most commonly serves as the central bank’s official spokesperson for nonpolicy topics. In this capacity, the </w:t>
      </w:r>
      <w:r w:rsidR="00EB5AA4">
        <w:t>d</w:t>
      </w:r>
      <w:r>
        <w:t xml:space="preserve">irector should ideally report directly to the central bank </w:t>
      </w:r>
      <w:r w:rsidR="00EB5AA4">
        <w:t>g</w:t>
      </w:r>
      <w:r>
        <w:t>overnor, have unrestricted access to top-level policy maker</w:t>
      </w:r>
      <w:r w:rsidR="00EB12AE">
        <w:t>(s)</w:t>
      </w:r>
      <w:r w:rsidR="00515FC7">
        <w:t xml:space="preserve">, </w:t>
      </w:r>
      <w:r>
        <w:t>and ensure smooth coordination of communication across a central bank’s array of policies.</w:t>
      </w:r>
    </w:p>
    <w:p w14:paraId="169A94CB" w14:textId="2EA10C1D" w:rsidR="00A90063" w:rsidRPr="00BD22BC" w:rsidRDefault="00A90063" w:rsidP="00A90063">
      <w:pPr>
        <w:rPr>
          <w:b/>
          <w:bCs/>
        </w:rPr>
      </w:pPr>
      <w:r w:rsidRPr="1BB63DC4">
        <w:rPr>
          <w:b/>
          <w:bCs/>
          <w:highlight w:val="yellow"/>
        </w:rPr>
        <w:t xml:space="preserve">&lt;Interactive </w:t>
      </w:r>
      <w:r w:rsidR="00D011C3" w:rsidRPr="1BB63DC4">
        <w:rPr>
          <w:b/>
          <w:bCs/>
          <w:highlight w:val="yellow"/>
        </w:rPr>
        <w:t>hotspot</w:t>
      </w:r>
      <w:r w:rsidRPr="1BB63DC4">
        <w:rPr>
          <w:b/>
          <w:bCs/>
          <w:highlight w:val="yellow"/>
        </w:rPr>
        <w:t xml:space="preserve"> END&gt;</w:t>
      </w:r>
    </w:p>
    <w:p w14:paraId="32577448" w14:textId="77777777" w:rsidR="00B41BF5" w:rsidRPr="00BD22BC" w:rsidRDefault="00B41BF5" w:rsidP="00B41BF5">
      <w:pPr>
        <w:pBdr>
          <w:bottom w:val="single" w:sz="6" w:space="1" w:color="auto"/>
        </w:pBdr>
        <w:spacing w:after="160" w:line="259" w:lineRule="auto"/>
      </w:pPr>
      <w:bookmarkStart w:id="110" w:name="_Hlk174801303"/>
      <w:bookmarkEnd w:id="107"/>
    </w:p>
    <w:bookmarkEnd w:id="110"/>
    <w:p w14:paraId="520592D9" w14:textId="77777777" w:rsidR="0067768C" w:rsidRPr="00BD22BC" w:rsidRDefault="0067768C" w:rsidP="00B41BF5">
      <w:pPr>
        <w:spacing w:after="160" w:line="259" w:lineRule="auto"/>
      </w:pPr>
    </w:p>
    <w:p w14:paraId="353868C1" w14:textId="2423736C" w:rsidR="00D15B77" w:rsidRPr="00BD22BC" w:rsidRDefault="000F7AE9" w:rsidP="00087B83">
      <w:pPr>
        <w:pStyle w:val="Heading2"/>
      </w:pPr>
      <w:r w:rsidRPr="1BB63DC4">
        <w:rPr>
          <w:highlight w:val="yellow"/>
        </w:rPr>
        <w:t>UNIT 3.</w:t>
      </w:r>
      <w:r w:rsidR="00087B83">
        <w:rPr>
          <w:highlight w:val="yellow"/>
        </w:rPr>
        <w:t>3</w:t>
      </w:r>
      <w:r w:rsidR="00B0410C" w:rsidRPr="1BB63DC4">
        <w:rPr>
          <w:highlight w:val="yellow"/>
        </w:rPr>
        <w:t xml:space="preserve">: </w:t>
      </w:r>
      <w:r w:rsidRPr="1BB63DC4">
        <w:rPr>
          <w:highlight w:val="yellow"/>
        </w:rPr>
        <w:t xml:space="preserve">To whom </w:t>
      </w:r>
      <w:r w:rsidR="2B686637" w:rsidRPr="1BB63DC4">
        <w:rPr>
          <w:highlight w:val="yellow"/>
        </w:rPr>
        <w:t xml:space="preserve">does </w:t>
      </w:r>
      <w:r w:rsidRPr="1BB63DC4">
        <w:rPr>
          <w:highlight w:val="yellow"/>
        </w:rPr>
        <w:t>a central bank communicate</w:t>
      </w:r>
      <w:r w:rsidR="00B41BF5" w:rsidRPr="1BB63DC4">
        <w:rPr>
          <w:highlight w:val="yellow"/>
        </w:rPr>
        <w:t>?</w:t>
      </w:r>
    </w:p>
    <w:p w14:paraId="30D35F12" w14:textId="77777777" w:rsidR="00B04DD9" w:rsidRPr="00BD22BC" w:rsidRDefault="00B04DD9" w:rsidP="00731F30"/>
    <w:p w14:paraId="33EE6D95" w14:textId="0C89E11B" w:rsidR="00BE62E1" w:rsidRPr="00BD22BC" w:rsidRDefault="002E723C" w:rsidP="00BE62E1">
      <w:r>
        <w:t>E</w:t>
      </w:r>
      <w:r w:rsidR="00BE62E1">
        <w:t>ffective implementation of a policy communication strategy requires central banks to understand their target audiences. No wonder leading central banks invest time and money in proactively mapping key stakeholders and their preferences. This allows them to more effectively tailor their communication.</w:t>
      </w:r>
    </w:p>
    <w:p w14:paraId="5CEEAAF1" w14:textId="77777777" w:rsidR="00BE62E1" w:rsidRPr="00BD22BC" w:rsidRDefault="00BE62E1" w:rsidP="00BE62E1"/>
    <w:p w14:paraId="76FFA935" w14:textId="3B69BD7E" w:rsidR="00BE62E1" w:rsidRPr="00BD22BC" w:rsidRDefault="002D5627" w:rsidP="00BE62E1">
      <w:r w:rsidRPr="00BD22BC">
        <w:t>S</w:t>
      </w:r>
      <w:r w:rsidR="00BE62E1" w:rsidRPr="00BD22BC">
        <w:t>egmenting and understanding target audiences enhances communication strategies.</w:t>
      </w:r>
      <w:r w:rsidR="00CF51D1" w:rsidRPr="00BD22BC">
        <w:t xml:space="preserve"> </w:t>
      </w:r>
      <w:r w:rsidR="00BE62E1" w:rsidRPr="00BD22BC">
        <w:t xml:space="preserve">There </w:t>
      </w:r>
      <w:r w:rsidR="00B721D6" w:rsidRPr="00BD22BC">
        <w:t>are</w:t>
      </w:r>
      <w:r w:rsidR="00BE62E1" w:rsidRPr="00BD22BC">
        <w:t xml:space="preserve"> various ways of segmenting target audiences.</w:t>
      </w:r>
      <w:r w:rsidR="007A4394" w:rsidRPr="00BD22BC">
        <w:t xml:space="preserve"> </w:t>
      </w:r>
    </w:p>
    <w:p w14:paraId="490B5DCD" w14:textId="77777777" w:rsidR="00BE62E1" w:rsidRPr="00BD22BC" w:rsidRDefault="00BE62E1" w:rsidP="00BE62E1"/>
    <w:p w14:paraId="0EDD71A7" w14:textId="079C9099" w:rsidR="00BE62E1" w:rsidRPr="00BD22BC" w:rsidRDefault="007A4394" w:rsidP="00BE62E1">
      <w:r w:rsidRPr="00BD22BC">
        <w:t xml:space="preserve">In the simplest form, two </w:t>
      </w:r>
      <w:r w:rsidR="00BE62E1" w:rsidRPr="00BD22BC">
        <w:t xml:space="preserve">main </w:t>
      </w:r>
      <w:r w:rsidRPr="00BD22BC">
        <w:t xml:space="preserve">target </w:t>
      </w:r>
      <w:r w:rsidR="00BE62E1" w:rsidRPr="00BD22BC">
        <w:t xml:space="preserve">groups </w:t>
      </w:r>
      <w:r w:rsidRPr="00BD22BC">
        <w:t>are</w:t>
      </w:r>
      <w:r w:rsidR="00BE62E1" w:rsidRPr="00BD22BC">
        <w:t xml:space="preserve"> considered: professional audiences and the </w:t>
      </w:r>
      <w:r w:rsidR="65B30FC4" w:rsidRPr="00BD22BC">
        <w:t xml:space="preserve">general </w:t>
      </w:r>
      <w:r w:rsidR="00FA6CBE" w:rsidRPr="00BD22BC">
        <w:t>public</w:t>
      </w:r>
      <w:r w:rsidR="00BE62E1" w:rsidRPr="00BD22BC">
        <w:t xml:space="preserve">, also known as the </w:t>
      </w:r>
      <w:r w:rsidR="00D02753" w:rsidRPr="00BD22BC">
        <w:t xml:space="preserve">layperson </w:t>
      </w:r>
      <w:r w:rsidR="00BE62E1" w:rsidRPr="00BD22BC">
        <w:t xml:space="preserve">audience. </w:t>
      </w:r>
      <w:r w:rsidRPr="00BD22BC">
        <w:t>To get tailored and effective messaging toward each group, central banks segment these core audiences even further.</w:t>
      </w:r>
    </w:p>
    <w:p w14:paraId="03A9A2E4" w14:textId="77777777" w:rsidR="00DF3503" w:rsidRPr="00BD22BC" w:rsidRDefault="00DF3503" w:rsidP="001851C6">
      <w:pPr>
        <w:rPr>
          <w:b/>
          <w:bCs/>
          <w:highlight w:val="yellow"/>
        </w:rPr>
      </w:pPr>
    </w:p>
    <w:p w14:paraId="2BC26644" w14:textId="77BB1221" w:rsidR="001851C6" w:rsidRPr="00BD22BC" w:rsidRDefault="001851C6" w:rsidP="001851C6">
      <w:pPr>
        <w:rPr>
          <w:b/>
          <w:bCs/>
        </w:rPr>
      </w:pPr>
      <w:r w:rsidRPr="1BB63DC4">
        <w:rPr>
          <w:b/>
          <w:bCs/>
          <w:highlight w:val="yellow"/>
        </w:rPr>
        <w:lastRenderedPageBreak/>
        <w:t xml:space="preserve">&lt;Interactive </w:t>
      </w:r>
      <w:r w:rsidR="00DF3503" w:rsidRPr="1BB63DC4">
        <w:rPr>
          <w:b/>
          <w:bCs/>
          <w:highlight w:val="yellow"/>
        </w:rPr>
        <w:t>hotspot</w:t>
      </w:r>
      <w:r w:rsidR="00236962" w:rsidRPr="1BB63DC4">
        <w:rPr>
          <w:b/>
          <w:bCs/>
          <w:highlight w:val="yellow"/>
        </w:rPr>
        <w:t xml:space="preserve"> OR STATIC VISUAL</w:t>
      </w:r>
      <w:r w:rsidRPr="1BB63DC4">
        <w:rPr>
          <w:b/>
          <w:bCs/>
          <w:highlight w:val="yellow"/>
        </w:rPr>
        <w:t>_START&gt;</w:t>
      </w:r>
    </w:p>
    <w:p w14:paraId="5D87EE81" w14:textId="77777777" w:rsidR="00940DB0" w:rsidRDefault="00940DB0" w:rsidP="001851C6">
      <w:pPr>
        <w:rPr>
          <w:b/>
          <w:bCs/>
        </w:rPr>
      </w:pPr>
    </w:p>
    <w:p w14:paraId="25BB8925" w14:textId="47061BB0" w:rsidR="00087B83" w:rsidRPr="00BD22BC" w:rsidRDefault="00087B83" w:rsidP="00087B83">
      <w:r w:rsidRPr="38638030">
        <w:rPr>
          <w:b/>
          <w:bCs/>
          <w:highlight w:val="yellow"/>
        </w:rPr>
        <w:t>&lt;</w:t>
      </w:r>
      <w:r>
        <w:rPr>
          <w:b/>
          <w:bCs/>
          <w:highlight w:val="yellow"/>
        </w:rPr>
        <w:t>Asset 4.3.3_</w:t>
      </w:r>
      <w:r w:rsidR="0011580F">
        <w:rPr>
          <w:b/>
          <w:bCs/>
          <w:highlight w:val="yellow"/>
        </w:rPr>
        <w:t>audience segmentation</w:t>
      </w:r>
      <w:r w:rsidRPr="38638030">
        <w:rPr>
          <w:b/>
          <w:bCs/>
          <w:highlight w:val="yellow"/>
        </w:rPr>
        <w:t>&gt;</w:t>
      </w:r>
    </w:p>
    <w:p w14:paraId="1BAF0B48" w14:textId="77777777" w:rsidR="00087B83" w:rsidRPr="00BD22BC" w:rsidRDefault="00087B83" w:rsidP="001851C6">
      <w:pPr>
        <w:rPr>
          <w:b/>
          <w:bCs/>
        </w:rPr>
      </w:pPr>
    </w:p>
    <w:p w14:paraId="5479E2A4" w14:textId="7FD52BDD" w:rsidR="00940DB0" w:rsidRPr="00BD22BC" w:rsidRDefault="000E4387" w:rsidP="00940DB0">
      <w:r w:rsidRPr="00BD22BC">
        <w:rPr>
          <w:rFonts w:cs="Arial"/>
          <w:noProof/>
          <w:szCs w:val="26"/>
        </w:rPr>
        <w:drawing>
          <wp:inline distT="0" distB="0" distL="0" distR="0" wp14:anchorId="5CF46E17" wp14:editId="34DFD7C1">
            <wp:extent cx="5486400" cy="3200400"/>
            <wp:effectExtent l="0" t="0" r="0" b="19050"/>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8" r:lo="rId39" r:qs="rId40" r:cs="rId41"/>
              </a:graphicData>
            </a:graphic>
          </wp:inline>
        </w:drawing>
      </w:r>
      <w:r w:rsidRPr="00BD22BC" w:rsidDel="000E4387">
        <w:t xml:space="preserve"> </w:t>
      </w:r>
    </w:p>
    <w:p w14:paraId="391D6695" w14:textId="398FB3EC" w:rsidR="00AE55AA" w:rsidRPr="00BD22BC" w:rsidRDefault="00AE55AA" w:rsidP="00940DB0">
      <w:r>
        <w:t> </w:t>
      </w:r>
    </w:p>
    <w:p w14:paraId="62F8A0D1" w14:textId="77777777" w:rsidR="00940DB0" w:rsidRPr="00BD22BC" w:rsidRDefault="00940DB0" w:rsidP="00940DB0">
      <w:pPr>
        <w:rPr>
          <w:b/>
          <w:bCs/>
        </w:rPr>
      </w:pPr>
      <w:r w:rsidRPr="00BD22BC">
        <w:rPr>
          <w:b/>
          <w:bCs/>
        </w:rPr>
        <w:t>Professionals</w:t>
      </w:r>
    </w:p>
    <w:p w14:paraId="241B55B3" w14:textId="7BF39A65" w:rsidR="004A5E57" w:rsidRPr="00BD22BC" w:rsidRDefault="004A5E57" w:rsidP="004A5E57">
      <w:pPr>
        <w:pStyle w:val="ListParagraph"/>
        <w:numPr>
          <w:ilvl w:val="0"/>
          <w:numId w:val="32"/>
        </w:numPr>
      </w:pPr>
      <w:r w:rsidRPr="00596897">
        <w:rPr>
          <w:b/>
          <w:bCs/>
        </w:rPr>
        <w:t>Business leaders</w:t>
      </w:r>
      <w:r w:rsidR="007A6E20">
        <w:t xml:space="preserve">: This </w:t>
      </w:r>
      <w:r w:rsidRPr="00BD22BC">
        <w:t>inc</w:t>
      </w:r>
      <w:r w:rsidR="007A6E20">
        <w:t>ludes</w:t>
      </w:r>
      <w:r w:rsidRPr="00BD22BC">
        <w:t xml:space="preserve"> bank CEOs and company CEOs</w:t>
      </w:r>
      <w:r w:rsidR="007A6E20">
        <w:t>.</w:t>
      </w:r>
    </w:p>
    <w:p w14:paraId="2E0417D2" w14:textId="693D5F3C" w:rsidR="00940DB0" w:rsidRPr="00BD22BC" w:rsidRDefault="00940DB0" w:rsidP="00940DB0">
      <w:pPr>
        <w:pStyle w:val="ListParagraph"/>
        <w:numPr>
          <w:ilvl w:val="0"/>
          <w:numId w:val="32"/>
        </w:numPr>
      </w:pPr>
      <w:r w:rsidRPr="00596897">
        <w:rPr>
          <w:b/>
          <w:bCs/>
        </w:rPr>
        <w:t xml:space="preserve">Economic </w:t>
      </w:r>
      <w:r w:rsidR="000C11B4" w:rsidRPr="00596897">
        <w:rPr>
          <w:b/>
          <w:bCs/>
        </w:rPr>
        <w:t>experts and analysts</w:t>
      </w:r>
      <w:r w:rsidR="007A6E20">
        <w:t xml:space="preserve">: This includes </w:t>
      </w:r>
      <w:r w:rsidRPr="00BD22BC">
        <w:t>economists with banks and corporations</w:t>
      </w:r>
      <w:r w:rsidR="00A41356" w:rsidRPr="00BD22BC">
        <w:t>, or experts in academia</w:t>
      </w:r>
      <w:r w:rsidR="007A6E20">
        <w:t>.</w:t>
      </w:r>
    </w:p>
    <w:p w14:paraId="5D941C24" w14:textId="4C848470" w:rsidR="00940DB0" w:rsidRPr="00BD22BC" w:rsidRDefault="00940DB0" w:rsidP="00940DB0">
      <w:pPr>
        <w:pStyle w:val="ListParagraph"/>
        <w:numPr>
          <w:ilvl w:val="0"/>
          <w:numId w:val="32"/>
        </w:numPr>
      </w:pPr>
      <w:r w:rsidRPr="00596897">
        <w:rPr>
          <w:b/>
          <w:bCs/>
        </w:rPr>
        <w:t>Foreign investors</w:t>
      </w:r>
      <w:r w:rsidR="007A6E20">
        <w:t xml:space="preserve">: This includes </w:t>
      </w:r>
      <w:r w:rsidRPr="00BD22BC">
        <w:t>bond holders as well as corporate investors</w:t>
      </w:r>
      <w:r w:rsidR="007A6E20">
        <w:t>.</w:t>
      </w:r>
    </w:p>
    <w:p w14:paraId="16088059" w14:textId="77777777" w:rsidR="00940DB0" w:rsidRPr="00BD22BC" w:rsidRDefault="00940DB0" w:rsidP="00940DB0"/>
    <w:p w14:paraId="5F30A60E" w14:textId="77777777" w:rsidR="00940DB0" w:rsidRPr="00BD22BC" w:rsidRDefault="00940DB0" w:rsidP="00940DB0">
      <w:pPr>
        <w:rPr>
          <w:b/>
          <w:bCs/>
        </w:rPr>
      </w:pPr>
      <w:bookmarkStart w:id="111" w:name="_Hlk180947898"/>
      <w:r w:rsidRPr="00BD22BC">
        <w:rPr>
          <w:b/>
          <w:bCs/>
        </w:rPr>
        <w:t xml:space="preserve">General public </w:t>
      </w:r>
    </w:p>
    <w:p w14:paraId="685F4B1D" w14:textId="02374443" w:rsidR="00940DB0" w:rsidRPr="00BD22BC" w:rsidRDefault="00A41356" w:rsidP="00940DB0">
      <w:pPr>
        <w:pStyle w:val="ListParagraph"/>
        <w:numPr>
          <w:ilvl w:val="0"/>
          <w:numId w:val="32"/>
        </w:numPr>
      </w:pPr>
      <w:r w:rsidRPr="00596897">
        <w:rPr>
          <w:b/>
          <w:bCs/>
        </w:rPr>
        <w:t xml:space="preserve">Key </w:t>
      </w:r>
      <w:r w:rsidR="001C3A24" w:rsidRPr="00596897">
        <w:rPr>
          <w:b/>
          <w:bCs/>
        </w:rPr>
        <w:t xml:space="preserve">policy </w:t>
      </w:r>
      <w:r w:rsidRPr="00596897">
        <w:rPr>
          <w:b/>
          <w:bCs/>
        </w:rPr>
        <w:t>influencers</w:t>
      </w:r>
      <w:r w:rsidR="0034124F">
        <w:t xml:space="preserve">: This </w:t>
      </w:r>
      <w:r w:rsidR="000C11B4">
        <w:t>incl</w:t>
      </w:r>
      <w:r w:rsidR="00EB5AA4">
        <w:t>ud</w:t>
      </w:r>
      <w:r w:rsidR="001872C7">
        <w:t>es</w:t>
      </w:r>
      <w:r w:rsidR="000C11B4">
        <w:t xml:space="preserve"> p</w:t>
      </w:r>
      <w:r w:rsidR="00940DB0">
        <w:t>arliamentarians</w:t>
      </w:r>
      <w:r w:rsidR="00087349">
        <w:t xml:space="preserve"> and professional observers in think tanks</w:t>
      </w:r>
      <w:r w:rsidR="001872C7">
        <w:t>.</w:t>
      </w:r>
    </w:p>
    <w:bookmarkEnd w:id="111"/>
    <w:p w14:paraId="2AD1842F" w14:textId="7F9262D3" w:rsidR="00940DB0" w:rsidRPr="00BD22BC" w:rsidRDefault="77F07B07" w:rsidP="00940DB0">
      <w:pPr>
        <w:pStyle w:val="ListParagraph"/>
        <w:numPr>
          <w:ilvl w:val="0"/>
          <w:numId w:val="32"/>
        </w:numPr>
      </w:pPr>
      <w:r w:rsidRPr="00596897">
        <w:rPr>
          <w:b/>
          <w:bCs/>
        </w:rPr>
        <w:t>Adult population</w:t>
      </w:r>
      <w:r w:rsidR="001872C7">
        <w:t xml:space="preserve">: This </w:t>
      </w:r>
      <w:r w:rsidR="1124C072">
        <w:t>can be further segmented into urban and rural population, or into economically active</w:t>
      </w:r>
      <w:r w:rsidR="292FB119">
        <w:t xml:space="preserve"> (e.g., workers)</w:t>
      </w:r>
      <w:r w:rsidR="1124C072">
        <w:t xml:space="preserve"> and inactive</w:t>
      </w:r>
      <w:r w:rsidR="12E3CB93">
        <w:t xml:space="preserve"> (</w:t>
      </w:r>
      <w:r w:rsidR="19F86435">
        <w:t>e.g.,</w:t>
      </w:r>
      <w:r w:rsidR="1124C072">
        <w:t xml:space="preserve"> pensioners)</w:t>
      </w:r>
      <w:r w:rsidR="001872C7">
        <w:t>.</w:t>
      </w:r>
    </w:p>
    <w:p w14:paraId="42C8C116" w14:textId="41A56911" w:rsidR="00940DB0" w:rsidRPr="00BD22BC" w:rsidRDefault="77F07B07" w:rsidP="00EE30E0">
      <w:pPr>
        <w:pStyle w:val="ListParagraph"/>
        <w:numPr>
          <w:ilvl w:val="0"/>
          <w:numId w:val="32"/>
        </w:numPr>
      </w:pPr>
      <w:r w:rsidRPr="00596897">
        <w:rPr>
          <w:b/>
          <w:bCs/>
        </w:rPr>
        <w:t>Youth and schoolchildren</w:t>
      </w:r>
      <w:r w:rsidR="001872C7">
        <w:t xml:space="preserve">: </w:t>
      </w:r>
      <w:r w:rsidR="00D16EA9">
        <w:t xml:space="preserve">This is an </w:t>
      </w:r>
      <w:r>
        <w:t>important group</w:t>
      </w:r>
      <w:r w:rsidR="00D16EA9">
        <w:t>, that can serve</w:t>
      </w:r>
      <w:r>
        <w:t xml:space="preserve"> as an effective amplifier of simple messages to </w:t>
      </w:r>
      <w:r w:rsidR="00FA6CBE">
        <w:t xml:space="preserve">their </w:t>
      </w:r>
      <w:r>
        <w:t>parents and grandparent</w:t>
      </w:r>
      <w:r w:rsidR="00D16EA9">
        <w:t xml:space="preserve">s. This group </w:t>
      </w:r>
      <w:r w:rsidR="5D4F4BCA">
        <w:t>can be further segmented into subgroups by age</w:t>
      </w:r>
      <w:r w:rsidR="00E90604">
        <w:t xml:space="preserve">. </w:t>
      </w:r>
      <w:r w:rsidR="004F76B0">
        <w:t xml:space="preserve">For instance, </w:t>
      </w:r>
      <w:r w:rsidR="00E90604">
        <w:t>Germany’s Deutsche Bundesbank has aimed to reach young people aged 18</w:t>
      </w:r>
      <w:r w:rsidR="00EB5AA4" w:rsidRPr="38638030">
        <w:rPr>
          <w:rFonts w:cs="Arial"/>
        </w:rPr>
        <w:t>–</w:t>
      </w:r>
      <w:r w:rsidR="00E90604">
        <w:t xml:space="preserve">30 by organizing a public forum called Euro20+, including a town hall with the </w:t>
      </w:r>
      <w:r w:rsidR="00EB5AA4">
        <w:t>g</w:t>
      </w:r>
      <w:r w:rsidR="00E90604">
        <w:t>overnor</w:t>
      </w:r>
      <w:r w:rsidR="00EB5AA4">
        <w:t xml:space="preserve">: </w:t>
      </w:r>
      <w:hyperlink r:id="rId43">
        <w:r w:rsidR="00EE30E0" w:rsidRPr="38638030">
          <w:rPr>
            <w:rStyle w:val="Hyperlink"/>
          </w:rPr>
          <w:t>https://www.youtube.com/watch?v=cDSurJuxzdU</w:t>
        </w:r>
      </w:hyperlink>
    </w:p>
    <w:p w14:paraId="5ED69FC3" w14:textId="19AB4D2D" w:rsidR="00955E0F" w:rsidRPr="00BD22BC" w:rsidRDefault="00955E0F" w:rsidP="00940DB0"/>
    <w:p w14:paraId="3E2DB6F4" w14:textId="40824FEC" w:rsidR="00EE30E0" w:rsidRPr="00BD22BC" w:rsidRDefault="00EE30E0" w:rsidP="00EE30E0">
      <w:pPr>
        <w:rPr>
          <w:b/>
          <w:bCs/>
        </w:rPr>
      </w:pPr>
      <w:r w:rsidRPr="00BD22BC">
        <w:rPr>
          <w:b/>
          <w:bCs/>
        </w:rPr>
        <w:t>The institution’s employees</w:t>
      </w:r>
    </w:p>
    <w:p w14:paraId="740CCB26" w14:textId="72937CF3" w:rsidR="00EE30E0" w:rsidRPr="00BD22BC" w:rsidRDefault="00EE30E0" w:rsidP="00940DB0">
      <w:r>
        <w:t>Besides the two main external groups, one additional audience should not be overlooked: the institution’s own employees</w:t>
      </w:r>
      <w:r w:rsidR="0082167D">
        <w:t xml:space="preserve"> (co</w:t>
      </w:r>
      <w:r>
        <w:t>mmunicating the salient policy messages internally is paramount to ensuring that all staff comprehend central bank communications</w:t>
      </w:r>
      <w:r w:rsidR="0082167D">
        <w:t>)</w:t>
      </w:r>
      <w:r>
        <w:t>.</w:t>
      </w:r>
    </w:p>
    <w:p w14:paraId="483D2E4A" w14:textId="77777777" w:rsidR="00EE30E0" w:rsidRPr="00BD22BC" w:rsidRDefault="00EE30E0" w:rsidP="00940DB0"/>
    <w:p w14:paraId="006E5161" w14:textId="6EC0FC04" w:rsidR="00857D11" w:rsidRPr="00BD22BC" w:rsidRDefault="00857D11" w:rsidP="00940DB0">
      <w:pPr>
        <w:rPr>
          <w:rFonts w:asciiTheme="minorBidi" w:hAnsiTheme="minorBidi" w:cstheme="minorBidi"/>
          <w:b/>
          <w:bCs/>
          <w:color w:val="000000" w:themeColor="text1"/>
        </w:rPr>
      </w:pPr>
      <w:r w:rsidRPr="00BD22BC">
        <w:rPr>
          <w:b/>
          <w:bCs/>
          <w:highlight w:val="yellow"/>
        </w:rPr>
        <w:t xml:space="preserve">&lt;Interactive </w:t>
      </w:r>
      <w:r w:rsidR="004F64EA" w:rsidRPr="00BD22BC">
        <w:rPr>
          <w:b/>
          <w:bCs/>
          <w:highlight w:val="yellow"/>
        </w:rPr>
        <w:t>hotspot</w:t>
      </w:r>
      <w:r w:rsidRPr="00BD22BC">
        <w:rPr>
          <w:b/>
          <w:bCs/>
          <w:highlight w:val="yellow"/>
        </w:rPr>
        <w:t xml:space="preserve"> END&gt;</w:t>
      </w:r>
    </w:p>
    <w:p w14:paraId="11DA6161" w14:textId="77777777" w:rsidR="00BD1ED1" w:rsidRPr="00BD22BC" w:rsidRDefault="00BD1ED1" w:rsidP="00940DB0">
      <w:bookmarkStart w:id="112" w:name="_Hlk180950330"/>
    </w:p>
    <w:p w14:paraId="3C080466" w14:textId="0A1955D3" w:rsidR="00940DB0" w:rsidRPr="00BD22BC" w:rsidRDefault="00940DB0" w:rsidP="00940DB0">
      <w:r w:rsidRPr="00BD22BC">
        <w:lastRenderedPageBreak/>
        <w:t>Why is</w:t>
      </w:r>
      <w:r w:rsidR="003F5B91" w:rsidRPr="00BD22BC">
        <w:t xml:space="preserve"> it</w:t>
      </w:r>
      <w:r w:rsidRPr="00BD22BC">
        <w:t xml:space="preserve"> important to conduct this detailed segmentation? Because </w:t>
      </w:r>
      <w:r w:rsidR="007A4394" w:rsidRPr="00BD22BC">
        <w:t>k</w:t>
      </w:r>
      <w:r w:rsidRPr="00BD22BC">
        <w:t xml:space="preserve">ey concerns for each </w:t>
      </w:r>
      <w:r w:rsidR="007A4394" w:rsidRPr="00BD22BC">
        <w:t>audience segment</w:t>
      </w:r>
      <w:r w:rsidRPr="00BD22BC">
        <w:t xml:space="preserve"> will differ, and hence communication approaches should be </w:t>
      </w:r>
      <w:r w:rsidR="007A4394" w:rsidRPr="00BD22BC">
        <w:t xml:space="preserve">elaborated and </w:t>
      </w:r>
      <w:r w:rsidRPr="00BD22BC">
        <w:t>tailored</w:t>
      </w:r>
      <w:r w:rsidR="007A4394" w:rsidRPr="00BD22BC">
        <w:t xml:space="preserve"> to each. </w:t>
      </w:r>
    </w:p>
    <w:bookmarkEnd w:id="112"/>
    <w:p w14:paraId="4761D888" w14:textId="77777777" w:rsidR="00940DB0" w:rsidRPr="00BD22BC" w:rsidRDefault="00940DB0" w:rsidP="001851C6">
      <w:pPr>
        <w:rPr>
          <w:b/>
          <w:bCs/>
        </w:rPr>
      </w:pPr>
    </w:p>
    <w:p w14:paraId="545603C2" w14:textId="3374ED9E" w:rsidR="00EB3B19" w:rsidRPr="00BD22BC" w:rsidRDefault="3501CC15" w:rsidP="00EB3B19">
      <w:pPr>
        <w:pStyle w:val="Heading1"/>
      </w:pPr>
      <w:bookmarkStart w:id="113" w:name="_Toc1136138781"/>
      <w:bookmarkStart w:id="114" w:name="_Hlk180929379"/>
      <w:r w:rsidRPr="7EEFCAA8">
        <w:rPr>
          <w:highlight w:val="yellow"/>
        </w:rPr>
        <w:t xml:space="preserve">SECTION 4: </w:t>
      </w:r>
      <w:bookmarkStart w:id="115" w:name="_Hlk183037450"/>
      <w:r w:rsidRPr="7EEFCAA8">
        <w:rPr>
          <w:highlight w:val="yellow"/>
        </w:rPr>
        <w:t>Assessing effectiveness of policy communication</w:t>
      </w:r>
      <w:bookmarkEnd w:id="113"/>
      <w:r>
        <w:t xml:space="preserve"> </w:t>
      </w:r>
      <w:bookmarkEnd w:id="115"/>
    </w:p>
    <w:p w14:paraId="02DB11DB" w14:textId="77777777" w:rsidR="00EB3B19" w:rsidRPr="00BD22BC" w:rsidRDefault="00EB3B19" w:rsidP="00EB3B19"/>
    <w:p w14:paraId="2948B303" w14:textId="5E4B20D8" w:rsidR="00EB3B19" w:rsidRPr="00BD22BC" w:rsidRDefault="3501CC15" w:rsidP="00EB3B19">
      <w:pPr>
        <w:pStyle w:val="Heading2"/>
      </w:pPr>
      <w:bookmarkStart w:id="116" w:name="_Toc2017214745"/>
      <w:r w:rsidRPr="7EEFCAA8">
        <w:rPr>
          <w:highlight w:val="yellow"/>
        </w:rPr>
        <w:t>UNIT 4.1:</w:t>
      </w:r>
      <w:r>
        <w:t xml:space="preserve"> </w:t>
      </w:r>
      <w:bookmarkStart w:id="117" w:name="_Hlk180950685"/>
      <w:r w:rsidR="585528EB">
        <w:t>I</w:t>
      </w:r>
      <w:r>
        <w:t>mpact assessment</w:t>
      </w:r>
      <w:bookmarkEnd w:id="117"/>
      <w:r w:rsidR="585528EB">
        <w:t xml:space="preserve">: </w:t>
      </w:r>
      <w:r w:rsidR="4A76E4A9">
        <w:t xml:space="preserve">Why and </w:t>
      </w:r>
      <w:r w:rsidR="644B8EEA">
        <w:t>How</w:t>
      </w:r>
      <w:bookmarkEnd w:id="116"/>
    </w:p>
    <w:p w14:paraId="4D9159B7" w14:textId="77777777" w:rsidR="00EA75D1" w:rsidRPr="00BD22BC" w:rsidRDefault="00EA75D1" w:rsidP="00EA75D1">
      <w:pPr>
        <w:rPr>
          <w:color w:val="4472C4" w:themeColor="accent1"/>
          <w:szCs w:val="22"/>
        </w:rPr>
      </w:pPr>
      <w:bookmarkStart w:id="118" w:name="_Hlk183035108"/>
      <w:bookmarkEnd w:id="114"/>
    </w:p>
    <w:p w14:paraId="1AEF9C0E" w14:textId="76D27307" w:rsidR="009D5051" w:rsidRPr="00BD22BC" w:rsidRDefault="009D5051" w:rsidP="009D5051">
      <w:r>
        <w:t xml:space="preserve">Impact assessment is vital for ensuring that the communications efforts are effective and aligned with the agency’s objectives. By setting clear goals, defining </w:t>
      </w:r>
      <w:r w:rsidR="00A23BD7">
        <w:t>k</w:t>
      </w:r>
      <w:r>
        <w:t>ey performance indicators, using benchmarks, and employing the right tools, central banks and treasuries can measure the success of their communications and make data-driven adjustments to improve future communication efforts.</w:t>
      </w:r>
    </w:p>
    <w:p w14:paraId="0D85208C" w14:textId="77777777" w:rsidR="009D5051" w:rsidRPr="00BD22BC" w:rsidRDefault="009D5051" w:rsidP="00EA75D1">
      <w:pPr>
        <w:rPr>
          <w:color w:val="4472C4" w:themeColor="accent1"/>
          <w:szCs w:val="22"/>
        </w:rPr>
      </w:pPr>
    </w:p>
    <w:p w14:paraId="4BA9F9A1" w14:textId="72564EFD" w:rsidR="00A15891" w:rsidRPr="00BD22BC" w:rsidRDefault="00A15891" w:rsidP="00A15891">
      <w:r>
        <w:t xml:space="preserve">Impact assessment is crucial for understanding the effectiveness of </w:t>
      </w:r>
      <w:r w:rsidR="0024643F">
        <w:t xml:space="preserve">a </w:t>
      </w:r>
      <w:r>
        <w:t>communications strategy. It helps the communications department to:</w:t>
      </w:r>
    </w:p>
    <w:p w14:paraId="52DA74B9" w14:textId="77777777" w:rsidR="00A15891" w:rsidRPr="00BD22BC" w:rsidRDefault="00A15891" w:rsidP="00A15891"/>
    <w:p w14:paraId="21BCB1E1" w14:textId="77777777" w:rsidR="00A15891" w:rsidRPr="00BD22BC" w:rsidRDefault="00A15891" w:rsidP="00A15891">
      <w:pPr>
        <w:numPr>
          <w:ilvl w:val="0"/>
          <w:numId w:val="52"/>
        </w:numPr>
        <w:spacing w:after="160" w:line="278" w:lineRule="auto"/>
      </w:pPr>
      <w:r w:rsidRPr="00BD22BC">
        <w:t>Assess whether the intended messages are reaching the right audience.</w:t>
      </w:r>
    </w:p>
    <w:p w14:paraId="5F00C1F4" w14:textId="77777777" w:rsidR="00A15891" w:rsidRPr="00BD22BC" w:rsidRDefault="00A15891" w:rsidP="00A15891">
      <w:pPr>
        <w:numPr>
          <w:ilvl w:val="0"/>
          <w:numId w:val="52"/>
        </w:numPr>
        <w:spacing w:after="160" w:line="278" w:lineRule="auto"/>
      </w:pPr>
      <w:r>
        <w:t>Measure the effectiveness of communications activities, messages, and policy pickups.</w:t>
      </w:r>
    </w:p>
    <w:p w14:paraId="3B1D96D7" w14:textId="77777777" w:rsidR="00A15891" w:rsidRPr="00BD22BC" w:rsidRDefault="00A15891" w:rsidP="00A15891">
      <w:pPr>
        <w:numPr>
          <w:ilvl w:val="0"/>
          <w:numId w:val="52"/>
        </w:numPr>
        <w:spacing w:after="160" w:line="278" w:lineRule="auto"/>
      </w:pPr>
      <w:r>
        <w:t>Identify both areas of success and areas in need of improvement in media presence.</w:t>
      </w:r>
    </w:p>
    <w:p w14:paraId="793090D7" w14:textId="77777777" w:rsidR="00A15891" w:rsidRPr="00BD22BC" w:rsidRDefault="00A15891" w:rsidP="00A15891">
      <w:pPr>
        <w:numPr>
          <w:ilvl w:val="0"/>
          <w:numId w:val="52"/>
        </w:numPr>
        <w:spacing w:after="160" w:line="278" w:lineRule="auto"/>
      </w:pPr>
      <w:r>
        <w:t>Provide data-driven insights to adjust future strategies and improve public engagement.</w:t>
      </w:r>
    </w:p>
    <w:p w14:paraId="57318708" w14:textId="122DEB0A" w:rsidR="00A15891" w:rsidRPr="00BD22BC" w:rsidRDefault="00A15891" w:rsidP="00A15891">
      <w:r>
        <w:t>By conducting impact assessment, institutions can link their communications efforts to tangible outcomes, ensuring that resources are used efficiently, and that institution</w:t>
      </w:r>
      <w:r w:rsidR="00027D99">
        <w:t>s</w:t>
      </w:r>
      <w:r>
        <w:t>’ key messages resonate with the public.</w:t>
      </w:r>
    </w:p>
    <w:p w14:paraId="221632B9" w14:textId="77777777" w:rsidR="00A15891" w:rsidRPr="00BD22BC" w:rsidRDefault="00A15891" w:rsidP="00A15891"/>
    <w:p w14:paraId="6E3B1D7A" w14:textId="1EC8FB99" w:rsidR="00A15891" w:rsidRPr="00BD22BC" w:rsidRDefault="00A15891" w:rsidP="00A15891">
      <w:r>
        <w:t>To conduct a thorough impact assessment, the communication department will need:</w:t>
      </w:r>
    </w:p>
    <w:p w14:paraId="6CE6B353" w14:textId="77777777" w:rsidR="00A15891" w:rsidRPr="00BD22BC" w:rsidRDefault="00A15891" w:rsidP="00A15891"/>
    <w:p w14:paraId="697A6778" w14:textId="77777777" w:rsidR="00A15891" w:rsidRDefault="00A15891" w:rsidP="00A15891">
      <w:pPr>
        <w:rPr>
          <w:b/>
          <w:bCs/>
        </w:rPr>
      </w:pPr>
      <w:r w:rsidRPr="00E972DA">
        <w:rPr>
          <w:b/>
          <w:bCs/>
          <w:highlight w:val="yellow"/>
        </w:rPr>
        <w:t>&lt;HOTSPOT_START&gt;</w:t>
      </w:r>
    </w:p>
    <w:p w14:paraId="1F516794" w14:textId="77777777" w:rsidR="00E972DA" w:rsidRDefault="00E972DA" w:rsidP="00A15891">
      <w:pPr>
        <w:rPr>
          <w:b/>
          <w:bCs/>
        </w:rPr>
      </w:pPr>
    </w:p>
    <w:p w14:paraId="1571A962" w14:textId="61258098" w:rsidR="00E972DA" w:rsidRPr="00913C21" w:rsidRDefault="00E972DA" w:rsidP="00A15891">
      <w:pPr>
        <w:rPr>
          <w:b/>
          <w:bCs/>
        </w:rPr>
      </w:pPr>
      <w:r w:rsidRPr="38638030">
        <w:rPr>
          <w:b/>
          <w:bCs/>
          <w:highlight w:val="yellow"/>
        </w:rPr>
        <w:t>&lt;</w:t>
      </w:r>
      <w:r>
        <w:rPr>
          <w:b/>
          <w:bCs/>
          <w:highlight w:val="yellow"/>
        </w:rPr>
        <w:t>Asset 4.4.1_impact assessment</w:t>
      </w:r>
      <w:r w:rsidRPr="38638030">
        <w:rPr>
          <w:b/>
          <w:bCs/>
          <w:highlight w:val="yellow"/>
        </w:rPr>
        <w:t>&gt;</w:t>
      </w:r>
    </w:p>
    <w:p w14:paraId="590987E4" w14:textId="62DD4FBB" w:rsidR="00AE73DC" w:rsidRPr="00913C21" w:rsidRDefault="00AE73DC" w:rsidP="00A15891">
      <w:pPr>
        <w:rPr>
          <w:b/>
          <w:bCs/>
        </w:rPr>
      </w:pPr>
      <w:r>
        <w:t> </w:t>
      </w: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6A0" w:firstRow="1" w:lastRow="0" w:firstColumn="1" w:lastColumn="0" w:noHBand="1" w:noVBand="1"/>
      </w:tblPr>
      <w:tblGrid>
        <w:gridCol w:w="1872"/>
        <w:gridCol w:w="1872"/>
        <w:gridCol w:w="1872"/>
        <w:gridCol w:w="1872"/>
        <w:gridCol w:w="1872"/>
      </w:tblGrid>
      <w:tr w:rsidR="00A15891" w:rsidRPr="00BD22BC" w14:paraId="3449351F" w14:textId="77777777" w:rsidTr="00C5618D">
        <w:trPr>
          <w:trHeight w:val="300"/>
        </w:trPr>
        <w:tc>
          <w:tcPr>
            <w:tcW w:w="1872" w:type="dxa"/>
          </w:tcPr>
          <w:p w14:paraId="17E04B3A" w14:textId="77777777" w:rsidR="00A15891" w:rsidRPr="00BD22BC" w:rsidRDefault="00A15891" w:rsidP="00C5618D">
            <w:pPr>
              <w:jc w:val="center"/>
              <w:rPr>
                <w:b/>
                <w:bCs/>
              </w:rPr>
            </w:pPr>
            <w:r w:rsidRPr="00BD22BC">
              <w:rPr>
                <w:b/>
                <w:bCs/>
                <w:noProof/>
              </w:rPr>
              <w:drawing>
                <wp:inline distT="0" distB="0" distL="0" distR="0" wp14:anchorId="7E0C0734" wp14:editId="2E7D40AA">
                  <wp:extent cx="762000" cy="752475"/>
                  <wp:effectExtent l="0" t="0" r="0" b="9525"/>
                  <wp:docPr id="1700461829"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0461829" name=""/>
                          <pic:cNvPicPr/>
                        </pic:nvPicPr>
                        <pic:blipFill>
                          <a:blip r:embed="rId44">
                            <a:extLst>
                              <a:ext uri="{96DAC541-7B7A-43D3-8B79-37D633B846F1}">
                                <asvg:svgBlip xmlns:asvg="http://schemas.microsoft.com/office/drawing/2016/SVG/main" r:embed="rId45"/>
                              </a:ext>
                            </a:extLst>
                          </a:blip>
                          <a:stretch>
                            <a:fillRect/>
                          </a:stretch>
                        </pic:blipFill>
                        <pic:spPr>
                          <a:xfrm>
                            <a:off x="0" y="0"/>
                            <a:ext cx="762000" cy="752475"/>
                          </a:xfrm>
                          <a:prstGeom prst="rect">
                            <a:avLst/>
                          </a:prstGeom>
                        </pic:spPr>
                      </pic:pic>
                    </a:graphicData>
                  </a:graphic>
                </wp:inline>
              </w:drawing>
            </w:r>
          </w:p>
          <w:p w14:paraId="12B2A160" w14:textId="77777777" w:rsidR="00A15891" w:rsidRPr="00BD22BC" w:rsidRDefault="00A15891" w:rsidP="00C5618D">
            <w:pPr>
              <w:jc w:val="center"/>
              <w:rPr>
                <w:b/>
                <w:bCs/>
              </w:rPr>
            </w:pPr>
            <w:r w:rsidRPr="00BD22BC">
              <w:rPr>
                <w:b/>
                <w:bCs/>
              </w:rPr>
              <w:t>Clear objectives</w:t>
            </w:r>
          </w:p>
        </w:tc>
        <w:tc>
          <w:tcPr>
            <w:tcW w:w="1872" w:type="dxa"/>
          </w:tcPr>
          <w:p w14:paraId="69E5A748" w14:textId="77777777" w:rsidR="00A15891" w:rsidRPr="00BD22BC" w:rsidRDefault="00A15891" w:rsidP="00C5618D">
            <w:pPr>
              <w:jc w:val="center"/>
              <w:rPr>
                <w:b/>
                <w:bCs/>
              </w:rPr>
            </w:pPr>
            <w:r w:rsidRPr="00BD22BC">
              <w:rPr>
                <w:b/>
                <w:bCs/>
                <w:noProof/>
              </w:rPr>
              <w:drawing>
                <wp:inline distT="0" distB="0" distL="0" distR="0" wp14:anchorId="16268D75" wp14:editId="600D70DB">
                  <wp:extent cx="742950" cy="742950"/>
                  <wp:effectExtent l="0" t="0" r="0" b="0"/>
                  <wp:docPr id="1539750405"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9750405" name=""/>
                          <pic:cNvPicPr/>
                        </pic:nvPicPr>
                        <pic:blipFill>
                          <a:blip r:embed="rId46">
                            <a:extLst>
                              <a:ext uri="{96DAC541-7B7A-43D3-8B79-37D633B846F1}">
                                <asvg:svgBlip xmlns:asvg="http://schemas.microsoft.com/office/drawing/2016/SVG/main" r:embed="rId47"/>
                              </a:ext>
                            </a:extLst>
                          </a:blip>
                          <a:stretch>
                            <a:fillRect/>
                          </a:stretch>
                        </pic:blipFill>
                        <pic:spPr>
                          <a:xfrm>
                            <a:off x="0" y="0"/>
                            <a:ext cx="742950" cy="742950"/>
                          </a:xfrm>
                          <a:prstGeom prst="rect">
                            <a:avLst/>
                          </a:prstGeom>
                        </pic:spPr>
                      </pic:pic>
                    </a:graphicData>
                  </a:graphic>
                </wp:inline>
              </w:drawing>
            </w:r>
          </w:p>
          <w:p w14:paraId="2A4F52F8" w14:textId="77777777" w:rsidR="00A15891" w:rsidRPr="00BD22BC" w:rsidRDefault="00A15891" w:rsidP="00C5618D">
            <w:pPr>
              <w:jc w:val="center"/>
              <w:rPr>
                <w:b/>
                <w:bCs/>
              </w:rPr>
            </w:pPr>
            <w:r w:rsidRPr="00BD22BC">
              <w:rPr>
                <w:b/>
                <w:bCs/>
              </w:rPr>
              <w:t>KPIs and Metrics</w:t>
            </w:r>
          </w:p>
        </w:tc>
        <w:tc>
          <w:tcPr>
            <w:tcW w:w="1872" w:type="dxa"/>
          </w:tcPr>
          <w:p w14:paraId="402EB774" w14:textId="77777777" w:rsidR="00A15891" w:rsidRPr="00BD22BC" w:rsidRDefault="00A15891" w:rsidP="00C5618D">
            <w:pPr>
              <w:jc w:val="center"/>
              <w:rPr>
                <w:b/>
                <w:bCs/>
              </w:rPr>
            </w:pPr>
            <w:r w:rsidRPr="00BD22BC">
              <w:rPr>
                <w:noProof/>
              </w:rPr>
              <w:drawing>
                <wp:inline distT="0" distB="0" distL="0" distR="0" wp14:anchorId="7EAF79F7" wp14:editId="2CE6F4F7">
                  <wp:extent cx="742950" cy="590550"/>
                  <wp:effectExtent l="0" t="0" r="0" b="0"/>
                  <wp:docPr id="1790761042"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761042" name=""/>
                          <pic:cNvPicPr/>
                        </pic:nvPicPr>
                        <pic:blipFill>
                          <a:blip r:embed="rId48">
                            <a:extLst>
                              <a:ext uri="{96DAC541-7B7A-43D3-8B79-37D633B846F1}">
                                <asvg:svgBlip xmlns:asvg="http://schemas.microsoft.com/office/drawing/2016/SVG/main" r:embed="rId49"/>
                              </a:ext>
                            </a:extLst>
                          </a:blip>
                          <a:stretch>
                            <a:fillRect/>
                          </a:stretch>
                        </pic:blipFill>
                        <pic:spPr>
                          <a:xfrm>
                            <a:off x="0" y="0"/>
                            <a:ext cx="742950" cy="590550"/>
                          </a:xfrm>
                          <a:prstGeom prst="rect">
                            <a:avLst/>
                          </a:prstGeom>
                        </pic:spPr>
                      </pic:pic>
                    </a:graphicData>
                  </a:graphic>
                </wp:inline>
              </w:drawing>
            </w:r>
          </w:p>
          <w:p w14:paraId="5B40C24B" w14:textId="77777777" w:rsidR="00A15891" w:rsidRPr="00BD22BC" w:rsidRDefault="00A15891" w:rsidP="00C5618D">
            <w:pPr>
              <w:jc w:val="center"/>
              <w:rPr>
                <w:b/>
                <w:bCs/>
              </w:rPr>
            </w:pPr>
            <w:r w:rsidRPr="00BD22BC">
              <w:rPr>
                <w:b/>
                <w:bCs/>
              </w:rPr>
              <w:t>Monitoring Tools</w:t>
            </w:r>
          </w:p>
        </w:tc>
        <w:tc>
          <w:tcPr>
            <w:tcW w:w="1872" w:type="dxa"/>
          </w:tcPr>
          <w:p w14:paraId="5E6A9953" w14:textId="77777777" w:rsidR="00A15891" w:rsidRPr="00BD22BC" w:rsidRDefault="00A15891" w:rsidP="00C5618D">
            <w:pPr>
              <w:jc w:val="center"/>
              <w:rPr>
                <w:b/>
                <w:bCs/>
              </w:rPr>
            </w:pPr>
            <w:r w:rsidRPr="00BD22BC">
              <w:rPr>
                <w:noProof/>
              </w:rPr>
              <w:drawing>
                <wp:inline distT="0" distB="0" distL="0" distR="0" wp14:anchorId="33506180" wp14:editId="2DB94710">
                  <wp:extent cx="752475" cy="752475"/>
                  <wp:effectExtent l="0" t="0" r="9525" b="9525"/>
                  <wp:docPr id="729475744"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475744" name=""/>
                          <pic:cNvPicPr/>
                        </pic:nvPicPr>
                        <pic:blipFill>
                          <a:blip r:embed="rId50">
                            <a:extLst>
                              <a:ext uri="{96DAC541-7B7A-43D3-8B79-37D633B846F1}">
                                <asvg:svgBlip xmlns:asvg="http://schemas.microsoft.com/office/drawing/2016/SVG/main" r:embed="rId51"/>
                              </a:ext>
                            </a:extLst>
                          </a:blip>
                          <a:stretch>
                            <a:fillRect/>
                          </a:stretch>
                        </pic:blipFill>
                        <pic:spPr>
                          <a:xfrm>
                            <a:off x="0" y="0"/>
                            <a:ext cx="752475" cy="752475"/>
                          </a:xfrm>
                          <a:prstGeom prst="rect">
                            <a:avLst/>
                          </a:prstGeom>
                        </pic:spPr>
                      </pic:pic>
                    </a:graphicData>
                  </a:graphic>
                </wp:inline>
              </w:drawing>
            </w:r>
            <w:r w:rsidRPr="00BD22BC">
              <w:rPr>
                <w:b/>
                <w:bCs/>
              </w:rPr>
              <w:t>Benchmarks</w:t>
            </w:r>
          </w:p>
        </w:tc>
        <w:tc>
          <w:tcPr>
            <w:tcW w:w="1872" w:type="dxa"/>
          </w:tcPr>
          <w:p w14:paraId="3A88FC70" w14:textId="77777777" w:rsidR="00A15891" w:rsidRPr="00BD22BC" w:rsidRDefault="00A15891" w:rsidP="00C5618D">
            <w:pPr>
              <w:jc w:val="center"/>
              <w:rPr>
                <w:b/>
                <w:bCs/>
              </w:rPr>
            </w:pPr>
            <w:r w:rsidRPr="00BD22BC">
              <w:rPr>
                <w:b/>
                <w:bCs/>
                <w:noProof/>
              </w:rPr>
              <w:drawing>
                <wp:inline distT="0" distB="0" distL="0" distR="0" wp14:anchorId="37E8094E" wp14:editId="5BB9BCAB">
                  <wp:extent cx="495300" cy="752475"/>
                  <wp:effectExtent l="0" t="0" r="0" b="9525"/>
                  <wp:docPr id="1004621843"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621843" name=""/>
                          <pic:cNvPicPr/>
                        </pic:nvPicPr>
                        <pic:blipFill>
                          <a:blip r:embed="rId52">
                            <a:extLst>
                              <a:ext uri="{96DAC541-7B7A-43D3-8B79-37D633B846F1}">
                                <asvg:svgBlip xmlns:asvg="http://schemas.microsoft.com/office/drawing/2016/SVG/main" r:embed="rId53"/>
                              </a:ext>
                            </a:extLst>
                          </a:blip>
                          <a:stretch>
                            <a:fillRect/>
                          </a:stretch>
                        </pic:blipFill>
                        <pic:spPr>
                          <a:xfrm>
                            <a:off x="0" y="0"/>
                            <a:ext cx="495300" cy="752475"/>
                          </a:xfrm>
                          <a:prstGeom prst="rect">
                            <a:avLst/>
                          </a:prstGeom>
                        </pic:spPr>
                      </pic:pic>
                    </a:graphicData>
                  </a:graphic>
                </wp:inline>
              </w:drawing>
            </w:r>
            <w:r w:rsidRPr="00BD22BC">
              <w:rPr>
                <w:b/>
                <w:bCs/>
              </w:rPr>
              <w:t>Timeframe</w:t>
            </w:r>
          </w:p>
        </w:tc>
      </w:tr>
    </w:tbl>
    <w:p w14:paraId="7787B755" w14:textId="52B34ED3" w:rsidR="00A15891" w:rsidRPr="00BD22BC" w:rsidRDefault="00A15891" w:rsidP="00A15891">
      <w:pPr>
        <w:pStyle w:val="ListParagraph"/>
        <w:numPr>
          <w:ilvl w:val="0"/>
          <w:numId w:val="61"/>
        </w:numPr>
        <w:spacing w:after="160" w:line="278" w:lineRule="auto"/>
      </w:pPr>
      <w:r w:rsidRPr="38638030">
        <w:rPr>
          <w:b/>
          <w:bCs/>
        </w:rPr>
        <w:t>Clear Objectives</w:t>
      </w:r>
      <w:r>
        <w:t>: Establish a specific, measurable goal that targets specific audience group and aligns with the overall communication strategy to guide the assessment.</w:t>
      </w:r>
    </w:p>
    <w:p w14:paraId="2C912640" w14:textId="77777777" w:rsidR="00A15891" w:rsidRPr="00BD22BC" w:rsidRDefault="00A15891" w:rsidP="00A15891">
      <w:pPr>
        <w:pStyle w:val="ListParagraph"/>
        <w:numPr>
          <w:ilvl w:val="1"/>
          <w:numId w:val="61"/>
        </w:numPr>
        <w:spacing w:after="160" w:line="278" w:lineRule="auto"/>
      </w:pPr>
      <w:r w:rsidRPr="38638030">
        <w:rPr>
          <w:b/>
          <w:bCs/>
        </w:rPr>
        <w:t>Examples:</w:t>
      </w:r>
      <w:r>
        <w:t xml:space="preserve"> (1) The public understands the inflation objective of the central bank of 3% of CPI annual growth. (2) The public understands that the Treasury will strive to keep the debt-to-GDP ratio below 60%.</w:t>
      </w:r>
    </w:p>
    <w:p w14:paraId="57752E27" w14:textId="58B73221" w:rsidR="00A15891" w:rsidRPr="00BD22BC" w:rsidRDefault="00A15891" w:rsidP="00A15891">
      <w:pPr>
        <w:pStyle w:val="ListParagraph"/>
        <w:numPr>
          <w:ilvl w:val="0"/>
          <w:numId w:val="61"/>
        </w:numPr>
        <w:spacing w:after="160" w:line="278" w:lineRule="auto"/>
      </w:pPr>
      <w:r w:rsidRPr="38638030">
        <w:rPr>
          <w:b/>
          <w:bCs/>
        </w:rPr>
        <w:t xml:space="preserve">Key performance indicators (KPIs) </w:t>
      </w:r>
      <w:r w:rsidR="00027D99" w:rsidRPr="38638030">
        <w:rPr>
          <w:b/>
          <w:bCs/>
        </w:rPr>
        <w:t>and m</w:t>
      </w:r>
      <w:r w:rsidRPr="38638030">
        <w:rPr>
          <w:b/>
          <w:bCs/>
        </w:rPr>
        <w:t>etrics</w:t>
      </w:r>
      <w:r>
        <w:t>: Define the key performance indicators and metrics that will help to quantify the success (or failure) of the key communications efforts.</w:t>
      </w:r>
    </w:p>
    <w:p w14:paraId="45788441" w14:textId="12165E0C" w:rsidR="00A15891" w:rsidRPr="00BD22BC" w:rsidRDefault="00A15891" w:rsidP="00A15891">
      <w:pPr>
        <w:pStyle w:val="ListParagraph"/>
        <w:numPr>
          <w:ilvl w:val="1"/>
          <w:numId w:val="61"/>
        </w:numPr>
        <w:spacing w:after="160" w:line="278" w:lineRule="auto"/>
      </w:pPr>
      <w:r w:rsidRPr="38638030">
        <w:rPr>
          <w:b/>
          <w:bCs/>
        </w:rPr>
        <w:t>Examples:</w:t>
      </w:r>
      <w:r>
        <w:t xml:space="preserve"> (1) Media </w:t>
      </w:r>
      <w:r w:rsidR="00027D99">
        <w:t>m</w:t>
      </w:r>
      <w:r>
        <w:t xml:space="preserve">entions: The total number of media mentions received over the course of a month. (2) Downloads: The number of downloads within a month </w:t>
      </w:r>
      <w:r w:rsidR="00027D99">
        <w:t xml:space="preserve">of </w:t>
      </w:r>
      <w:r>
        <w:t>the release of an analytical paper.</w:t>
      </w:r>
    </w:p>
    <w:p w14:paraId="3B7695A5" w14:textId="77777777" w:rsidR="00A15891" w:rsidRPr="00BD22BC" w:rsidRDefault="00A15891" w:rsidP="00A15891">
      <w:pPr>
        <w:pStyle w:val="ListParagraph"/>
        <w:numPr>
          <w:ilvl w:val="0"/>
          <w:numId w:val="61"/>
        </w:numPr>
        <w:spacing w:after="160" w:line="278" w:lineRule="auto"/>
      </w:pPr>
      <w:r w:rsidRPr="00BD22BC">
        <w:rPr>
          <w:b/>
          <w:bCs/>
        </w:rPr>
        <w:lastRenderedPageBreak/>
        <w:t>Monitoring Tools</w:t>
      </w:r>
      <w:r w:rsidRPr="00BD22BC">
        <w:t>: Use platforms that track media mentions, audience sentiment, and overall reach to gather relevant data.</w:t>
      </w:r>
    </w:p>
    <w:p w14:paraId="4F57A139" w14:textId="628A0B04" w:rsidR="00A15891" w:rsidRPr="00BD22BC" w:rsidRDefault="00A15891" w:rsidP="00A15891">
      <w:pPr>
        <w:pStyle w:val="ListParagraph"/>
        <w:numPr>
          <w:ilvl w:val="1"/>
          <w:numId w:val="61"/>
        </w:numPr>
        <w:spacing w:after="160" w:line="278" w:lineRule="auto"/>
      </w:pPr>
      <w:r w:rsidRPr="38638030">
        <w:rPr>
          <w:b/>
          <w:bCs/>
        </w:rPr>
        <w:t>Examples</w:t>
      </w:r>
      <w:r>
        <w:t xml:space="preserve">: (1) Use Adobe Analytics to assess the volume of unique visitors on the agency main webpage. (2) Use </w:t>
      </w:r>
      <w:proofErr w:type="spellStart"/>
      <w:r>
        <w:t>Emplifi</w:t>
      </w:r>
      <w:proofErr w:type="spellEnd"/>
      <w:r>
        <w:t xml:space="preserve"> to evaluate the engagement score of your social account.</w:t>
      </w:r>
    </w:p>
    <w:p w14:paraId="6FD0F014" w14:textId="64D575BD" w:rsidR="00A15891" w:rsidRPr="00BD22BC" w:rsidRDefault="00A15891" w:rsidP="00A15891">
      <w:pPr>
        <w:pStyle w:val="ListParagraph"/>
        <w:numPr>
          <w:ilvl w:val="0"/>
          <w:numId w:val="61"/>
        </w:numPr>
        <w:spacing w:after="160" w:line="278" w:lineRule="auto"/>
      </w:pPr>
      <w:r w:rsidRPr="38638030">
        <w:rPr>
          <w:b/>
          <w:bCs/>
        </w:rPr>
        <w:t>Benchmarks</w:t>
      </w:r>
      <w:r>
        <w:t>: Set benchmarks to compare current performance either against past efforts or industry competitors.</w:t>
      </w:r>
    </w:p>
    <w:p w14:paraId="3D973071" w14:textId="5F2A7877" w:rsidR="00A15891" w:rsidRPr="00BD22BC" w:rsidRDefault="00A15891" w:rsidP="00A15891">
      <w:pPr>
        <w:pStyle w:val="ListParagraph"/>
        <w:numPr>
          <w:ilvl w:val="1"/>
          <w:numId w:val="61"/>
        </w:numPr>
        <w:spacing w:after="160" w:line="278" w:lineRule="auto"/>
      </w:pPr>
      <w:r w:rsidRPr="00BD22BC">
        <w:rPr>
          <w:b/>
          <w:bCs/>
        </w:rPr>
        <w:t>Examples:</w:t>
      </w:r>
      <w:r w:rsidRPr="00BD22BC">
        <w:t xml:space="preserve"> To compare the media mentions of the recent monthly press conference, analyze it against the media mentions from last month’s press conference.</w:t>
      </w:r>
    </w:p>
    <w:p w14:paraId="6C2A3E95" w14:textId="77777777" w:rsidR="00A15891" w:rsidRPr="00BD22BC" w:rsidRDefault="00A15891" w:rsidP="00A15891">
      <w:pPr>
        <w:pStyle w:val="ListParagraph"/>
        <w:numPr>
          <w:ilvl w:val="0"/>
          <w:numId w:val="61"/>
        </w:numPr>
        <w:spacing w:after="160" w:line="278" w:lineRule="auto"/>
      </w:pPr>
      <w:r w:rsidRPr="38638030">
        <w:rPr>
          <w:b/>
          <w:bCs/>
        </w:rPr>
        <w:t>Timeframe</w:t>
      </w:r>
      <w:r>
        <w:t>: Determine a specific time period to collect and analyze data, ensuring it captures the most relevant impact.</w:t>
      </w:r>
    </w:p>
    <w:p w14:paraId="2BAFCAAC" w14:textId="7B5C5DC5" w:rsidR="00A15891" w:rsidRPr="00BD22BC" w:rsidRDefault="00A15891" w:rsidP="00A15891">
      <w:pPr>
        <w:pStyle w:val="ListParagraph"/>
        <w:numPr>
          <w:ilvl w:val="1"/>
          <w:numId w:val="61"/>
        </w:numPr>
        <w:spacing w:after="160" w:line="278" w:lineRule="auto"/>
      </w:pPr>
      <w:r w:rsidRPr="38638030">
        <w:rPr>
          <w:b/>
          <w:bCs/>
        </w:rPr>
        <w:t>Examples:</w:t>
      </w:r>
      <w:r>
        <w:t xml:space="preserve"> (1) For a monetary policy announcement, use two to three days to monitor the media and social media mentions. (2) Use a longer period, say, one month, to monitor the traffic to the landing page.</w:t>
      </w:r>
    </w:p>
    <w:p w14:paraId="11FEFBBC" w14:textId="77777777" w:rsidR="00A15891" w:rsidRPr="00913C21" w:rsidRDefault="00A15891" w:rsidP="00A15891">
      <w:pPr>
        <w:rPr>
          <w:b/>
          <w:bCs/>
        </w:rPr>
      </w:pPr>
      <w:r w:rsidRPr="00913C21">
        <w:rPr>
          <w:b/>
          <w:bCs/>
        </w:rPr>
        <w:t>&lt;HOTSPOT_END&gt;</w:t>
      </w:r>
    </w:p>
    <w:p w14:paraId="06003A6A" w14:textId="77777777" w:rsidR="009D5051" w:rsidRPr="00BD22BC" w:rsidRDefault="009D5051" w:rsidP="00EA75D1">
      <w:pPr>
        <w:rPr>
          <w:color w:val="4472C4" w:themeColor="accent1"/>
          <w:szCs w:val="22"/>
        </w:rPr>
      </w:pPr>
    </w:p>
    <w:p w14:paraId="5DC23EAE" w14:textId="701AE8F7" w:rsidR="000C66CA" w:rsidRPr="00BD22BC" w:rsidRDefault="009C6E72" w:rsidP="00EA75D1">
      <w:r>
        <w:t xml:space="preserve">Let’s highlight each of these components of impact assessment in the following units. </w:t>
      </w:r>
      <w:r w:rsidR="000C66CA">
        <w:t xml:space="preserve">  </w:t>
      </w:r>
    </w:p>
    <w:p w14:paraId="07FF77EC" w14:textId="77777777" w:rsidR="000C66CA" w:rsidRPr="00BD22BC" w:rsidRDefault="000C66CA" w:rsidP="00EA75D1">
      <w:pPr>
        <w:rPr>
          <w:color w:val="4472C4" w:themeColor="accent1"/>
          <w:szCs w:val="22"/>
        </w:rPr>
      </w:pPr>
    </w:p>
    <w:p w14:paraId="3E8ABCE5" w14:textId="791DC5D6" w:rsidR="00886318" w:rsidRPr="00BD22BC" w:rsidRDefault="2AE34BE6" w:rsidP="00886318">
      <w:pPr>
        <w:pStyle w:val="Heading2"/>
      </w:pPr>
      <w:bookmarkStart w:id="119" w:name="_Toc268453222"/>
      <w:r w:rsidRPr="7EEFCAA8">
        <w:rPr>
          <w:highlight w:val="yellow"/>
        </w:rPr>
        <w:t>UNIT 4.2:</w:t>
      </w:r>
      <w:r>
        <w:t xml:space="preserve"> </w:t>
      </w:r>
      <w:r w:rsidR="282AB17F">
        <w:t xml:space="preserve">Setting </w:t>
      </w:r>
      <w:r w:rsidR="7A16B37B">
        <w:t>Clear Objectives</w:t>
      </w:r>
      <w:bookmarkEnd w:id="119"/>
    </w:p>
    <w:p w14:paraId="7B4B77B4" w14:textId="77777777" w:rsidR="00886318" w:rsidRPr="00BD22BC" w:rsidRDefault="00886318" w:rsidP="00EA75D1"/>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6A0" w:firstRow="1" w:lastRow="0" w:firstColumn="1" w:lastColumn="0" w:noHBand="1" w:noVBand="1"/>
      </w:tblPr>
      <w:tblGrid>
        <w:gridCol w:w="1872"/>
        <w:gridCol w:w="1872"/>
        <w:gridCol w:w="1872"/>
        <w:gridCol w:w="1872"/>
        <w:gridCol w:w="1872"/>
      </w:tblGrid>
      <w:tr w:rsidR="00B57E95" w:rsidRPr="00BD22BC" w14:paraId="1DF44ED5" w14:textId="77777777" w:rsidTr="009C1356">
        <w:trPr>
          <w:trHeight w:val="300"/>
        </w:trPr>
        <w:tc>
          <w:tcPr>
            <w:tcW w:w="1872" w:type="dxa"/>
          </w:tcPr>
          <w:p w14:paraId="7C3BE212" w14:textId="77777777" w:rsidR="00B57E95" w:rsidRPr="00BD22BC" w:rsidRDefault="00B57E95" w:rsidP="00C5618D">
            <w:pPr>
              <w:jc w:val="center"/>
              <w:rPr>
                <w:b/>
                <w:bCs/>
              </w:rPr>
            </w:pPr>
            <w:r w:rsidRPr="00BD22BC">
              <w:rPr>
                <w:b/>
                <w:bCs/>
                <w:noProof/>
              </w:rPr>
              <w:drawing>
                <wp:inline distT="0" distB="0" distL="0" distR="0" wp14:anchorId="40810B1C" wp14:editId="319400D2">
                  <wp:extent cx="762000" cy="752475"/>
                  <wp:effectExtent l="0" t="0" r="0" b="9525"/>
                  <wp:docPr id="1662028998"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0461829" name=""/>
                          <pic:cNvPicPr/>
                        </pic:nvPicPr>
                        <pic:blipFill>
                          <a:blip r:embed="rId44">
                            <a:extLst>
                              <a:ext uri="{96DAC541-7B7A-43D3-8B79-37D633B846F1}">
                                <asvg:svgBlip xmlns:asvg="http://schemas.microsoft.com/office/drawing/2016/SVG/main" r:embed="rId45"/>
                              </a:ext>
                            </a:extLst>
                          </a:blip>
                          <a:stretch>
                            <a:fillRect/>
                          </a:stretch>
                        </pic:blipFill>
                        <pic:spPr>
                          <a:xfrm>
                            <a:off x="0" y="0"/>
                            <a:ext cx="762000" cy="752475"/>
                          </a:xfrm>
                          <a:prstGeom prst="rect">
                            <a:avLst/>
                          </a:prstGeom>
                        </pic:spPr>
                      </pic:pic>
                    </a:graphicData>
                  </a:graphic>
                </wp:inline>
              </w:drawing>
            </w:r>
          </w:p>
          <w:p w14:paraId="205CB5AA" w14:textId="77777777" w:rsidR="00B57E95" w:rsidRPr="00BD22BC" w:rsidRDefault="00B57E95" w:rsidP="00C5618D">
            <w:pPr>
              <w:jc w:val="center"/>
              <w:rPr>
                <w:b/>
                <w:bCs/>
              </w:rPr>
            </w:pPr>
            <w:r w:rsidRPr="00BD22BC">
              <w:rPr>
                <w:b/>
                <w:bCs/>
              </w:rPr>
              <w:t>Clear objectives</w:t>
            </w:r>
          </w:p>
        </w:tc>
        <w:tc>
          <w:tcPr>
            <w:tcW w:w="1872" w:type="dxa"/>
            <w:shd w:val="clear" w:color="auto" w:fill="F2F2F2" w:themeFill="background1" w:themeFillShade="F2"/>
          </w:tcPr>
          <w:p w14:paraId="1FB20E9B" w14:textId="77777777" w:rsidR="00B57E95" w:rsidRPr="00BD22BC" w:rsidRDefault="00B57E95" w:rsidP="00C5618D">
            <w:pPr>
              <w:jc w:val="center"/>
              <w:rPr>
                <w:b/>
                <w:bCs/>
                <w:color w:val="D9D9D9" w:themeColor="background1" w:themeShade="D9"/>
              </w:rPr>
            </w:pPr>
            <w:r w:rsidRPr="00BD22BC">
              <w:rPr>
                <w:b/>
                <w:bCs/>
                <w:noProof/>
                <w:color w:val="D9D9D9" w:themeColor="background1" w:themeShade="D9"/>
              </w:rPr>
              <w:drawing>
                <wp:inline distT="0" distB="0" distL="0" distR="0" wp14:anchorId="15F0555A" wp14:editId="39D7430F">
                  <wp:extent cx="476250" cy="476250"/>
                  <wp:effectExtent l="0" t="0" r="0" b="0"/>
                  <wp:docPr id="769326068"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9750405" name=""/>
                          <pic:cNvPicPr/>
                        </pic:nvPicPr>
                        <pic:blipFill>
                          <a:blip r:embed="rId46">
                            <a:extLst>
                              <a:ext uri="{96DAC541-7B7A-43D3-8B79-37D633B846F1}">
                                <asvg:svgBlip xmlns:asvg="http://schemas.microsoft.com/office/drawing/2016/SVG/main" r:embed="rId47"/>
                              </a:ext>
                            </a:extLst>
                          </a:blip>
                          <a:stretch>
                            <a:fillRect/>
                          </a:stretch>
                        </pic:blipFill>
                        <pic:spPr>
                          <a:xfrm>
                            <a:off x="0" y="0"/>
                            <a:ext cx="476250" cy="476250"/>
                          </a:xfrm>
                          <a:prstGeom prst="rect">
                            <a:avLst/>
                          </a:prstGeom>
                        </pic:spPr>
                      </pic:pic>
                    </a:graphicData>
                  </a:graphic>
                </wp:inline>
              </w:drawing>
            </w:r>
          </w:p>
          <w:p w14:paraId="0CE70D9A" w14:textId="77777777" w:rsidR="00B57E95" w:rsidRPr="00BD22BC" w:rsidRDefault="00B57E95" w:rsidP="00C5618D">
            <w:pPr>
              <w:jc w:val="center"/>
              <w:rPr>
                <w:b/>
                <w:bCs/>
                <w:color w:val="D9D9D9" w:themeColor="background1" w:themeShade="D9"/>
              </w:rPr>
            </w:pPr>
            <w:r w:rsidRPr="00BD22BC">
              <w:rPr>
                <w:b/>
                <w:bCs/>
                <w:color w:val="D9D9D9" w:themeColor="background1" w:themeShade="D9"/>
              </w:rPr>
              <w:t>KPIs and Metrics</w:t>
            </w:r>
          </w:p>
        </w:tc>
        <w:tc>
          <w:tcPr>
            <w:tcW w:w="1872" w:type="dxa"/>
            <w:shd w:val="clear" w:color="auto" w:fill="F2F2F2" w:themeFill="background1" w:themeFillShade="F2"/>
          </w:tcPr>
          <w:p w14:paraId="170196C1" w14:textId="77777777" w:rsidR="00B57E95" w:rsidRPr="00BD22BC" w:rsidRDefault="00B57E95" w:rsidP="00C5618D">
            <w:pPr>
              <w:jc w:val="center"/>
              <w:rPr>
                <w:b/>
                <w:bCs/>
                <w:color w:val="D9D9D9" w:themeColor="background1" w:themeShade="D9"/>
              </w:rPr>
            </w:pPr>
            <w:r w:rsidRPr="00BD22BC">
              <w:rPr>
                <w:noProof/>
                <w:color w:val="D9D9D9" w:themeColor="background1" w:themeShade="D9"/>
              </w:rPr>
              <w:drawing>
                <wp:inline distT="0" distB="0" distL="0" distR="0" wp14:anchorId="6D9A2F14" wp14:editId="5C783961">
                  <wp:extent cx="552450" cy="439127"/>
                  <wp:effectExtent l="0" t="0" r="0" b="0"/>
                  <wp:docPr id="1826395904"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761042" name=""/>
                          <pic:cNvPicPr/>
                        </pic:nvPicPr>
                        <pic:blipFill>
                          <a:blip r:embed="rId48">
                            <a:extLst>
                              <a:ext uri="{96DAC541-7B7A-43D3-8B79-37D633B846F1}">
                                <asvg:svgBlip xmlns:asvg="http://schemas.microsoft.com/office/drawing/2016/SVG/main" r:embed="rId49"/>
                              </a:ext>
                            </a:extLst>
                          </a:blip>
                          <a:stretch>
                            <a:fillRect/>
                          </a:stretch>
                        </pic:blipFill>
                        <pic:spPr>
                          <a:xfrm>
                            <a:off x="0" y="0"/>
                            <a:ext cx="554050" cy="440399"/>
                          </a:xfrm>
                          <a:prstGeom prst="rect">
                            <a:avLst/>
                          </a:prstGeom>
                        </pic:spPr>
                      </pic:pic>
                    </a:graphicData>
                  </a:graphic>
                </wp:inline>
              </w:drawing>
            </w:r>
          </w:p>
          <w:p w14:paraId="33011A5E" w14:textId="77777777" w:rsidR="00B57E95" w:rsidRPr="00BD22BC" w:rsidRDefault="00B57E95" w:rsidP="00C5618D">
            <w:pPr>
              <w:jc w:val="center"/>
              <w:rPr>
                <w:b/>
                <w:bCs/>
                <w:color w:val="D9D9D9" w:themeColor="background1" w:themeShade="D9"/>
              </w:rPr>
            </w:pPr>
            <w:r w:rsidRPr="00BD22BC">
              <w:rPr>
                <w:b/>
                <w:bCs/>
                <w:color w:val="D9D9D9" w:themeColor="background1" w:themeShade="D9"/>
              </w:rPr>
              <w:t>Monitoring Tools</w:t>
            </w:r>
          </w:p>
        </w:tc>
        <w:tc>
          <w:tcPr>
            <w:tcW w:w="1872" w:type="dxa"/>
            <w:shd w:val="clear" w:color="auto" w:fill="F2F2F2" w:themeFill="background1" w:themeFillShade="F2"/>
          </w:tcPr>
          <w:p w14:paraId="4C5D6117" w14:textId="77777777" w:rsidR="00B57E95" w:rsidRPr="00BD22BC" w:rsidRDefault="00B57E95" w:rsidP="00C5618D">
            <w:pPr>
              <w:jc w:val="center"/>
              <w:rPr>
                <w:b/>
                <w:bCs/>
                <w:color w:val="D9D9D9" w:themeColor="background1" w:themeShade="D9"/>
              </w:rPr>
            </w:pPr>
            <w:r w:rsidRPr="00BD22BC">
              <w:rPr>
                <w:noProof/>
                <w:color w:val="D9D9D9" w:themeColor="background1" w:themeShade="D9"/>
              </w:rPr>
              <w:drawing>
                <wp:inline distT="0" distB="0" distL="0" distR="0" wp14:anchorId="4436CF95" wp14:editId="22CCDEA9">
                  <wp:extent cx="447675" cy="447675"/>
                  <wp:effectExtent l="0" t="0" r="9525" b="9525"/>
                  <wp:docPr id="195635243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475744" name=""/>
                          <pic:cNvPicPr/>
                        </pic:nvPicPr>
                        <pic:blipFill>
                          <a:blip r:embed="rId50">
                            <a:extLst>
                              <a:ext uri="{96DAC541-7B7A-43D3-8B79-37D633B846F1}">
                                <asvg:svgBlip xmlns:asvg="http://schemas.microsoft.com/office/drawing/2016/SVG/main" r:embed="rId51"/>
                              </a:ext>
                            </a:extLst>
                          </a:blip>
                          <a:stretch>
                            <a:fillRect/>
                          </a:stretch>
                        </pic:blipFill>
                        <pic:spPr>
                          <a:xfrm>
                            <a:off x="0" y="0"/>
                            <a:ext cx="447675" cy="447675"/>
                          </a:xfrm>
                          <a:prstGeom prst="rect">
                            <a:avLst/>
                          </a:prstGeom>
                        </pic:spPr>
                      </pic:pic>
                    </a:graphicData>
                  </a:graphic>
                </wp:inline>
              </w:drawing>
            </w:r>
            <w:r w:rsidRPr="00BD22BC">
              <w:rPr>
                <w:b/>
                <w:bCs/>
                <w:color w:val="D9D9D9" w:themeColor="background1" w:themeShade="D9"/>
              </w:rPr>
              <w:t>Benchmarks</w:t>
            </w:r>
          </w:p>
        </w:tc>
        <w:tc>
          <w:tcPr>
            <w:tcW w:w="1872" w:type="dxa"/>
            <w:shd w:val="clear" w:color="auto" w:fill="F2F2F2" w:themeFill="background1" w:themeFillShade="F2"/>
          </w:tcPr>
          <w:p w14:paraId="42F0241E" w14:textId="77777777" w:rsidR="009C1356" w:rsidRPr="00BD22BC" w:rsidRDefault="00B57E95" w:rsidP="00C5618D">
            <w:pPr>
              <w:jc w:val="center"/>
              <w:rPr>
                <w:b/>
                <w:bCs/>
                <w:color w:val="D9D9D9" w:themeColor="background1" w:themeShade="D9"/>
              </w:rPr>
            </w:pPr>
            <w:r w:rsidRPr="00BD22BC">
              <w:rPr>
                <w:b/>
                <w:bCs/>
                <w:noProof/>
                <w:color w:val="D9D9D9" w:themeColor="background1" w:themeShade="D9"/>
              </w:rPr>
              <w:drawing>
                <wp:inline distT="0" distB="0" distL="0" distR="0" wp14:anchorId="24ED8E01" wp14:editId="4300DE82">
                  <wp:extent cx="323850" cy="492003"/>
                  <wp:effectExtent l="0" t="0" r="0" b="3810"/>
                  <wp:docPr id="2069481588"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621843" name=""/>
                          <pic:cNvPicPr/>
                        </pic:nvPicPr>
                        <pic:blipFill>
                          <a:blip r:embed="rId52">
                            <a:extLst>
                              <a:ext uri="{96DAC541-7B7A-43D3-8B79-37D633B846F1}">
                                <asvg:svgBlip xmlns:asvg="http://schemas.microsoft.com/office/drawing/2016/SVG/main" r:embed="rId53"/>
                              </a:ext>
                            </a:extLst>
                          </a:blip>
                          <a:stretch>
                            <a:fillRect/>
                          </a:stretch>
                        </pic:blipFill>
                        <pic:spPr>
                          <a:xfrm>
                            <a:off x="0" y="0"/>
                            <a:ext cx="325320" cy="494236"/>
                          </a:xfrm>
                          <a:prstGeom prst="rect">
                            <a:avLst/>
                          </a:prstGeom>
                        </pic:spPr>
                      </pic:pic>
                    </a:graphicData>
                  </a:graphic>
                </wp:inline>
              </w:drawing>
            </w:r>
          </w:p>
          <w:p w14:paraId="35627A23" w14:textId="67A513A9" w:rsidR="00B57E95" w:rsidRPr="00BD22BC" w:rsidRDefault="00B57E95" w:rsidP="00C5618D">
            <w:pPr>
              <w:jc w:val="center"/>
              <w:rPr>
                <w:b/>
                <w:bCs/>
                <w:color w:val="D9D9D9" w:themeColor="background1" w:themeShade="D9"/>
              </w:rPr>
            </w:pPr>
            <w:r w:rsidRPr="00BD22BC">
              <w:rPr>
                <w:b/>
                <w:bCs/>
                <w:color w:val="D9D9D9" w:themeColor="background1" w:themeShade="D9"/>
              </w:rPr>
              <w:t>Timeframe</w:t>
            </w:r>
          </w:p>
        </w:tc>
      </w:tr>
    </w:tbl>
    <w:p w14:paraId="19E01814" w14:textId="77777777" w:rsidR="00B57E95" w:rsidRPr="00BD22BC" w:rsidRDefault="00B57E95" w:rsidP="00EA75D1"/>
    <w:p w14:paraId="72AA79B4" w14:textId="77777777" w:rsidR="00B57E95" w:rsidRPr="00BD22BC" w:rsidRDefault="00B57E95" w:rsidP="00EA75D1"/>
    <w:p w14:paraId="31F6AB2C" w14:textId="788BA24E" w:rsidR="00862758" w:rsidRPr="00BD22BC" w:rsidRDefault="00B57E95" w:rsidP="00862758">
      <w:r>
        <w:t>To e</w:t>
      </w:r>
      <w:r w:rsidR="00A611C5">
        <w:t>stablish a clear objective</w:t>
      </w:r>
      <w:r>
        <w:t xml:space="preserve">, you must </w:t>
      </w:r>
      <w:r w:rsidR="007944DE">
        <w:t>identify</w:t>
      </w:r>
      <w:r>
        <w:t xml:space="preserve"> how you </w:t>
      </w:r>
      <w:r w:rsidR="00A611C5">
        <w:t>defin</w:t>
      </w:r>
      <w:r>
        <w:t>e</w:t>
      </w:r>
      <w:r w:rsidR="00730AEB">
        <w:t xml:space="preserve"> success.</w:t>
      </w:r>
      <w:r w:rsidR="00A611C5">
        <w:t xml:space="preserve"> </w:t>
      </w:r>
      <w:r w:rsidR="007944DE">
        <w:t>Consider</w:t>
      </w:r>
      <w:r w:rsidR="00862758">
        <w:t xml:space="preserve"> the following questions:</w:t>
      </w:r>
    </w:p>
    <w:p w14:paraId="5F118881" w14:textId="29AC7C43" w:rsidR="00862758" w:rsidRPr="00BD22BC" w:rsidRDefault="00862758" w:rsidP="00862758">
      <w:pPr>
        <w:numPr>
          <w:ilvl w:val="0"/>
          <w:numId w:val="53"/>
        </w:numPr>
        <w:spacing w:after="160" w:line="278" w:lineRule="auto"/>
      </w:pPr>
      <w:r>
        <w:t>What would a successful communication look like?</w:t>
      </w:r>
    </w:p>
    <w:p w14:paraId="3EAEAEAE" w14:textId="6A8C7985" w:rsidR="00862758" w:rsidRPr="00BD22BC" w:rsidRDefault="00862758" w:rsidP="00862758">
      <w:pPr>
        <w:numPr>
          <w:ilvl w:val="0"/>
          <w:numId w:val="53"/>
        </w:numPr>
        <w:spacing w:after="160" w:line="278" w:lineRule="auto"/>
      </w:pPr>
      <w:r w:rsidRPr="00BD22BC">
        <w:t xml:space="preserve">Is the success of the agency’s communications work measurable? </w:t>
      </w:r>
    </w:p>
    <w:p w14:paraId="4E701FAD" w14:textId="1C027980" w:rsidR="00862758" w:rsidRPr="00BD22BC" w:rsidRDefault="00862758" w:rsidP="00862758">
      <w:pPr>
        <w:numPr>
          <w:ilvl w:val="0"/>
          <w:numId w:val="53"/>
        </w:numPr>
        <w:spacing w:after="160" w:line="278" w:lineRule="auto"/>
      </w:pPr>
      <w:r w:rsidRPr="00BD22BC">
        <w:t>What behaviors, actions, or sentiments do you expect from your audience following your communication(s)?</w:t>
      </w:r>
    </w:p>
    <w:p w14:paraId="3E7C2137" w14:textId="77777777" w:rsidR="00862758" w:rsidRPr="00BD22BC" w:rsidRDefault="00862758" w:rsidP="00862758">
      <w:r>
        <w:t>The definition of success is different for different institutions. However, some typical definitions include:</w:t>
      </w:r>
    </w:p>
    <w:p w14:paraId="3B130E00" w14:textId="77777777" w:rsidR="00862758" w:rsidRPr="00BD22BC" w:rsidRDefault="00862758" w:rsidP="00862758"/>
    <w:p w14:paraId="650CF9BA" w14:textId="77777777" w:rsidR="00862758" w:rsidRPr="00913C21" w:rsidRDefault="00862758" w:rsidP="00862758">
      <w:pPr>
        <w:rPr>
          <w:b/>
          <w:bCs/>
        </w:rPr>
      </w:pPr>
      <w:r w:rsidRPr="38638030">
        <w:rPr>
          <w:b/>
          <w:bCs/>
        </w:rPr>
        <w:t>&lt;</w:t>
      </w:r>
      <w:proofErr w:type="spellStart"/>
      <w:r w:rsidRPr="38638030">
        <w:rPr>
          <w:b/>
          <w:bCs/>
        </w:rPr>
        <w:t>Flashcard?_START</w:t>
      </w:r>
      <w:proofErr w:type="spellEnd"/>
      <w:r w:rsidRPr="38638030">
        <w:rPr>
          <w:b/>
          <w:bCs/>
        </w:rPr>
        <w:t>&gt;</w:t>
      </w:r>
    </w:p>
    <w:p w14:paraId="3DD54BB5" w14:textId="6E19805A" w:rsidR="00862758" w:rsidRPr="00BD22BC" w:rsidRDefault="00862758" w:rsidP="00862758">
      <w:pPr>
        <w:numPr>
          <w:ilvl w:val="0"/>
          <w:numId w:val="54"/>
        </w:numPr>
        <w:spacing w:after="160" w:line="278" w:lineRule="auto"/>
      </w:pPr>
      <w:r>
        <w:t xml:space="preserve">Greater public understanding of policy aims and actions, and awareness of </w:t>
      </w:r>
      <w:r w:rsidR="00027D99">
        <w:t xml:space="preserve">the </w:t>
      </w:r>
      <w:r>
        <w:t xml:space="preserve">institution’s mandate and policies. </w:t>
      </w:r>
    </w:p>
    <w:p w14:paraId="3AC63140" w14:textId="03F70110" w:rsidR="00862758" w:rsidRPr="00BD22BC" w:rsidRDefault="00862758" w:rsidP="00862758">
      <w:pPr>
        <w:numPr>
          <w:ilvl w:val="1"/>
          <w:numId w:val="54"/>
        </w:numPr>
        <w:spacing w:after="160" w:line="278" w:lineRule="auto"/>
      </w:pPr>
      <w:r w:rsidRPr="38638030">
        <w:rPr>
          <w:b/>
          <w:bCs/>
        </w:rPr>
        <w:t>Example:</w:t>
      </w:r>
      <w:r>
        <w:t xml:space="preserve"> In a poll 60% of respondents correctly identify the institution’s quantitative target, policy mandates, and so on. </w:t>
      </w:r>
    </w:p>
    <w:p w14:paraId="605C3D90" w14:textId="0EFBF792" w:rsidR="00862758" w:rsidRPr="00BD22BC" w:rsidRDefault="00862758" w:rsidP="00862758">
      <w:pPr>
        <w:numPr>
          <w:ilvl w:val="0"/>
          <w:numId w:val="54"/>
        </w:numPr>
        <w:spacing w:after="160" w:line="278" w:lineRule="auto"/>
      </w:pPr>
      <w:r>
        <w:t xml:space="preserve">Positive sentiment toward </w:t>
      </w:r>
      <w:r w:rsidR="00027D99">
        <w:t xml:space="preserve">the </w:t>
      </w:r>
      <w:r>
        <w:t>institution’s policy decisions by stakeholders.</w:t>
      </w:r>
    </w:p>
    <w:p w14:paraId="4DB2AAEF" w14:textId="75AF7691" w:rsidR="00862758" w:rsidRPr="00BD22BC" w:rsidRDefault="00862758" w:rsidP="00862758">
      <w:pPr>
        <w:numPr>
          <w:ilvl w:val="1"/>
          <w:numId w:val="54"/>
        </w:numPr>
        <w:spacing w:after="160" w:line="278" w:lineRule="auto"/>
      </w:pPr>
      <w:r w:rsidRPr="38638030">
        <w:rPr>
          <w:b/>
          <w:bCs/>
        </w:rPr>
        <w:lastRenderedPageBreak/>
        <w:t>Example:</w:t>
      </w:r>
      <w:r>
        <w:t xml:space="preserve"> Inflation expectations (or expectations of debt evolution) converge </w:t>
      </w:r>
      <w:r w:rsidR="00027D99">
        <w:t xml:space="preserve">on the </w:t>
      </w:r>
      <w:r>
        <w:t>institution’s communicated</w:t>
      </w:r>
      <w:r w:rsidR="00027D99">
        <w:t xml:space="preserve"> projections</w:t>
      </w:r>
      <w:r>
        <w:t>.</w:t>
      </w:r>
    </w:p>
    <w:p w14:paraId="5A5462B2" w14:textId="77777777" w:rsidR="00862758" w:rsidRPr="00BD22BC" w:rsidRDefault="00862758" w:rsidP="00862758">
      <w:pPr>
        <w:numPr>
          <w:ilvl w:val="0"/>
          <w:numId w:val="54"/>
        </w:numPr>
        <w:spacing w:after="160" w:line="278" w:lineRule="auto"/>
      </w:pPr>
      <w:r w:rsidRPr="00BD22BC">
        <w:t>Media and social media mentions are on message.</w:t>
      </w:r>
    </w:p>
    <w:p w14:paraId="725B38A1" w14:textId="40EF879C" w:rsidR="00862758" w:rsidRPr="00BD22BC" w:rsidRDefault="00862758" w:rsidP="00862758">
      <w:pPr>
        <w:numPr>
          <w:ilvl w:val="1"/>
          <w:numId w:val="54"/>
        </w:numPr>
        <w:spacing w:after="160" w:line="278" w:lineRule="auto"/>
      </w:pPr>
      <w:r w:rsidRPr="38638030">
        <w:rPr>
          <w:b/>
          <w:bCs/>
        </w:rPr>
        <w:t>Example:</w:t>
      </w:r>
      <w:r>
        <w:t xml:space="preserve"> 80% of media coverage prominently mentioned your message of cutting interest rate</w:t>
      </w:r>
      <w:r w:rsidR="00027D99">
        <w:t>s</w:t>
      </w:r>
      <w:r>
        <w:t>.</w:t>
      </w:r>
    </w:p>
    <w:p w14:paraId="30985CE5" w14:textId="77777777" w:rsidR="00862758" w:rsidRPr="00913C21" w:rsidRDefault="00862758" w:rsidP="00862758">
      <w:pPr>
        <w:rPr>
          <w:b/>
          <w:bCs/>
        </w:rPr>
      </w:pPr>
      <w:r w:rsidRPr="38638030">
        <w:rPr>
          <w:b/>
          <w:bCs/>
        </w:rPr>
        <w:t>&lt;</w:t>
      </w:r>
      <w:proofErr w:type="spellStart"/>
      <w:r w:rsidRPr="38638030">
        <w:rPr>
          <w:b/>
          <w:bCs/>
        </w:rPr>
        <w:t>Flashcard?_END</w:t>
      </w:r>
      <w:proofErr w:type="spellEnd"/>
      <w:r w:rsidRPr="38638030">
        <w:rPr>
          <w:b/>
          <w:bCs/>
        </w:rPr>
        <w:t>&gt;</w:t>
      </w:r>
    </w:p>
    <w:p w14:paraId="2EB25A6E" w14:textId="77777777" w:rsidR="00862758" w:rsidRPr="00BD22BC" w:rsidRDefault="00862758" w:rsidP="00EA75D1"/>
    <w:p w14:paraId="5DC272BB" w14:textId="3C0EF66F" w:rsidR="004373D5" w:rsidRPr="00BD22BC" w:rsidRDefault="282AB17F" w:rsidP="004373D5">
      <w:pPr>
        <w:pStyle w:val="Heading2"/>
      </w:pPr>
      <w:bookmarkStart w:id="120" w:name="_Toc1294014395"/>
      <w:r w:rsidRPr="7EEFCAA8">
        <w:rPr>
          <w:highlight w:val="yellow"/>
        </w:rPr>
        <w:t>UNIT 4.</w:t>
      </w:r>
      <w:r w:rsidR="00101D56">
        <w:rPr>
          <w:highlight w:val="yellow"/>
        </w:rPr>
        <w:t>3</w:t>
      </w:r>
      <w:r w:rsidRPr="7EEFCAA8">
        <w:rPr>
          <w:highlight w:val="yellow"/>
        </w:rPr>
        <w:t>:</w:t>
      </w:r>
      <w:r>
        <w:t xml:space="preserve"> </w:t>
      </w:r>
      <w:r w:rsidR="42AC078B">
        <w:t>KPI</w:t>
      </w:r>
      <w:r w:rsidR="0490EEF3">
        <w:t>s</w:t>
      </w:r>
      <w:r w:rsidR="42AC078B">
        <w:t xml:space="preserve"> and Metrics</w:t>
      </w:r>
      <w:bookmarkEnd w:id="120"/>
    </w:p>
    <w:p w14:paraId="0811BEE0" w14:textId="77777777" w:rsidR="004373D5" w:rsidRPr="00BD22BC" w:rsidRDefault="004373D5" w:rsidP="00EA75D1"/>
    <w:p w14:paraId="6049BA04" w14:textId="77777777" w:rsidR="000E291C" w:rsidRPr="00BD22BC" w:rsidRDefault="000E291C" w:rsidP="00EA75D1"/>
    <w:p w14:paraId="39F50936" w14:textId="77777777" w:rsidR="00862758" w:rsidRPr="00BD22BC" w:rsidRDefault="00862758" w:rsidP="00EA75D1"/>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6A0" w:firstRow="1" w:lastRow="0" w:firstColumn="1" w:lastColumn="0" w:noHBand="1" w:noVBand="1"/>
      </w:tblPr>
      <w:tblGrid>
        <w:gridCol w:w="1872"/>
        <w:gridCol w:w="1872"/>
        <w:gridCol w:w="1872"/>
        <w:gridCol w:w="1872"/>
        <w:gridCol w:w="1872"/>
      </w:tblGrid>
      <w:tr w:rsidR="000E291C" w:rsidRPr="00BD22BC" w14:paraId="1F7AC500" w14:textId="77777777" w:rsidTr="00C5618D">
        <w:trPr>
          <w:trHeight w:val="300"/>
        </w:trPr>
        <w:tc>
          <w:tcPr>
            <w:tcW w:w="1872" w:type="dxa"/>
          </w:tcPr>
          <w:p w14:paraId="3416977F" w14:textId="77777777" w:rsidR="000E291C" w:rsidRPr="00BD22BC" w:rsidRDefault="000E291C" w:rsidP="00C5618D">
            <w:pPr>
              <w:jc w:val="center"/>
              <w:rPr>
                <w:b/>
                <w:bCs/>
              </w:rPr>
            </w:pPr>
            <w:r w:rsidRPr="00BD22BC">
              <w:rPr>
                <w:b/>
                <w:bCs/>
                <w:noProof/>
              </w:rPr>
              <w:drawing>
                <wp:inline distT="0" distB="0" distL="0" distR="0" wp14:anchorId="43E4588E" wp14:editId="4191BD4E">
                  <wp:extent cx="542925" cy="536138"/>
                  <wp:effectExtent l="0" t="0" r="0" b="0"/>
                  <wp:docPr id="131873400"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0461829" name=""/>
                          <pic:cNvPicPr/>
                        </pic:nvPicPr>
                        <pic:blipFill>
                          <a:blip r:embed="rId44">
                            <a:extLst>
                              <a:ext uri="{96DAC541-7B7A-43D3-8B79-37D633B846F1}">
                                <asvg:svgBlip xmlns:asvg="http://schemas.microsoft.com/office/drawing/2016/SVG/main" r:embed="rId45"/>
                              </a:ext>
                            </a:extLst>
                          </a:blip>
                          <a:stretch>
                            <a:fillRect/>
                          </a:stretch>
                        </pic:blipFill>
                        <pic:spPr>
                          <a:xfrm>
                            <a:off x="0" y="0"/>
                            <a:ext cx="545030" cy="538217"/>
                          </a:xfrm>
                          <a:prstGeom prst="rect">
                            <a:avLst/>
                          </a:prstGeom>
                        </pic:spPr>
                      </pic:pic>
                    </a:graphicData>
                  </a:graphic>
                </wp:inline>
              </w:drawing>
            </w:r>
          </w:p>
          <w:p w14:paraId="61BEB93A" w14:textId="77777777" w:rsidR="000E291C" w:rsidRPr="00BD22BC" w:rsidRDefault="000E291C" w:rsidP="00C5618D">
            <w:pPr>
              <w:jc w:val="center"/>
              <w:rPr>
                <w:b/>
                <w:bCs/>
              </w:rPr>
            </w:pPr>
            <w:r w:rsidRPr="00BD22BC">
              <w:rPr>
                <w:b/>
                <w:bCs/>
                <w:color w:val="D9D9D9" w:themeColor="background1" w:themeShade="D9"/>
              </w:rPr>
              <w:t>Clear objectives</w:t>
            </w:r>
          </w:p>
        </w:tc>
        <w:tc>
          <w:tcPr>
            <w:tcW w:w="1872" w:type="dxa"/>
          </w:tcPr>
          <w:p w14:paraId="6CD4DAF5" w14:textId="77777777" w:rsidR="000E291C" w:rsidRPr="00BD22BC" w:rsidRDefault="000E291C" w:rsidP="00C5618D">
            <w:pPr>
              <w:jc w:val="center"/>
              <w:rPr>
                <w:b/>
                <w:bCs/>
              </w:rPr>
            </w:pPr>
            <w:r w:rsidRPr="00BD22BC">
              <w:rPr>
                <w:b/>
                <w:bCs/>
                <w:noProof/>
              </w:rPr>
              <w:drawing>
                <wp:inline distT="0" distB="0" distL="0" distR="0" wp14:anchorId="15593D5D" wp14:editId="1B93D854">
                  <wp:extent cx="742950" cy="742950"/>
                  <wp:effectExtent l="0" t="0" r="0" b="0"/>
                  <wp:docPr id="1229438084"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9750405" name=""/>
                          <pic:cNvPicPr/>
                        </pic:nvPicPr>
                        <pic:blipFill>
                          <a:blip r:embed="rId46">
                            <a:extLst>
                              <a:ext uri="{96DAC541-7B7A-43D3-8B79-37D633B846F1}">
                                <asvg:svgBlip xmlns:asvg="http://schemas.microsoft.com/office/drawing/2016/SVG/main" r:embed="rId47"/>
                              </a:ext>
                            </a:extLst>
                          </a:blip>
                          <a:stretch>
                            <a:fillRect/>
                          </a:stretch>
                        </pic:blipFill>
                        <pic:spPr>
                          <a:xfrm>
                            <a:off x="0" y="0"/>
                            <a:ext cx="742950" cy="742950"/>
                          </a:xfrm>
                          <a:prstGeom prst="rect">
                            <a:avLst/>
                          </a:prstGeom>
                        </pic:spPr>
                      </pic:pic>
                    </a:graphicData>
                  </a:graphic>
                </wp:inline>
              </w:drawing>
            </w:r>
          </w:p>
          <w:p w14:paraId="3CE0D0A1" w14:textId="77777777" w:rsidR="000E291C" w:rsidRPr="00BD22BC" w:rsidRDefault="000E291C" w:rsidP="00C5618D">
            <w:pPr>
              <w:jc w:val="center"/>
              <w:rPr>
                <w:b/>
                <w:bCs/>
              </w:rPr>
            </w:pPr>
            <w:r w:rsidRPr="00BD22BC">
              <w:rPr>
                <w:b/>
                <w:bCs/>
              </w:rPr>
              <w:t>KPIs and Metrics</w:t>
            </w:r>
          </w:p>
        </w:tc>
        <w:tc>
          <w:tcPr>
            <w:tcW w:w="1872" w:type="dxa"/>
          </w:tcPr>
          <w:p w14:paraId="17B0926C" w14:textId="77777777" w:rsidR="000E291C" w:rsidRPr="00BD22BC" w:rsidRDefault="000E291C" w:rsidP="00C5618D">
            <w:pPr>
              <w:jc w:val="center"/>
              <w:rPr>
                <w:b/>
                <w:bCs/>
              </w:rPr>
            </w:pPr>
            <w:r w:rsidRPr="00BD22BC">
              <w:rPr>
                <w:noProof/>
              </w:rPr>
              <w:drawing>
                <wp:inline distT="0" distB="0" distL="0" distR="0" wp14:anchorId="11DEC332" wp14:editId="4ECC6ED0">
                  <wp:extent cx="599153" cy="476250"/>
                  <wp:effectExtent l="0" t="0" r="0" b="0"/>
                  <wp:docPr id="1317450439"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761042" name=""/>
                          <pic:cNvPicPr/>
                        </pic:nvPicPr>
                        <pic:blipFill>
                          <a:blip r:embed="rId48">
                            <a:extLst>
                              <a:ext uri="{96DAC541-7B7A-43D3-8B79-37D633B846F1}">
                                <asvg:svgBlip xmlns:asvg="http://schemas.microsoft.com/office/drawing/2016/SVG/main" r:embed="rId49"/>
                              </a:ext>
                            </a:extLst>
                          </a:blip>
                          <a:stretch>
                            <a:fillRect/>
                          </a:stretch>
                        </pic:blipFill>
                        <pic:spPr>
                          <a:xfrm>
                            <a:off x="0" y="0"/>
                            <a:ext cx="600746" cy="477516"/>
                          </a:xfrm>
                          <a:prstGeom prst="rect">
                            <a:avLst/>
                          </a:prstGeom>
                        </pic:spPr>
                      </pic:pic>
                    </a:graphicData>
                  </a:graphic>
                </wp:inline>
              </w:drawing>
            </w:r>
          </w:p>
          <w:p w14:paraId="6BEDFC38" w14:textId="77777777" w:rsidR="000E291C" w:rsidRPr="00BD22BC" w:rsidRDefault="000E291C" w:rsidP="00C5618D">
            <w:pPr>
              <w:jc w:val="center"/>
              <w:rPr>
                <w:b/>
                <w:bCs/>
              </w:rPr>
            </w:pPr>
            <w:r w:rsidRPr="00BD22BC">
              <w:rPr>
                <w:b/>
                <w:bCs/>
                <w:color w:val="D9D9D9" w:themeColor="background1" w:themeShade="D9"/>
              </w:rPr>
              <w:t>Monitoring Tools</w:t>
            </w:r>
          </w:p>
        </w:tc>
        <w:tc>
          <w:tcPr>
            <w:tcW w:w="1872" w:type="dxa"/>
          </w:tcPr>
          <w:p w14:paraId="23F1D905" w14:textId="77777777" w:rsidR="000E291C" w:rsidRPr="00BD22BC" w:rsidRDefault="000E291C" w:rsidP="00C5618D">
            <w:pPr>
              <w:jc w:val="center"/>
              <w:rPr>
                <w:b/>
                <w:bCs/>
                <w:color w:val="D9D9D9" w:themeColor="background1" w:themeShade="D9"/>
              </w:rPr>
            </w:pPr>
            <w:r w:rsidRPr="00BD22BC">
              <w:rPr>
                <w:noProof/>
                <w:color w:val="D9D9D9" w:themeColor="background1" w:themeShade="D9"/>
              </w:rPr>
              <w:drawing>
                <wp:inline distT="0" distB="0" distL="0" distR="0" wp14:anchorId="69DC018D" wp14:editId="26D7C020">
                  <wp:extent cx="533400" cy="533400"/>
                  <wp:effectExtent l="0" t="0" r="0" b="0"/>
                  <wp:docPr id="957894267"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475744" name=""/>
                          <pic:cNvPicPr/>
                        </pic:nvPicPr>
                        <pic:blipFill>
                          <a:blip r:embed="rId50">
                            <a:extLst>
                              <a:ext uri="{96DAC541-7B7A-43D3-8B79-37D633B846F1}">
                                <asvg:svgBlip xmlns:asvg="http://schemas.microsoft.com/office/drawing/2016/SVG/main" r:embed="rId51"/>
                              </a:ext>
                            </a:extLst>
                          </a:blip>
                          <a:stretch>
                            <a:fillRect/>
                          </a:stretch>
                        </pic:blipFill>
                        <pic:spPr>
                          <a:xfrm>
                            <a:off x="0" y="0"/>
                            <a:ext cx="533400" cy="533400"/>
                          </a:xfrm>
                          <a:prstGeom prst="rect">
                            <a:avLst/>
                          </a:prstGeom>
                        </pic:spPr>
                      </pic:pic>
                    </a:graphicData>
                  </a:graphic>
                </wp:inline>
              </w:drawing>
            </w:r>
            <w:r w:rsidRPr="00BD22BC">
              <w:rPr>
                <w:b/>
                <w:bCs/>
                <w:color w:val="D9D9D9" w:themeColor="background1" w:themeShade="D9"/>
              </w:rPr>
              <w:t>Benchmarks</w:t>
            </w:r>
          </w:p>
        </w:tc>
        <w:tc>
          <w:tcPr>
            <w:tcW w:w="1872" w:type="dxa"/>
          </w:tcPr>
          <w:p w14:paraId="5D25FE82" w14:textId="77777777" w:rsidR="000E291C" w:rsidRPr="00BD22BC" w:rsidRDefault="000E291C" w:rsidP="00C5618D">
            <w:pPr>
              <w:jc w:val="center"/>
              <w:rPr>
                <w:b/>
                <w:bCs/>
                <w:color w:val="D9D9D9" w:themeColor="background1" w:themeShade="D9"/>
              </w:rPr>
            </w:pPr>
            <w:r w:rsidRPr="00BD22BC">
              <w:rPr>
                <w:b/>
                <w:bCs/>
                <w:noProof/>
                <w:color w:val="D9D9D9" w:themeColor="background1" w:themeShade="D9"/>
              </w:rPr>
              <w:drawing>
                <wp:inline distT="0" distB="0" distL="0" distR="0" wp14:anchorId="500B56F8" wp14:editId="37BA1119">
                  <wp:extent cx="313481" cy="476250"/>
                  <wp:effectExtent l="0" t="0" r="0" b="0"/>
                  <wp:docPr id="1472273612"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621843" name=""/>
                          <pic:cNvPicPr/>
                        </pic:nvPicPr>
                        <pic:blipFill>
                          <a:blip r:embed="rId52">
                            <a:extLst>
                              <a:ext uri="{96DAC541-7B7A-43D3-8B79-37D633B846F1}">
                                <asvg:svgBlip xmlns:asvg="http://schemas.microsoft.com/office/drawing/2016/SVG/main" r:embed="rId53"/>
                              </a:ext>
                            </a:extLst>
                          </a:blip>
                          <a:stretch>
                            <a:fillRect/>
                          </a:stretch>
                        </pic:blipFill>
                        <pic:spPr>
                          <a:xfrm>
                            <a:off x="0" y="0"/>
                            <a:ext cx="315342" cy="479077"/>
                          </a:xfrm>
                          <a:prstGeom prst="rect">
                            <a:avLst/>
                          </a:prstGeom>
                        </pic:spPr>
                      </pic:pic>
                    </a:graphicData>
                  </a:graphic>
                </wp:inline>
              </w:drawing>
            </w:r>
          </w:p>
          <w:p w14:paraId="101F6538" w14:textId="39DFE376" w:rsidR="000E291C" w:rsidRPr="00BD22BC" w:rsidRDefault="000E291C" w:rsidP="00C5618D">
            <w:pPr>
              <w:jc w:val="center"/>
              <w:rPr>
                <w:b/>
                <w:bCs/>
                <w:color w:val="D9D9D9" w:themeColor="background1" w:themeShade="D9"/>
              </w:rPr>
            </w:pPr>
            <w:r w:rsidRPr="00BD22BC">
              <w:rPr>
                <w:b/>
                <w:bCs/>
                <w:color w:val="D9D9D9" w:themeColor="background1" w:themeShade="D9"/>
              </w:rPr>
              <w:t>Timeframe</w:t>
            </w:r>
          </w:p>
        </w:tc>
      </w:tr>
    </w:tbl>
    <w:p w14:paraId="08EDA303" w14:textId="77777777" w:rsidR="000E291C" w:rsidRPr="00BD22BC" w:rsidRDefault="000E291C" w:rsidP="00EA75D1"/>
    <w:p w14:paraId="519F078F" w14:textId="676F3355" w:rsidR="00EA75D1" w:rsidRPr="00BD22BC" w:rsidRDefault="00E43743" w:rsidP="00EA75D1">
      <w:r>
        <w:t>The e</w:t>
      </w:r>
      <w:r w:rsidR="00EA75D1">
        <w:t xml:space="preserve">ffectiveness of communication needs to be assessed regularly. Let us focus on the quantitative measurement of impact in communications efforts, specifically through digital data. Although </w:t>
      </w:r>
      <w:r w:rsidR="00810557">
        <w:t xml:space="preserve">various </w:t>
      </w:r>
      <w:r w:rsidR="00EA75D1">
        <w:t>aspects of communications cannot be easily quantified due to their informal or nondigital nature, measurable digital metrics can provide concrete insights into the effectiveness of communication efforts.</w:t>
      </w:r>
    </w:p>
    <w:p w14:paraId="51B63EEA" w14:textId="77777777" w:rsidR="001B08A4" w:rsidRPr="00BD22BC" w:rsidRDefault="001B08A4" w:rsidP="00EA75D1"/>
    <w:p w14:paraId="19AD2EC0" w14:textId="2BCE70B7" w:rsidR="00EA75D1" w:rsidRPr="00BD22BC" w:rsidRDefault="00EA75D1" w:rsidP="00EA75D1">
      <w:r>
        <w:t xml:space="preserve">To measure success, </w:t>
      </w:r>
      <w:r w:rsidR="039D0F6C">
        <w:t xml:space="preserve">the agency </w:t>
      </w:r>
      <w:r>
        <w:t>need</w:t>
      </w:r>
      <w:r w:rsidR="00913C21">
        <w:t>s</w:t>
      </w:r>
      <w:r>
        <w:t xml:space="preserve"> to define </w:t>
      </w:r>
      <w:r w:rsidR="00027D99">
        <w:t>k</w:t>
      </w:r>
      <w:r>
        <w:t xml:space="preserve">ey </w:t>
      </w:r>
      <w:r w:rsidR="00027D99">
        <w:t>p</w:t>
      </w:r>
      <w:r>
        <w:t xml:space="preserve">erformance </w:t>
      </w:r>
      <w:r w:rsidR="00027D99">
        <w:t>i</w:t>
      </w:r>
      <w:r>
        <w:t>ndicators (KPIs) such as:</w:t>
      </w:r>
    </w:p>
    <w:p w14:paraId="5A654B90" w14:textId="77777777" w:rsidR="000C6142" w:rsidRPr="00BD22BC" w:rsidRDefault="000C6142" w:rsidP="00EA75D1"/>
    <w:p w14:paraId="4F45D0DA" w14:textId="7C6E0EF4" w:rsidR="000C6142" w:rsidRPr="00913C21" w:rsidRDefault="000C6142" w:rsidP="00EA75D1">
      <w:pPr>
        <w:rPr>
          <w:b/>
          <w:bCs/>
        </w:rPr>
      </w:pPr>
      <w:r w:rsidRPr="00913C21">
        <w:rPr>
          <w:b/>
          <w:bCs/>
          <w:highlight w:val="yellow"/>
        </w:rPr>
        <w:t>&lt;HOTSPOT_OR ACCORDION_START&gt;</w:t>
      </w:r>
    </w:p>
    <w:p w14:paraId="23E734EC" w14:textId="7A62FC38" w:rsidR="00EA75D1" w:rsidRPr="00BD22BC" w:rsidRDefault="00EA75D1" w:rsidP="00EA75D1">
      <w:pPr>
        <w:numPr>
          <w:ilvl w:val="0"/>
          <w:numId w:val="55"/>
        </w:numPr>
        <w:spacing w:after="160" w:line="278" w:lineRule="auto"/>
      </w:pPr>
      <w:r w:rsidRPr="38638030">
        <w:rPr>
          <w:b/>
          <w:bCs/>
        </w:rPr>
        <w:t>Volume of mentions</w:t>
      </w:r>
      <w:r>
        <w:t xml:space="preserve">: How frequently is </w:t>
      </w:r>
      <w:r w:rsidR="710FC31E">
        <w:t>the</w:t>
      </w:r>
      <w:r>
        <w:t xml:space="preserve"> message mentioned across media platforms?</w:t>
      </w:r>
    </w:p>
    <w:p w14:paraId="77E60BE9" w14:textId="53EE9E1A" w:rsidR="00EA75D1" w:rsidRPr="00BD22BC" w:rsidRDefault="00EA75D1" w:rsidP="00EA75D1">
      <w:pPr>
        <w:numPr>
          <w:ilvl w:val="1"/>
          <w:numId w:val="55"/>
        </w:numPr>
        <w:spacing w:after="160" w:line="278" w:lineRule="auto"/>
        <w:rPr>
          <w:rFonts w:ascii="Aptos" w:eastAsia="Aptos" w:hAnsi="Aptos" w:cs="Aptos"/>
        </w:rPr>
      </w:pPr>
      <w:r w:rsidRPr="38638030">
        <w:rPr>
          <w:rFonts w:ascii="Aptos" w:eastAsia="Aptos" w:hAnsi="Aptos" w:cs="Aptos"/>
        </w:rPr>
        <w:t>For example, the IMF assesses media impact following the release of the World Economic Outlook by tracking news articles that referenced either the IMF or the IMF Chief Economist by name.</w:t>
      </w:r>
    </w:p>
    <w:p w14:paraId="4F63E31A" w14:textId="77777777" w:rsidR="00EA75D1" w:rsidRPr="00BD22BC" w:rsidRDefault="00EA75D1" w:rsidP="00EA75D1">
      <w:pPr>
        <w:numPr>
          <w:ilvl w:val="1"/>
          <w:numId w:val="55"/>
        </w:numPr>
        <w:spacing w:after="160" w:line="278" w:lineRule="auto"/>
        <w:rPr>
          <w:rFonts w:ascii="Aptos" w:eastAsia="Aptos" w:hAnsi="Aptos" w:cs="Aptos"/>
        </w:rPr>
      </w:pPr>
      <w:r w:rsidRPr="1BB63DC4">
        <w:rPr>
          <w:rFonts w:ascii="Aptos" w:eastAsia="Aptos" w:hAnsi="Aptos" w:cs="Aptos"/>
        </w:rPr>
        <w:t>What could be an equivalent metric for your institution?</w:t>
      </w:r>
    </w:p>
    <w:p w14:paraId="460C4738" w14:textId="4272E5FB" w:rsidR="00EA75D1" w:rsidRPr="00BD22BC" w:rsidRDefault="00EA75D1" w:rsidP="00EA75D1">
      <w:pPr>
        <w:numPr>
          <w:ilvl w:val="0"/>
          <w:numId w:val="55"/>
        </w:numPr>
        <w:spacing w:after="160" w:line="278" w:lineRule="auto"/>
      </w:pPr>
      <w:r w:rsidRPr="00BD22BC">
        <w:rPr>
          <w:b/>
          <w:bCs/>
        </w:rPr>
        <w:t xml:space="preserve">Quality of engagement: </w:t>
      </w:r>
      <w:r w:rsidRPr="00BD22BC">
        <w:t xml:space="preserve">How many people are returning to </w:t>
      </w:r>
      <w:r w:rsidR="43A0B5A6" w:rsidRPr="00BD22BC">
        <w:t>the</w:t>
      </w:r>
      <w:r w:rsidRPr="00BD22BC">
        <w:t xml:space="preserve"> site? How long are they staying?</w:t>
      </w:r>
    </w:p>
    <w:p w14:paraId="601502F6" w14:textId="4CEDAEC4" w:rsidR="00EA75D1" w:rsidRPr="00BD22BC" w:rsidRDefault="00EA75D1" w:rsidP="00EA75D1">
      <w:pPr>
        <w:numPr>
          <w:ilvl w:val="1"/>
          <w:numId w:val="55"/>
        </w:numPr>
        <w:spacing w:after="160" w:line="278" w:lineRule="auto"/>
        <w:rPr>
          <w:rFonts w:ascii="Aptos" w:eastAsia="Aptos" w:hAnsi="Aptos" w:cs="Aptos"/>
        </w:rPr>
      </w:pPr>
      <w:r w:rsidRPr="00BD22BC">
        <w:rPr>
          <w:rFonts w:ascii="Aptos" w:eastAsia="Aptos" w:hAnsi="Aptos" w:cs="Aptos"/>
        </w:rPr>
        <w:t xml:space="preserve">For example, using tools like Adobe Analytics or Google Analytics, </w:t>
      </w:r>
      <w:r w:rsidR="59AAAF08" w:rsidRPr="00BD22BC">
        <w:rPr>
          <w:rFonts w:ascii="Aptos" w:eastAsia="Aptos" w:hAnsi="Aptos" w:cs="Aptos"/>
        </w:rPr>
        <w:t xml:space="preserve">one </w:t>
      </w:r>
      <w:r w:rsidRPr="00BD22BC">
        <w:rPr>
          <w:rFonts w:ascii="Aptos" w:eastAsia="Aptos" w:hAnsi="Aptos" w:cs="Aptos"/>
        </w:rPr>
        <w:t>can easily track the volume of traffic to specific webpages and the time visitors spend on each page.</w:t>
      </w:r>
    </w:p>
    <w:p w14:paraId="211F8C7B" w14:textId="55567436" w:rsidR="00EA75D1" w:rsidRPr="00BD22BC" w:rsidRDefault="00EA75D1" w:rsidP="00EA75D1">
      <w:pPr>
        <w:numPr>
          <w:ilvl w:val="0"/>
          <w:numId w:val="55"/>
        </w:numPr>
        <w:spacing w:after="160" w:line="278" w:lineRule="auto"/>
      </w:pPr>
      <w:r w:rsidRPr="00BD22BC">
        <w:rPr>
          <w:b/>
          <w:bCs/>
        </w:rPr>
        <w:t>Engagement rates</w:t>
      </w:r>
      <w:r w:rsidRPr="00BD22BC">
        <w:t xml:space="preserve">: Are people discussing or sharing </w:t>
      </w:r>
      <w:r w:rsidR="2D100D44" w:rsidRPr="00BD22BC">
        <w:t>the</w:t>
      </w:r>
      <w:r w:rsidRPr="00BD22BC">
        <w:t xml:space="preserve"> communications?</w:t>
      </w:r>
    </w:p>
    <w:p w14:paraId="525D20DA" w14:textId="77777777" w:rsidR="00EA75D1" w:rsidRPr="00BD22BC" w:rsidRDefault="00EA75D1" w:rsidP="00EA75D1">
      <w:pPr>
        <w:numPr>
          <w:ilvl w:val="1"/>
          <w:numId w:val="55"/>
        </w:numPr>
        <w:spacing w:after="160" w:line="278" w:lineRule="auto"/>
        <w:rPr>
          <w:rFonts w:ascii="Aptos" w:eastAsia="Aptos" w:hAnsi="Aptos" w:cs="Aptos"/>
        </w:rPr>
      </w:pPr>
      <w:r w:rsidRPr="00BD22BC">
        <w:rPr>
          <w:rFonts w:ascii="Aptos" w:eastAsia="Aptos" w:hAnsi="Aptos" w:cs="Aptos"/>
        </w:rPr>
        <w:t>On social media, you can measure engagement by adding up the likes, comments, and shares each post receives.</w:t>
      </w:r>
    </w:p>
    <w:p w14:paraId="59C220B0" w14:textId="11A9A9F3" w:rsidR="00EA75D1" w:rsidRPr="00BD22BC" w:rsidRDefault="00EA75D1" w:rsidP="00EA75D1">
      <w:pPr>
        <w:numPr>
          <w:ilvl w:val="1"/>
          <w:numId w:val="55"/>
        </w:numPr>
        <w:spacing w:after="160" w:line="278" w:lineRule="auto"/>
        <w:rPr>
          <w:rFonts w:ascii="Aptos" w:eastAsia="Aptos" w:hAnsi="Aptos" w:cs="Aptos"/>
        </w:rPr>
      </w:pPr>
      <w:r w:rsidRPr="38638030">
        <w:rPr>
          <w:rFonts w:ascii="Aptos" w:eastAsia="Aptos" w:hAnsi="Aptos" w:cs="Aptos"/>
        </w:rPr>
        <w:t xml:space="preserve">Do you think it useful to </w:t>
      </w:r>
      <w:r w:rsidR="00027D99" w:rsidRPr="38638030">
        <w:rPr>
          <w:rFonts w:ascii="Aptos" w:eastAsia="Aptos" w:hAnsi="Aptos" w:cs="Aptos"/>
        </w:rPr>
        <w:t xml:space="preserve">also </w:t>
      </w:r>
      <w:r w:rsidRPr="38638030">
        <w:rPr>
          <w:rFonts w:ascii="Aptos" w:eastAsia="Aptos" w:hAnsi="Aptos" w:cs="Aptos"/>
        </w:rPr>
        <w:t>count the “thumb downs”?</w:t>
      </w:r>
    </w:p>
    <w:p w14:paraId="076CE372" w14:textId="77777777" w:rsidR="00EA75D1" w:rsidRPr="00BD22BC" w:rsidRDefault="00EA75D1" w:rsidP="00EA75D1">
      <w:pPr>
        <w:numPr>
          <w:ilvl w:val="0"/>
          <w:numId w:val="55"/>
        </w:numPr>
        <w:spacing w:after="160" w:line="278" w:lineRule="auto"/>
      </w:pPr>
      <w:r w:rsidRPr="1BB63DC4">
        <w:rPr>
          <w:b/>
          <w:bCs/>
        </w:rPr>
        <w:t>Sentiment assessment</w:t>
      </w:r>
      <w:r>
        <w:t>: Is the public responding positively or negatively to your message?</w:t>
      </w:r>
    </w:p>
    <w:p w14:paraId="775E4847" w14:textId="6FDC65F7" w:rsidR="00EA75D1" w:rsidRPr="00BD22BC" w:rsidRDefault="00EA75D1" w:rsidP="00EA75D1">
      <w:pPr>
        <w:numPr>
          <w:ilvl w:val="1"/>
          <w:numId w:val="55"/>
        </w:numPr>
        <w:spacing w:after="160" w:line="278" w:lineRule="auto"/>
        <w:rPr>
          <w:rFonts w:ascii="Aptos" w:eastAsia="Aptos" w:hAnsi="Aptos" w:cs="Aptos"/>
        </w:rPr>
      </w:pPr>
      <w:r w:rsidRPr="38638030">
        <w:rPr>
          <w:rFonts w:ascii="Aptos" w:eastAsia="Aptos" w:hAnsi="Aptos" w:cs="Aptos"/>
        </w:rPr>
        <w:lastRenderedPageBreak/>
        <w:t xml:space="preserve">By reviewing people’s comments and shares, </w:t>
      </w:r>
      <w:r w:rsidR="766457DD" w:rsidRPr="38638030">
        <w:rPr>
          <w:rFonts w:ascii="Aptos" w:eastAsia="Aptos" w:hAnsi="Aptos" w:cs="Aptos"/>
        </w:rPr>
        <w:t>one</w:t>
      </w:r>
      <w:r w:rsidRPr="38638030">
        <w:rPr>
          <w:rFonts w:ascii="Aptos" w:eastAsia="Aptos" w:hAnsi="Aptos" w:cs="Aptos"/>
        </w:rPr>
        <w:t xml:space="preserve"> can gauge the general trend in audience sentiment toward </w:t>
      </w:r>
      <w:r w:rsidR="0D559018" w:rsidRPr="38638030">
        <w:rPr>
          <w:rFonts w:ascii="Aptos" w:eastAsia="Aptos" w:hAnsi="Aptos" w:cs="Aptos"/>
        </w:rPr>
        <w:t>the</w:t>
      </w:r>
      <w:r w:rsidRPr="38638030">
        <w:rPr>
          <w:rFonts w:ascii="Aptos" w:eastAsia="Aptos" w:hAnsi="Aptos" w:cs="Aptos"/>
        </w:rPr>
        <w:t xml:space="preserve"> message. Additionally, various online tools are available to assist with this assessment.</w:t>
      </w:r>
    </w:p>
    <w:p w14:paraId="13D8A2A3" w14:textId="17C53704" w:rsidR="000C6142" w:rsidRPr="00913C21" w:rsidRDefault="000C6142" w:rsidP="00913C21">
      <w:pPr>
        <w:rPr>
          <w:b/>
          <w:bCs/>
        </w:rPr>
      </w:pPr>
      <w:r w:rsidRPr="00913C21">
        <w:rPr>
          <w:b/>
          <w:bCs/>
          <w:highlight w:val="yellow"/>
        </w:rPr>
        <w:t>&lt;HOTSPOT_OR ACCORDION_END&gt;</w:t>
      </w:r>
    </w:p>
    <w:p w14:paraId="7707D103" w14:textId="77777777" w:rsidR="00EA75D1" w:rsidRPr="00BD22BC" w:rsidRDefault="00EA75D1" w:rsidP="00EA75D1">
      <w:pPr>
        <w:rPr>
          <w:rFonts w:ascii="Aptos" w:eastAsia="Aptos" w:hAnsi="Aptos" w:cs="Aptos"/>
        </w:rPr>
      </w:pPr>
    </w:p>
    <w:p w14:paraId="1BC04071" w14:textId="2F3B57DA" w:rsidR="00137C39" w:rsidRPr="00BD22BC" w:rsidRDefault="00137C39" w:rsidP="00137C39">
      <w:r w:rsidRPr="1BB63DC4">
        <w:rPr>
          <w:b/>
          <w:bCs/>
        </w:rPr>
        <w:t>What Can Be Measured:</w:t>
      </w:r>
    </w:p>
    <w:p w14:paraId="3974E3A7" w14:textId="12A60F41" w:rsidR="00137C39" w:rsidRPr="00BD22BC" w:rsidRDefault="00137C39" w:rsidP="00137C39">
      <w:r w:rsidRPr="00BD22BC">
        <w:t>Tracking the trend of the following results over time and comparing them with benchmarks helps reveal the effectiveness of communications efforts.</w:t>
      </w:r>
    </w:p>
    <w:p w14:paraId="7C0B0BB4" w14:textId="77777777" w:rsidR="001917EC" w:rsidRPr="00BD22BC" w:rsidRDefault="001917EC" w:rsidP="00137C39"/>
    <w:p w14:paraId="2C9408DF" w14:textId="7E7BAF60" w:rsidR="001917EC" w:rsidRPr="00BD22BC" w:rsidRDefault="001917EC" w:rsidP="00137C39">
      <w:r w:rsidRPr="00BD22BC">
        <w:rPr>
          <w:highlight w:val="yellow"/>
        </w:rPr>
        <w:t>&lt;HOTSPOT_OR ACCORDION_START&gt;</w:t>
      </w:r>
    </w:p>
    <w:p w14:paraId="544E44C6" w14:textId="2634A640" w:rsidR="00137C39" w:rsidRPr="00BD22BC" w:rsidRDefault="00137C39" w:rsidP="00137C39">
      <w:pPr>
        <w:numPr>
          <w:ilvl w:val="0"/>
          <w:numId w:val="58"/>
        </w:numPr>
        <w:spacing w:after="160" w:line="278" w:lineRule="auto"/>
      </w:pPr>
      <w:r w:rsidRPr="38638030">
        <w:rPr>
          <w:b/>
          <w:bCs/>
        </w:rPr>
        <w:t>Input</w:t>
      </w:r>
      <w:r>
        <w:t xml:space="preserve"> (</w:t>
      </w:r>
      <w:r w:rsidRPr="38638030">
        <w:rPr>
          <w:b/>
          <w:bCs/>
        </w:rPr>
        <w:t>What was communicated)</w:t>
      </w:r>
      <w:r w:rsidR="00027D99" w:rsidRPr="38638030">
        <w:rPr>
          <w:rFonts w:cs="Arial"/>
        </w:rPr>
        <w:t>—</w:t>
      </w:r>
      <w:r w:rsidR="00027D99">
        <w:t>T</w:t>
      </w:r>
      <w:bookmarkStart w:id="121" w:name="_Hlk183524550"/>
      <w:r w:rsidR="0094051E">
        <w:t>he number of communication activities undertaken by the agency within a specified timeframe, including the dissemination of key messages through press releases, media briefings, and social media posts</w:t>
      </w:r>
      <w:bookmarkEnd w:id="121"/>
      <w:r>
        <w:t>.</w:t>
      </w:r>
    </w:p>
    <w:p w14:paraId="59B1483B" w14:textId="79C96D23" w:rsidR="00137C39" w:rsidRPr="00BD22BC" w:rsidRDefault="00137C39" w:rsidP="00137C39">
      <w:pPr>
        <w:numPr>
          <w:ilvl w:val="1"/>
          <w:numId w:val="58"/>
        </w:numPr>
        <w:spacing w:after="160" w:line="278" w:lineRule="auto"/>
        <w:rPr>
          <w:rFonts w:ascii="Aptos" w:eastAsia="Aptos" w:hAnsi="Aptos" w:cs="Aptos"/>
        </w:rPr>
      </w:pPr>
      <w:r w:rsidRPr="38638030">
        <w:rPr>
          <w:rFonts w:ascii="Aptos" w:eastAsia="Aptos" w:hAnsi="Aptos" w:cs="Aptos"/>
        </w:rPr>
        <w:t>Example: the number of publications or interviews conducted</w:t>
      </w:r>
      <w:r w:rsidR="0094051E" w:rsidRPr="38638030">
        <w:rPr>
          <w:rFonts w:ascii="Aptos" w:eastAsia="Aptos" w:hAnsi="Aptos" w:cs="Aptos"/>
        </w:rPr>
        <w:t xml:space="preserve"> in a given period</w:t>
      </w:r>
      <w:r w:rsidRPr="38638030">
        <w:rPr>
          <w:rFonts w:ascii="Aptos" w:eastAsia="Aptos" w:hAnsi="Aptos" w:cs="Aptos"/>
        </w:rPr>
        <w:t>.</w:t>
      </w:r>
    </w:p>
    <w:p w14:paraId="012CD348" w14:textId="59FAC17D" w:rsidR="00137C39" w:rsidRPr="00BD22BC" w:rsidRDefault="00137C39" w:rsidP="00137C39">
      <w:pPr>
        <w:numPr>
          <w:ilvl w:val="0"/>
          <w:numId w:val="51"/>
        </w:numPr>
        <w:spacing w:after="160" w:line="278" w:lineRule="auto"/>
        <w:rPr>
          <w:b/>
          <w:bCs/>
        </w:rPr>
      </w:pPr>
      <w:r w:rsidRPr="38638030">
        <w:rPr>
          <w:b/>
          <w:bCs/>
        </w:rPr>
        <w:t>Output</w:t>
      </w:r>
      <w:r>
        <w:t xml:space="preserve"> (</w:t>
      </w:r>
      <w:r w:rsidRPr="38638030">
        <w:rPr>
          <w:b/>
          <w:bCs/>
        </w:rPr>
        <w:t>What was obtained in response)</w:t>
      </w:r>
      <w:r w:rsidR="00027D99" w:rsidRPr="38638030">
        <w:rPr>
          <w:rFonts w:ascii="Aptos" w:eastAsia="Aptos" w:hAnsi="Aptos" w:cs="Aptos"/>
          <w:color w:val="231F20"/>
        </w:rPr>
        <w:t>—D</w:t>
      </w:r>
      <w:r w:rsidRPr="38638030">
        <w:rPr>
          <w:rFonts w:ascii="Aptos" w:eastAsia="Aptos" w:hAnsi="Aptos" w:cs="Aptos"/>
          <w:color w:val="231F20"/>
        </w:rPr>
        <w:t>irect results generated by the communication activities, such as</w:t>
      </w:r>
      <w:r>
        <w:t xml:space="preserve"> media coverage and social media mentions.</w:t>
      </w:r>
      <w:r w:rsidRPr="38638030">
        <w:rPr>
          <w:rFonts w:ascii="Aptos" w:eastAsia="Aptos" w:hAnsi="Aptos" w:cs="Aptos"/>
          <w:color w:val="231F20"/>
        </w:rPr>
        <w:t xml:space="preserve"> </w:t>
      </w:r>
    </w:p>
    <w:p w14:paraId="2FB22E73" w14:textId="77777777" w:rsidR="00137C39" w:rsidRPr="00BD22BC" w:rsidRDefault="00137C39" w:rsidP="00137C39">
      <w:pPr>
        <w:numPr>
          <w:ilvl w:val="1"/>
          <w:numId w:val="51"/>
        </w:numPr>
        <w:spacing w:after="160" w:line="278" w:lineRule="auto"/>
        <w:rPr>
          <w:b/>
          <w:bCs/>
        </w:rPr>
      </w:pPr>
      <w:r w:rsidRPr="00BD22BC">
        <w:rPr>
          <w:rFonts w:ascii="Aptos" w:eastAsia="Aptos" w:hAnsi="Aptos" w:cs="Aptos"/>
        </w:rPr>
        <w:t>Example: the number of news articles that mention your institution.</w:t>
      </w:r>
    </w:p>
    <w:p w14:paraId="61ACBB95" w14:textId="25773799" w:rsidR="00137C39" w:rsidRPr="00BD22BC" w:rsidRDefault="00137C39" w:rsidP="00137C39">
      <w:pPr>
        <w:numPr>
          <w:ilvl w:val="0"/>
          <w:numId w:val="58"/>
        </w:numPr>
        <w:spacing w:after="160" w:line="278" w:lineRule="auto"/>
        <w:rPr>
          <w:rFonts w:ascii="Aptos" w:eastAsia="Aptos" w:hAnsi="Aptos" w:cs="Aptos"/>
        </w:rPr>
      </w:pPr>
      <w:r w:rsidRPr="38638030">
        <w:rPr>
          <w:rFonts w:ascii="Aptos" w:eastAsia="Aptos" w:hAnsi="Aptos" w:cs="Aptos"/>
          <w:b/>
          <w:bCs/>
        </w:rPr>
        <w:t>Outcome (What was achieved)</w:t>
      </w:r>
      <w:r w:rsidR="00027D99" w:rsidRPr="38638030">
        <w:rPr>
          <w:rFonts w:ascii="Aptos" w:eastAsia="Aptos" w:hAnsi="Aptos" w:cs="Aptos"/>
        </w:rPr>
        <w:t>—M</w:t>
      </w:r>
      <w:r w:rsidRPr="38638030">
        <w:rPr>
          <w:rFonts w:ascii="Aptos" w:eastAsia="Aptos" w:hAnsi="Aptos" w:cs="Aptos"/>
        </w:rPr>
        <w:t xml:space="preserve">essage resonance by target audiences of communications activities, such as key message pickup by top-tier global media. </w:t>
      </w:r>
    </w:p>
    <w:p w14:paraId="3AA52540" w14:textId="3FB0BF93" w:rsidR="00137C39" w:rsidRPr="00BD22BC" w:rsidRDefault="00137C39" w:rsidP="00137C39">
      <w:pPr>
        <w:pStyle w:val="ListParagraph"/>
        <w:numPr>
          <w:ilvl w:val="1"/>
          <w:numId w:val="58"/>
        </w:numPr>
        <w:spacing w:after="160" w:line="278" w:lineRule="auto"/>
      </w:pPr>
      <w:r w:rsidRPr="00BD22BC">
        <w:t>Example: How many news articles by top-tier global media mentioned the institution prominently (in the title or first paragraph)</w:t>
      </w:r>
    </w:p>
    <w:p w14:paraId="6C92C96F" w14:textId="5B09677B" w:rsidR="00137C39" w:rsidRPr="00BD22BC" w:rsidRDefault="00137C39" w:rsidP="00137C39">
      <w:pPr>
        <w:numPr>
          <w:ilvl w:val="0"/>
          <w:numId w:val="58"/>
        </w:numPr>
        <w:spacing w:after="160" w:line="278" w:lineRule="auto"/>
      </w:pPr>
      <w:r w:rsidRPr="38638030">
        <w:rPr>
          <w:rFonts w:ascii="Aptos" w:eastAsia="Aptos" w:hAnsi="Aptos" w:cs="Aptos"/>
          <w:b/>
          <w:bCs/>
          <w:color w:val="231F20"/>
        </w:rPr>
        <w:t>Impact</w:t>
      </w:r>
      <w:r w:rsidRPr="38638030">
        <w:rPr>
          <w:rFonts w:ascii="Aptos" w:eastAsia="Aptos" w:hAnsi="Aptos" w:cs="Aptos"/>
          <w:color w:val="231F20"/>
        </w:rPr>
        <w:t xml:space="preserve"> (</w:t>
      </w:r>
      <w:r w:rsidRPr="38638030">
        <w:rPr>
          <w:rFonts w:ascii="Aptos" w:eastAsia="Aptos" w:hAnsi="Aptos" w:cs="Aptos"/>
          <w:b/>
          <w:bCs/>
          <w:color w:val="231F20"/>
        </w:rPr>
        <w:t>What was changed)</w:t>
      </w:r>
      <w:r w:rsidR="00027D99" w:rsidRPr="38638030">
        <w:rPr>
          <w:rFonts w:ascii="Aptos" w:eastAsia="Aptos" w:hAnsi="Aptos" w:cs="Aptos"/>
          <w:color w:val="231F20"/>
        </w:rPr>
        <w:t>—L</w:t>
      </w:r>
      <w:r w:rsidRPr="38638030">
        <w:rPr>
          <w:rFonts w:ascii="Aptos" w:eastAsia="Aptos" w:hAnsi="Aptos" w:cs="Aptos"/>
          <w:color w:val="231F20"/>
        </w:rPr>
        <w:t>ong-term effect of communications activities on institution’s reputation and level of trust</w:t>
      </w:r>
      <w:r>
        <w:t>.</w:t>
      </w:r>
    </w:p>
    <w:p w14:paraId="5646A893" w14:textId="77777777" w:rsidR="00137C39" w:rsidRPr="00BD22BC" w:rsidRDefault="00137C39" w:rsidP="00137C39">
      <w:pPr>
        <w:numPr>
          <w:ilvl w:val="1"/>
          <w:numId w:val="58"/>
        </w:numPr>
        <w:spacing w:after="160" w:line="278" w:lineRule="auto"/>
        <w:rPr>
          <w:rFonts w:ascii="Aptos" w:eastAsia="Aptos" w:hAnsi="Aptos" w:cs="Aptos"/>
        </w:rPr>
      </w:pPr>
      <w:r w:rsidRPr="00BD22BC">
        <w:rPr>
          <w:rFonts w:ascii="Aptos" w:eastAsia="Aptos" w:hAnsi="Aptos" w:cs="Aptos"/>
        </w:rPr>
        <w:t>Examples: (1) changes in public opinion or trust index, which can be analyzed using targeted surveys, (2) changes in the expectations of inflation</w:t>
      </w:r>
    </w:p>
    <w:p w14:paraId="6FBDF5FA" w14:textId="3EC4A9CF" w:rsidR="00137C39" w:rsidRPr="00E104C8" w:rsidRDefault="001917EC" w:rsidP="00137C39">
      <w:pPr>
        <w:rPr>
          <w:rStyle w:val="CommentReference"/>
          <w:b/>
          <w:bCs/>
        </w:rPr>
      </w:pPr>
      <w:r w:rsidRPr="00E104C8">
        <w:rPr>
          <w:b/>
          <w:bCs/>
          <w:highlight w:val="yellow"/>
        </w:rPr>
        <w:t>&lt;HOTSPOT_OR ACCORDION_END&gt;</w:t>
      </w:r>
    </w:p>
    <w:p w14:paraId="54777F55" w14:textId="77777777" w:rsidR="001917EC" w:rsidRPr="00BD22BC" w:rsidRDefault="001917EC" w:rsidP="00137C39">
      <w:pPr>
        <w:rPr>
          <w:rStyle w:val="CommentReference"/>
        </w:rPr>
      </w:pPr>
    </w:p>
    <w:p w14:paraId="65926B35" w14:textId="443E2F08" w:rsidR="00137C39" w:rsidRPr="00BD22BC" w:rsidRDefault="00137C39" w:rsidP="00137C39">
      <w:r w:rsidRPr="38638030">
        <w:rPr>
          <w:b/>
          <w:bCs/>
        </w:rPr>
        <w:t xml:space="preserve">Performance </w:t>
      </w:r>
      <w:r w:rsidR="00027D99" w:rsidRPr="38638030">
        <w:rPr>
          <w:b/>
          <w:bCs/>
        </w:rPr>
        <w:t>assessment by type of media</w:t>
      </w:r>
      <w:r w:rsidRPr="38638030">
        <w:rPr>
          <w:b/>
          <w:bCs/>
        </w:rPr>
        <w:t xml:space="preserve">: </w:t>
      </w:r>
    </w:p>
    <w:p w14:paraId="3D27C5F7" w14:textId="77777777" w:rsidR="00137C39" w:rsidRPr="00BD22BC" w:rsidRDefault="00137C39" w:rsidP="00137C39">
      <w:r>
        <w:t>Another way to differentiate the projects you are measuring is through the categories of owned, earned, and paid media:</w:t>
      </w:r>
    </w:p>
    <w:p w14:paraId="7F5182C8" w14:textId="77777777" w:rsidR="00AA29C1" w:rsidRPr="00BD22BC" w:rsidRDefault="00AA29C1" w:rsidP="00137C39"/>
    <w:p w14:paraId="7E65F824" w14:textId="77777777" w:rsidR="00AA29C1" w:rsidRPr="00E104C8" w:rsidRDefault="00AA29C1" w:rsidP="00AA29C1">
      <w:pPr>
        <w:rPr>
          <w:b/>
          <w:bCs/>
        </w:rPr>
      </w:pPr>
      <w:r w:rsidRPr="00E104C8">
        <w:rPr>
          <w:b/>
          <w:bCs/>
          <w:highlight w:val="yellow"/>
        </w:rPr>
        <w:t>&lt;HOTSPOT_OR ACCORDION_START&gt;</w:t>
      </w:r>
    </w:p>
    <w:p w14:paraId="39E27C48" w14:textId="76A6D224" w:rsidR="00137C39" w:rsidRPr="00BD22BC" w:rsidRDefault="00137C39" w:rsidP="00137C39">
      <w:pPr>
        <w:numPr>
          <w:ilvl w:val="0"/>
          <w:numId w:val="59"/>
        </w:numPr>
        <w:spacing w:after="160" w:line="278" w:lineRule="auto"/>
      </w:pPr>
      <w:r w:rsidRPr="38638030">
        <w:rPr>
          <w:b/>
          <w:bCs/>
        </w:rPr>
        <w:t xml:space="preserve">Owned </w:t>
      </w:r>
      <w:r w:rsidR="00027D99" w:rsidRPr="38638030">
        <w:rPr>
          <w:b/>
          <w:bCs/>
        </w:rPr>
        <w:t>media</w:t>
      </w:r>
      <w:r>
        <w:t>: Channels directly managed by the organization, such as the website, blog, social media accounts, and newsletters. The agency controls the message and narrative through these channels and can measure the volume of traffic and engagement (e.g., page views, shares, downloads).</w:t>
      </w:r>
    </w:p>
    <w:p w14:paraId="40C6B10B" w14:textId="77777777" w:rsidR="00137C39" w:rsidRPr="00BD22BC" w:rsidRDefault="00137C39" w:rsidP="00137C39">
      <w:pPr>
        <w:numPr>
          <w:ilvl w:val="1"/>
          <w:numId w:val="59"/>
        </w:numPr>
        <w:spacing w:after="160" w:line="278" w:lineRule="auto"/>
        <w:rPr>
          <w:rFonts w:ascii="Aptos" w:eastAsia="Aptos" w:hAnsi="Aptos" w:cs="Aptos"/>
        </w:rPr>
      </w:pPr>
      <w:r w:rsidRPr="00BD22BC">
        <w:rPr>
          <w:rFonts w:ascii="Aptos" w:eastAsia="Aptos" w:hAnsi="Aptos" w:cs="Aptos"/>
        </w:rPr>
        <w:t>You can gather data using web analytics tools or directly from your own platforms, as most social media channels provide performance metrics for your posts.</w:t>
      </w:r>
    </w:p>
    <w:p w14:paraId="2182D980" w14:textId="7B94A246" w:rsidR="00137C39" w:rsidRPr="00BD22BC" w:rsidRDefault="00137C39" w:rsidP="00137C39">
      <w:pPr>
        <w:numPr>
          <w:ilvl w:val="0"/>
          <w:numId w:val="59"/>
        </w:numPr>
        <w:spacing w:after="160" w:line="278" w:lineRule="auto"/>
      </w:pPr>
      <w:r w:rsidRPr="38638030">
        <w:rPr>
          <w:b/>
          <w:bCs/>
        </w:rPr>
        <w:t xml:space="preserve">Earned </w:t>
      </w:r>
      <w:r w:rsidR="00027D99" w:rsidRPr="38638030">
        <w:rPr>
          <w:b/>
          <w:bCs/>
        </w:rPr>
        <w:t>media</w:t>
      </w:r>
      <w:r>
        <w:t xml:space="preserve">: Publicity gained organically through others’ mentions, shares, or content about the organization, such as press coverage or social media mentions. This is often harder to </w:t>
      </w:r>
      <w:r>
        <w:lastRenderedPageBreak/>
        <w:t xml:space="preserve">measure, but has </w:t>
      </w:r>
      <w:r w:rsidR="771F2827">
        <w:t>high impact</w:t>
      </w:r>
      <w:r>
        <w:t xml:space="preserve"> for credibility and brand visibility, as it reflects how external sources view </w:t>
      </w:r>
      <w:r w:rsidR="2F708811">
        <w:t>the organization</w:t>
      </w:r>
      <w:r>
        <w:t xml:space="preserve"> or its messages. Metrics may include number of media mentions, share of voice, sentiment analysis, and audience reach.</w:t>
      </w:r>
    </w:p>
    <w:p w14:paraId="33DEC98F" w14:textId="607EEDC0" w:rsidR="00137C39" w:rsidRPr="00BD22BC" w:rsidRDefault="00137C39" w:rsidP="00137C39">
      <w:pPr>
        <w:numPr>
          <w:ilvl w:val="1"/>
          <w:numId w:val="59"/>
        </w:numPr>
        <w:spacing w:after="160" w:line="278" w:lineRule="auto"/>
        <w:rPr>
          <w:rFonts w:ascii="Aptos" w:eastAsia="Aptos" w:hAnsi="Aptos" w:cs="Aptos"/>
        </w:rPr>
      </w:pPr>
      <w:r w:rsidRPr="38638030">
        <w:rPr>
          <w:rFonts w:ascii="Aptos" w:eastAsia="Aptos" w:hAnsi="Aptos" w:cs="Aptos"/>
        </w:rPr>
        <w:t>Using a media analytics platform, one can perform keyword searches to determine the volume and themes of media articles mentioning the institution or policy.</w:t>
      </w:r>
    </w:p>
    <w:p w14:paraId="04E7466C" w14:textId="7CB001B9" w:rsidR="00137C39" w:rsidRPr="00BD22BC" w:rsidRDefault="00137C39" w:rsidP="00137C39">
      <w:pPr>
        <w:numPr>
          <w:ilvl w:val="0"/>
          <w:numId w:val="59"/>
        </w:numPr>
        <w:spacing w:after="160" w:line="278" w:lineRule="auto"/>
      </w:pPr>
      <w:r w:rsidRPr="38638030">
        <w:rPr>
          <w:b/>
          <w:bCs/>
        </w:rPr>
        <w:t xml:space="preserve">Paid </w:t>
      </w:r>
      <w:r w:rsidR="00027D99" w:rsidRPr="38638030">
        <w:rPr>
          <w:b/>
          <w:bCs/>
        </w:rPr>
        <w:t>media</w:t>
      </w:r>
      <w:r>
        <w:t xml:space="preserve">: Media exposure bought by your organization, including digital ads (display, social media, search ads), sponsored content, and traditional advertising. This can help expand reach and </w:t>
      </w:r>
      <w:bookmarkStart w:id="122" w:name="_Int_PqVETEIs"/>
      <w:r>
        <w:t>enhance</w:t>
      </w:r>
      <w:bookmarkEnd w:id="122"/>
      <w:r>
        <w:t xml:space="preserve"> visibility to targeted audiences. One can analyze the return on investment to assess effectiveness.</w:t>
      </w:r>
    </w:p>
    <w:p w14:paraId="37855E0C" w14:textId="0C8E6C12" w:rsidR="00137C39" w:rsidRPr="00BD22BC" w:rsidRDefault="00E104C8" w:rsidP="00137C39">
      <w:pPr>
        <w:numPr>
          <w:ilvl w:val="1"/>
          <w:numId w:val="59"/>
        </w:numPr>
        <w:spacing w:after="160" w:line="278" w:lineRule="auto"/>
        <w:rPr>
          <w:rFonts w:ascii="Aptos" w:eastAsia="Aptos" w:hAnsi="Aptos" w:cs="Aptos"/>
        </w:rPr>
      </w:pPr>
      <w:r w:rsidRPr="38638030">
        <w:rPr>
          <w:rFonts w:ascii="Aptos" w:eastAsia="Aptos" w:hAnsi="Aptos" w:cs="Aptos"/>
        </w:rPr>
        <w:t xml:space="preserve">Paid marketing on social and traditional media is a common strategy in many countries for promoting a message. </w:t>
      </w:r>
      <w:r w:rsidR="00137C39" w:rsidRPr="38638030">
        <w:rPr>
          <w:rFonts w:ascii="Aptos" w:eastAsia="Aptos" w:hAnsi="Aptos" w:cs="Aptos"/>
        </w:rPr>
        <w:t>If your agency uses paid promotion on YouTube to feature one of your videos, you can analyze the engagement generated from this marketing effort. Typically, engagement increases significantly when funds are allocated to promotion.</w:t>
      </w:r>
    </w:p>
    <w:p w14:paraId="41D5D14C" w14:textId="77777777" w:rsidR="00AA29C1" w:rsidRPr="00E104C8" w:rsidRDefault="00AA29C1" w:rsidP="00E104C8">
      <w:pPr>
        <w:rPr>
          <w:rStyle w:val="CommentReference"/>
          <w:b/>
          <w:bCs/>
        </w:rPr>
      </w:pPr>
      <w:r w:rsidRPr="00E104C8">
        <w:rPr>
          <w:b/>
          <w:bCs/>
          <w:highlight w:val="yellow"/>
        </w:rPr>
        <w:t>&lt;HOTSPOT_OR ACCORDION_END&gt;</w:t>
      </w:r>
    </w:p>
    <w:p w14:paraId="6608B190" w14:textId="77777777" w:rsidR="00137C39" w:rsidRPr="00BD22BC" w:rsidRDefault="00137C39" w:rsidP="00EA75D1">
      <w:pPr>
        <w:rPr>
          <w:rFonts w:ascii="Aptos" w:eastAsia="Aptos" w:hAnsi="Aptos" w:cs="Aptos"/>
        </w:rPr>
      </w:pPr>
    </w:p>
    <w:p w14:paraId="291E6B07" w14:textId="77777777" w:rsidR="00137C39" w:rsidRPr="00BD22BC" w:rsidRDefault="00137C39" w:rsidP="00EA75D1">
      <w:pPr>
        <w:rPr>
          <w:rFonts w:ascii="Aptos" w:eastAsia="Aptos" w:hAnsi="Aptos" w:cs="Aptos"/>
        </w:rPr>
      </w:pPr>
    </w:p>
    <w:p w14:paraId="44746B7D" w14:textId="0FC0C824" w:rsidR="000C6142" w:rsidRPr="00BD22BC" w:rsidRDefault="0AC931A0" w:rsidP="000C6142">
      <w:pPr>
        <w:pStyle w:val="Heading2"/>
      </w:pPr>
      <w:bookmarkStart w:id="123" w:name="_Toc1793913464"/>
      <w:r w:rsidRPr="7EEFCAA8">
        <w:rPr>
          <w:highlight w:val="yellow"/>
        </w:rPr>
        <w:t>UNIT 4.</w:t>
      </w:r>
      <w:r w:rsidR="00101D56">
        <w:rPr>
          <w:highlight w:val="yellow"/>
        </w:rPr>
        <w:t>4</w:t>
      </w:r>
      <w:r w:rsidRPr="7EEFCAA8">
        <w:rPr>
          <w:highlight w:val="yellow"/>
        </w:rPr>
        <w:t>:</w:t>
      </w:r>
      <w:r>
        <w:t xml:space="preserve"> Monitoring</w:t>
      </w:r>
      <w:r w:rsidR="289689F3">
        <w:t xml:space="preserve"> Tools</w:t>
      </w:r>
      <w:bookmarkEnd w:id="123"/>
    </w:p>
    <w:p w14:paraId="421EA98A" w14:textId="77777777" w:rsidR="007D31FD" w:rsidRPr="00BD22BC" w:rsidRDefault="007D31FD" w:rsidP="007D31FD"/>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6A0" w:firstRow="1" w:lastRow="0" w:firstColumn="1" w:lastColumn="0" w:noHBand="1" w:noVBand="1"/>
      </w:tblPr>
      <w:tblGrid>
        <w:gridCol w:w="1872"/>
        <w:gridCol w:w="1872"/>
        <w:gridCol w:w="1872"/>
        <w:gridCol w:w="1872"/>
        <w:gridCol w:w="1872"/>
      </w:tblGrid>
      <w:tr w:rsidR="007D31FD" w:rsidRPr="00BD22BC" w14:paraId="0C3ACB71" w14:textId="77777777" w:rsidTr="007D31FD">
        <w:trPr>
          <w:trHeight w:val="300"/>
        </w:trPr>
        <w:tc>
          <w:tcPr>
            <w:tcW w:w="1872" w:type="dxa"/>
            <w:shd w:val="clear" w:color="auto" w:fill="F2F2F2" w:themeFill="background1" w:themeFillShade="F2"/>
          </w:tcPr>
          <w:p w14:paraId="633D264A" w14:textId="77777777" w:rsidR="007D31FD" w:rsidRPr="00BD22BC" w:rsidRDefault="007D31FD" w:rsidP="00C5618D">
            <w:pPr>
              <w:jc w:val="center"/>
              <w:rPr>
                <w:b/>
                <w:bCs/>
                <w:color w:val="D9D9D9" w:themeColor="background1" w:themeShade="D9"/>
              </w:rPr>
            </w:pPr>
            <w:r w:rsidRPr="00BD22BC">
              <w:rPr>
                <w:b/>
                <w:bCs/>
                <w:noProof/>
                <w:color w:val="D9D9D9" w:themeColor="background1" w:themeShade="D9"/>
              </w:rPr>
              <w:drawing>
                <wp:inline distT="0" distB="0" distL="0" distR="0" wp14:anchorId="469B56BD" wp14:editId="06CF98C7">
                  <wp:extent cx="540152" cy="533400"/>
                  <wp:effectExtent l="0" t="0" r="0" b="0"/>
                  <wp:docPr id="215321454"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0461829" name=""/>
                          <pic:cNvPicPr/>
                        </pic:nvPicPr>
                        <pic:blipFill>
                          <a:blip r:embed="rId44">
                            <a:extLst>
                              <a:ext uri="{96DAC541-7B7A-43D3-8B79-37D633B846F1}">
                                <asvg:svgBlip xmlns:asvg="http://schemas.microsoft.com/office/drawing/2016/SVG/main" r:embed="rId45"/>
                              </a:ext>
                            </a:extLst>
                          </a:blip>
                          <a:stretch>
                            <a:fillRect/>
                          </a:stretch>
                        </pic:blipFill>
                        <pic:spPr>
                          <a:xfrm>
                            <a:off x="0" y="0"/>
                            <a:ext cx="541590" cy="534820"/>
                          </a:xfrm>
                          <a:prstGeom prst="rect">
                            <a:avLst/>
                          </a:prstGeom>
                        </pic:spPr>
                      </pic:pic>
                    </a:graphicData>
                  </a:graphic>
                </wp:inline>
              </w:drawing>
            </w:r>
          </w:p>
          <w:p w14:paraId="3BF2D739" w14:textId="77777777" w:rsidR="007D31FD" w:rsidRPr="00BD22BC" w:rsidRDefault="007D31FD" w:rsidP="00C5618D">
            <w:pPr>
              <w:jc w:val="center"/>
              <w:rPr>
                <w:b/>
                <w:bCs/>
                <w:color w:val="D9D9D9" w:themeColor="background1" w:themeShade="D9"/>
              </w:rPr>
            </w:pPr>
            <w:r w:rsidRPr="00BD22BC">
              <w:rPr>
                <w:b/>
                <w:bCs/>
                <w:color w:val="D9D9D9" w:themeColor="background1" w:themeShade="D9"/>
              </w:rPr>
              <w:t>Clear objectives</w:t>
            </w:r>
          </w:p>
        </w:tc>
        <w:tc>
          <w:tcPr>
            <w:tcW w:w="1872" w:type="dxa"/>
            <w:shd w:val="clear" w:color="auto" w:fill="F2F2F2" w:themeFill="background1" w:themeFillShade="F2"/>
          </w:tcPr>
          <w:p w14:paraId="6E378696" w14:textId="77777777" w:rsidR="007D31FD" w:rsidRPr="00BD22BC" w:rsidRDefault="007D31FD" w:rsidP="00C5618D">
            <w:pPr>
              <w:jc w:val="center"/>
              <w:rPr>
                <w:b/>
                <w:bCs/>
                <w:color w:val="D9D9D9" w:themeColor="background1" w:themeShade="D9"/>
              </w:rPr>
            </w:pPr>
            <w:r w:rsidRPr="00BD22BC">
              <w:rPr>
                <w:b/>
                <w:bCs/>
                <w:noProof/>
                <w:color w:val="D9D9D9" w:themeColor="background1" w:themeShade="D9"/>
              </w:rPr>
              <w:drawing>
                <wp:inline distT="0" distB="0" distL="0" distR="0" wp14:anchorId="5BF23A9D" wp14:editId="3E2AF965">
                  <wp:extent cx="485775" cy="485775"/>
                  <wp:effectExtent l="0" t="0" r="9525" b="9525"/>
                  <wp:docPr id="2109489646"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9750405" name=""/>
                          <pic:cNvPicPr/>
                        </pic:nvPicPr>
                        <pic:blipFill>
                          <a:blip r:embed="rId46">
                            <a:extLst>
                              <a:ext uri="{96DAC541-7B7A-43D3-8B79-37D633B846F1}">
                                <asvg:svgBlip xmlns:asvg="http://schemas.microsoft.com/office/drawing/2016/SVG/main" r:embed="rId47"/>
                              </a:ext>
                            </a:extLst>
                          </a:blip>
                          <a:stretch>
                            <a:fillRect/>
                          </a:stretch>
                        </pic:blipFill>
                        <pic:spPr>
                          <a:xfrm>
                            <a:off x="0" y="0"/>
                            <a:ext cx="485775" cy="485775"/>
                          </a:xfrm>
                          <a:prstGeom prst="rect">
                            <a:avLst/>
                          </a:prstGeom>
                        </pic:spPr>
                      </pic:pic>
                    </a:graphicData>
                  </a:graphic>
                </wp:inline>
              </w:drawing>
            </w:r>
          </w:p>
          <w:p w14:paraId="6333235F" w14:textId="77777777" w:rsidR="007D31FD" w:rsidRPr="00BD22BC" w:rsidRDefault="007D31FD" w:rsidP="00C5618D">
            <w:pPr>
              <w:jc w:val="center"/>
              <w:rPr>
                <w:b/>
                <w:bCs/>
                <w:color w:val="D9D9D9" w:themeColor="background1" w:themeShade="D9"/>
              </w:rPr>
            </w:pPr>
            <w:r w:rsidRPr="00BD22BC">
              <w:rPr>
                <w:b/>
                <w:bCs/>
                <w:color w:val="D9D9D9" w:themeColor="background1" w:themeShade="D9"/>
              </w:rPr>
              <w:t>KPIs and Metrics</w:t>
            </w:r>
          </w:p>
        </w:tc>
        <w:tc>
          <w:tcPr>
            <w:tcW w:w="1872" w:type="dxa"/>
          </w:tcPr>
          <w:p w14:paraId="3BE0EF85" w14:textId="77777777" w:rsidR="007D31FD" w:rsidRPr="00BD22BC" w:rsidRDefault="007D31FD" w:rsidP="00C5618D">
            <w:pPr>
              <w:jc w:val="center"/>
              <w:rPr>
                <w:b/>
                <w:bCs/>
              </w:rPr>
            </w:pPr>
            <w:r w:rsidRPr="00BD22BC">
              <w:rPr>
                <w:noProof/>
              </w:rPr>
              <w:drawing>
                <wp:inline distT="0" distB="0" distL="0" distR="0" wp14:anchorId="2B5319C7" wp14:editId="2E10C089">
                  <wp:extent cx="742950" cy="590550"/>
                  <wp:effectExtent l="0" t="0" r="0" b="0"/>
                  <wp:docPr id="1452172978"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761042" name=""/>
                          <pic:cNvPicPr/>
                        </pic:nvPicPr>
                        <pic:blipFill>
                          <a:blip r:embed="rId48">
                            <a:extLst>
                              <a:ext uri="{96DAC541-7B7A-43D3-8B79-37D633B846F1}">
                                <asvg:svgBlip xmlns:asvg="http://schemas.microsoft.com/office/drawing/2016/SVG/main" r:embed="rId49"/>
                              </a:ext>
                            </a:extLst>
                          </a:blip>
                          <a:stretch>
                            <a:fillRect/>
                          </a:stretch>
                        </pic:blipFill>
                        <pic:spPr>
                          <a:xfrm>
                            <a:off x="0" y="0"/>
                            <a:ext cx="742950" cy="590550"/>
                          </a:xfrm>
                          <a:prstGeom prst="rect">
                            <a:avLst/>
                          </a:prstGeom>
                        </pic:spPr>
                      </pic:pic>
                    </a:graphicData>
                  </a:graphic>
                </wp:inline>
              </w:drawing>
            </w:r>
          </w:p>
          <w:p w14:paraId="3F518C65" w14:textId="77777777" w:rsidR="007D31FD" w:rsidRPr="00BD22BC" w:rsidRDefault="007D31FD" w:rsidP="00C5618D">
            <w:pPr>
              <w:jc w:val="center"/>
              <w:rPr>
                <w:b/>
                <w:bCs/>
              </w:rPr>
            </w:pPr>
            <w:r w:rsidRPr="00BD22BC">
              <w:rPr>
                <w:b/>
                <w:bCs/>
              </w:rPr>
              <w:t>Monitoring Tools</w:t>
            </w:r>
          </w:p>
        </w:tc>
        <w:tc>
          <w:tcPr>
            <w:tcW w:w="1872" w:type="dxa"/>
            <w:shd w:val="clear" w:color="auto" w:fill="F2F2F2" w:themeFill="background1" w:themeFillShade="F2"/>
          </w:tcPr>
          <w:p w14:paraId="3683D8AE" w14:textId="77777777" w:rsidR="007D31FD" w:rsidRPr="00BD22BC" w:rsidRDefault="007D31FD" w:rsidP="00C5618D">
            <w:pPr>
              <w:jc w:val="center"/>
              <w:rPr>
                <w:b/>
                <w:bCs/>
                <w:color w:val="D9D9D9" w:themeColor="background1" w:themeShade="D9"/>
              </w:rPr>
            </w:pPr>
            <w:r w:rsidRPr="00BD22BC">
              <w:rPr>
                <w:noProof/>
                <w:color w:val="D9D9D9" w:themeColor="background1" w:themeShade="D9"/>
              </w:rPr>
              <w:drawing>
                <wp:inline distT="0" distB="0" distL="0" distR="0" wp14:anchorId="53B7080F" wp14:editId="0778B697">
                  <wp:extent cx="571500" cy="571500"/>
                  <wp:effectExtent l="0" t="0" r="0" b="0"/>
                  <wp:docPr id="391415213"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475744" name=""/>
                          <pic:cNvPicPr/>
                        </pic:nvPicPr>
                        <pic:blipFill>
                          <a:blip r:embed="rId50">
                            <a:extLst>
                              <a:ext uri="{96DAC541-7B7A-43D3-8B79-37D633B846F1}">
                                <asvg:svgBlip xmlns:asvg="http://schemas.microsoft.com/office/drawing/2016/SVG/main" r:embed="rId51"/>
                              </a:ext>
                            </a:extLst>
                          </a:blip>
                          <a:stretch>
                            <a:fillRect/>
                          </a:stretch>
                        </pic:blipFill>
                        <pic:spPr>
                          <a:xfrm>
                            <a:off x="0" y="0"/>
                            <a:ext cx="571500" cy="571500"/>
                          </a:xfrm>
                          <a:prstGeom prst="rect">
                            <a:avLst/>
                          </a:prstGeom>
                        </pic:spPr>
                      </pic:pic>
                    </a:graphicData>
                  </a:graphic>
                </wp:inline>
              </w:drawing>
            </w:r>
            <w:r w:rsidRPr="00BD22BC">
              <w:rPr>
                <w:b/>
                <w:bCs/>
                <w:color w:val="D9D9D9" w:themeColor="background1" w:themeShade="D9"/>
              </w:rPr>
              <w:t>Benchmarks</w:t>
            </w:r>
          </w:p>
        </w:tc>
        <w:tc>
          <w:tcPr>
            <w:tcW w:w="1872" w:type="dxa"/>
            <w:shd w:val="clear" w:color="auto" w:fill="F2F2F2" w:themeFill="background1" w:themeFillShade="F2"/>
          </w:tcPr>
          <w:p w14:paraId="17CA12FA" w14:textId="77777777" w:rsidR="007D31FD" w:rsidRPr="00BD22BC" w:rsidRDefault="007D31FD" w:rsidP="00C5618D">
            <w:pPr>
              <w:jc w:val="center"/>
              <w:rPr>
                <w:b/>
                <w:bCs/>
                <w:color w:val="D9D9D9" w:themeColor="background1" w:themeShade="D9"/>
              </w:rPr>
            </w:pPr>
            <w:r w:rsidRPr="00BD22BC">
              <w:rPr>
                <w:b/>
                <w:bCs/>
                <w:noProof/>
                <w:color w:val="D9D9D9" w:themeColor="background1" w:themeShade="D9"/>
              </w:rPr>
              <w:drawing>
                <wp:inline distT="0" distB="0" distL="0" distR="0" wp14:anchorId="00070FA5" wp14:editId="0206EC43">
                  <wp:extent cx="319751" cy="485775"/>
                  <wp:effectExtent l="0" t="0" r="4445" b="0"/>
                  <wp:docPr id="1721494390"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621843" name=""/>
                          <pic:cNvPicPr/>
                        </pic:nvPicPr>
                        <pic:blipFill>
                          <a:blip r:embed="rId52">
                            <a:extLst>
                              <a:ext uri="{96DAC541-7B7A-43D3-8B79-37D633B846F1}">
                                <asvg:svgBlip xmlns:asvg="http://schemas.microsoft.com/office/drawing/2016/SVG/main" r:embed="rId53"/>
                              </a:ext>
                            </a:extLst>
                          </a:blip>
                          <a:stretch>
                            <a:fillRect/>
                          </a:stretch>
                        </pic:blipFill>
                        <pic:spPr>
                          <a:xfrm>
                            <a:off x="0" y="0"/>
                            <a:ext cx="320888" cy="487503"/>
                          </a:xfrm>
                          <a:prstGeom prst="rect">
                            <a:avLst/>
                          </a:prstGeom>
                        </pic:spPr>
                      </pic:pic>
                    </a:graphicData>
                  </a:graphic>
                </wp:inline>
              </w:drawing>
            </w:r>
          </w:p>
          <w:p w14:paraId="7B1C6AD1" w14:textId="3E427D34" w:rsidR="007D31FD" w:rsidRPr="00BD22BC" w:rsidRDefault="007D31FD" w:rsidP="00C5618D">
            <w:pPr>
              <w:jc w:val="center"/>
              <w:rPr>
                <w:b/>
                <w:bCs/>
                <w:color w:val="D9D9D9" w:themeColor="background1" w:themeShade="D9"/>
              </w:rPr>
            </w:pPr>
            <w:r w:rsidRPr="00BD22BC">
              <w:rPr>
                <w:b/>
                <w:bCs/>
                <w:color w:val="D9D9D9" w:themeColor="background1" w:themeShade="D9"/>
              </w:rPr>
              <w:t>Timeframe</w:t>
            </w:r>
          </w:p>
        </w:tc>
      </w:tr>
    </w:tbl>
    <w:p w14:paraId="6AA4F2B2" w14:textId="77777777" w:rsidR="007D31FD" w:rsidRPr="00BD22BC" w:rsidRDefault="007D31FD" w:rsidP="007D31FD"/>
    <w:p w14:paraId="0A82D4D4" w14:textId="77777777" w:rsidR="000E291C" w:rsidRPr="00BD22BC" w:rsidRDefault="000E291C" w:rsidP="00EA75D1">
      <w:pPr>
        <w:rPr>
          <w:rFonts w:ascii="Aptos" w:eastAsia="Aptos" w:hAnsi="Aptos" w:cs="Aptos"/>
        </w:rPr>
      </w:pPr>
    </w:p>
    <w:p w14:paraId="46D3C1A9" w14:textId="5431D496" w:rsidR="00AA29C1" w:rsidRPr="00BD22BC" w:rsidRDefault="00027D99" w:rsidP="00AA29C1">
      <w:r>
        <w:t>S</w:t>
      </w:r>
      <w:r w:rsidR="00AA29C1">
        <w:t>everal tools can help track and measure the impact of your communications efforts:</w:t>
      </w:r>
    </w:p>
    <w:p w14:paraId="44B94EBB" w14:textId="20DD1F63" w:rsidR="00AA29C1" w:rsidRPr="00BD22BC" w:rsidRDefault="00AA29C1" w:rsidP="00AA29C1">
      <w:pPr>
        <w:numPr>
          <w:ilvl w:val="0"/>
          <w:numId w:val="60"/>
        </w:numPr>
        <w:spacing w:after="160" w:line="278" w:lineRule="auto"/>
      </w:pPr>
      <w:r w:rsidRPr="38638030">
        <w:rPr>
          <w:b/>
          <w:bCs/>
        </w:rPr>
        <w:t xml:space="preserve">Media and </w:t>
      </w:r>
      <w:r w:rsidR="00027D99" w:rsidRPr="38638030">
        <w:rPr>
          <w:b/>
          <w:bCs/>
        </w:rPr>
        <w:t>social media monitoring platforms</w:t>
      </w:r>
      <w:r>
        <w:t xml:space="preserve">: Tools like Meltwater, </w:t>
      </w:r>
      <w:proofErr w:type="spellStart"/>
      <w:r>
        <w:t>Brandwatch</w:t>
      </w:r>
      <w:proofErr w:type="spellEnd"/>
      <w:r>
        <w:t xml:space="preserve">, or </w:t>
      </w:r>
      <w:proofErr w:type="spellStart"/>
      <w:r>
        <w:t>Talkwalker</w:t>
      </w:r>
      <w:proofErr w:type="spellEnd"/>
      <w:r>
        <w:t xml:space="preserve"> track media mentions, sentiment, and reach. </w:t>
      </w:r>
      <w:r w:rsidRPr="38638030">
        <w:rPr>
          <w:rFonts w:ascii="Aptos" w:eastAsia="Aptos" w:hAnsi="Aptos" w:cs="Aptos"/>
        </w:rPr>
        <w:t>Keep in mind your institution</w:t>
      </w:r>
      <w:r w:rsidR="00027D99" w:rsidRPr="38638030">
        <w:rPr>
          <w:rFonts w:ascii="Aptos" w:eastAsia="Aptos" w:hAnsi="Aptos" w:cs="Aptos"/>
        </w:rPr>
        <w:t>al</w:t>
      </w:r>
      <w:r w:rsidRPr="38638030">
        <w:rPr>
          <w:rFonts w:ascii="Aptos" w:eastAsia="Aptos" w:hAnsi="Aptos" w:cs="Aptos"/>
        </w:rPr>
        <w:t xml:space="preserve"> budget—these monitoring platforms are not free!</w:t>
      </w:r>
    </w:p>
    <w:p w14:paraId="140E29B6" w14:textId="77777777" w:rsidR="00AA29C1" w:rsidRPr="00BD22BC" w:rsidRDefault="00AA29C1" w:rsidP="00AA29C1">
      <w:pPr>
        <w:numPr>
          <w:ilvl w:val="1"/>
          <w:numId w:val="60"/>
        </w:numPr>
        <w:spacing w:after="160" w:line="278" w:lineRule="auto"/>
        <w:rPr>
          <w:rFonts w:ascii="Aptos" w:eastAsia="Aptos" w:hAnsi="Aptos" w:cs="Aptos"/>
        </w:rPr>
      </w:pPr>
      <w:r w:rsidRPr="38638030">
        <w:rPr>
          <w:rFonts w:ascii="Aptos" w:eastAsia="Aptos" w:hAnsi="Aptos" w:cs="Aptos"/>
        </w:rPr>
        <w:t xml:space="preserve">For example, the IMF uses </w:t>
      </w:r>
      <w:proofErr w:type="spellStart"/>
      <w:r w:rsidRPr="38638030">
        <w:rPr>
          <w:rFonts w:ascii="Aptos" w:eastAsia="Aptos" w:hAnsi="Aptos" w:cs="Aptos"/>
        </w:rPr>
        <w:t>Brandwatch</w:t>
      </w:r>
      <w:proofErr w:type="spellEnd"/>
      <w:r w:rsidRPr="38638030">
        <w:rPr>
          <w:rFonts w:ascii="Aptos" w:eastAsia="Aptos" w:hAnsi="Aptos" w:cs="Aptos"/>
        </w:rPr>
        <w:t xml:space="preserve"> (</w:t>
      </w:r>
      <w:hyperlink r:id="rId54">
        <w:r w:rsidRPr="38638030">
          <w:rPr>
            <w:rStyle w:val="Hyperlink"/>
            <w:rFonts w:ascii="Aptos" w:eastAsia="Aptos" w:hAnsi="Aptos" w:cs="Aptos"/>
          </w:rPr>
          <w:t>https://www.brandwatch.com/</w:t>
        </w:r>
      </w:hyperlink>
      <w:r w:rsidRPr="38638030">
        <w:rPr>
          <w:rFonts w:ascii="Aptos" w:eastAsia="Aptos" w:hAnsi="Aptos" w:cs="Aptos"/>
        </w:rPr>
        <w:t xml:space="preserve">) to analyze the volume of social media posts mentioning the IMF over a specific period. </w:t>
      </w:r>
      <w:proofErr w:type="spellStart"/>
      <w:r w:rsidRPr="38638030">
        <w:rPr>
          <w:rFonts w:ascii="Aptos" w:eastAsia="Aptos" w:hAnsi="Aptos" w:cs="Aptos"/>
        </w:rPr>
        <w:t>Brandwatch</w:t>
      </w:r>
      <w:proofErr w:type="spellEnd"/>
      <w:r w:rsidRPr="38638030">
        <w:rPr>
          <w:rFonts w:ascii="Aptos" w:eastAsia="Aptos" w:hAnsi="Aptos" w:cs="Aptos"/>
        </w:rPr>
        <w:t xml:space="preserve"> can also identify trending topics within these mentions, highlighting the key themes people are discussing.</w:t>
      </w:r>
    </w:p>
    <w:p w14:paraId="7E62F36B" w14:textId="399CCCA2" w:rsidR="00AA29C1" w:rsidRPr="00BD22BC" w:rsidRDefault="00AA29C1" w:rsidP="00AA29C1">
      <w:pPr>
        <w:numPr>
          <w:ilvl w:val="0"/>
          <w:numId w:val="60"/>
        </w:numPr>
        <w:spacing w:after="160" w:line="278" w:lineRule="auto"/>
      </w:pPr>
      <w:r w:rsidRPr="38638030">
        <w:rPr>
          <w:b/>
          <w:bCs/>
        </w:rPr>
        <w:t xml:space="preserve">Owned </w:t>
      </w:r>
      <w:r w:rsidR="00027D99" w:rsidRPr="38638030">
        <w:rPr>
          <w:b/>
          <w:bCs/>
        </w:rPr>
        <w:t>social media analytics</w:t>
      </w:r>
      <w:r>
        <w:t xml:space="preserve">: Platforms like Hootsuite or </w:t>
      </w:r>
      <w:proofErr w:type="spellStart"/>
      <w:r>
        <w:t>Emplifi</w:t>
      </w:r>
      <w:proofErr w:type="spellEnd"/>
      <w:r>
        <w:t xml:space="preserve"> provide data on social media engagement and sentiment.</w:t>
      </w:r>
    </w:p>
    <w:p w14:paraId="35215AF0" w14:textId="4E878EC5" w:rsidR="00AA29C1" w:rsidRPr="00BD22BC" w:rsidRDefault="00AA29C1" w:rsidP="00AA29C1">
      <w:pPr>
        <w:numPr>
          <w:ilvl w:val="1"/>
          <w:numId w:val="60"/>
        </w:numPr>
        <w:spacing w:after="160" w:line="278" w:lineRule="auto"/>
        <w:rPr>
          <w:rFonts w:ascii="Aptos" w:eastAsia="Aptos" w:hAnsi="Aptos" w:cs="Aptos"/>
        </w:rPr>
      </w:pPr>
      <w:r w:rsidRPr="38638030">
        <w:rPr>
          <w:rFonts w:ascii="Aptos" w:eastAsia="Aptos" w:hAnsi="Aptos" w:cs="Aptos"/>
        </w:rPr>
        <w:t xml:space="preserve">For example, the IMF uses </w:t>
      </w:r>
      <w:proofErr w:type="spellStart"/>
      <w:r w:rsidRPr="38638030">
        <w:rPr>
          <w:rFonts w:ascii="Aptos" w:eastAsia="Aptos" w:hAnsi="Aptos" w:cs="Aptos"/>
        </w:rPr>
        <w:t>Emplifi</w:t>
      </w:r>
      <w:proofErr w:type="spellEnd"/>
      <w:r w:rsidRPr="38638030">
        <w:rPr>
          <w:rFonts w:ascii="Aptos" w:eastAsia="Aptos" w:hAnsi="Aptos" w:cs="Aptos"/>
        </w:rPr>
        <w:t xml:space="preserve"> (</w:t>
      </w:r>
      <w:hyperlink r:id="rId55">
        <w:r w:rsidRPr="38638030">
          <w:rPr>
            <w:rStyle w:val="Hyperlink"/>
            <w:rFonts w:ascii="Aptos" w:eastAsia="Aptos" w:hAnsi="Aptos" w:cs="Aptos"/>
          </w:rPr>
          <w:t>https://emplifi.io/</w:t>
        </w:r>
      </w:hyperlink>
      <w:r w:rsidRPr="38638030">
        <w:rPr>
          <w:rFonts w:ascii="Aptos" w:eastAsia="Aptos" w:hAnsi="Aptos" w:cs="Aptos"/>
        </w:rPr>
        <w:t>) to publish and analyze social media posts on X, Facebook, Instagram, and LinkedIn. This platform provides insights into the reach of the agency’s  posts (how many people saw them) and engagement metrics (how many people interacted with them).</w:t>
      </w:r>
    </w:p>
    <w:p w14:paraId="5BAA87D2" w14:textId="417CF58E" w:rsidR="00AA29C1" w:rsidRPr="00BD22BC" w:rsidRDefault="00AA29C1" w:rsidP="00AA29C1">
      <w:pPr>
        <w:numPr>
          <w:ilvl w:val="0"/>
          <w:numId w:val="60"/>
        </w:numPr>
        <w:spacing w:after="160" w:line="278" w:lineRule="auto"/>
      </w:pPr>
      <w:r w:rsidRPr="1BB63DC4">
        <w:rPr>
          <w:b/>
          <w:bCs/>
        </w:rPr>
        <w:t>Web analytics</w:t>
      </w:r>
      <w:r>
        <w:t>: Platforms like Adobe Analytics or Google Analytics track traffic, engagement, and behavior on the owned-media platforms.</w:t>
      </w:r>
    </w:p>
    <w:p w14:paraId="38296CF0" w14:textId="64559924" w:rsidR="00AA29C1" w:rsidRPr="00BD22BC" w:rsidRDefault="00AA29C1" w:rsidP="00AA29C1">
      <w:pPr>
        <w:numPr>
          <w:ilvl w:val="1"/>
          <w:numId w:val="60"/>
        </w:numPr>
        <w:spacing w:after="160" w:line="278" w:lineRule="auto"/>
        <w:rPr>
          <w:rFonts w:ascii="Aptos" w:eastAsia="Aptos" w:hAnsi="Aptos" w:cs="Aptos"/>
        </w:rPr>
      </w:pPr>
      <w:r w:rsidRPr="38638030">
        <w:rPr>
          <w:rFonts w:ascii="Aptos" w:eastAsia="Aptos" w:hAnsi="Aptos" w:cs="Aptos"/>
        </w:rPr>
        <w:lastRenderedPageBreak/>
        <w:t xml:space="preserve">For example, the IMF uses Adobe Analytics to track audience traffic to the </w:t>
      </w:r>
      <w:r w:rsidR="00027D99" w:rsidRPr="38638030">
        <w:rPr>
          <w:rFonts w:ascii="Aptos" w:eastAsia="Aptos" w:hAnsi="Aptos" w:cs="Aptos"/>
        </w:rPr>
        <w:t>World Economic Outlook</w:t>
      </w:r>
      <w:r w:rsidRPr="38638030">
        <w:rPr>
          <w:rFonts w:ascii="Aptos" w:eastAsia="Aptos" w:hAnsi="Aptos" w:cs="Aptos"/>
        </w:rPr>
        <w:t>’s landing page. Adobe Analytics can also provide insights into where the audience is coming from (e.g., search engines), their geolocation (e.g., target countries or cities), and the average time spent on the page.</w:t>
      </w:r>
    </w:p>
    <w:p w14:paraId="28451160" w14:textId="77777777" w:rsidR="00AA29C1" w:rsidRPr="00BD22BC" w:rsidRDefault="00AA29C1" w:rsidP="00AA29C1">
      <w:pPr>
        <w:numPr>
          <w:ilvl w:val="0"/>
          <w:numId w:val="60"/>
        </w:numPr>
        <w:spacing w:after="160" w:line="278" w:lineRule="auto"/>
      </w:pPr>
      <w:r w:rsidRPr="38638030">
        <w:rPr>
          <w:b/>
          <w:bCs/>
        </w:rPr>
        <w:t>Surveys</w:t>
      </w:r>
      <w:r>
        <w:t>: Public perception surveys can measure the effectiveness of your messaging on audience sentiment.</w:t>
      </w:r>
    </w:p>
    <w:p w14:paraId="7CB84FB6" w14:textId="77777777" w:rsidR="00AA29C1" w:rsidRPr="00BD22BC" w:rsidRDefault="00AA29C1" w:rsidP="00AA29C1">
      <w:pPr>
        <w:numPr>
          <w:ilvl w:val="1"/>
          <w:numId w:val="60"/>
        </w:numPr>
        <w:spacing w:after="160" w:line="278" w:lineRule="auto"/>
        <w:rPr>
          <w:rFonts w:ascii="Aptos" w:eastAsia="Aptos" w:hAnsi="Aptos" w:cs="Aptos"/>
        </w:rPr>
      </w:pPr>
      <w:r w:rsidRPr="38638030">
        <w:rPr>
          <w:rFonts w:ascii="Aptos" w:eastAsia="Aptos" w:hAnsi="Aptos" w:cs="Aptos"/>
        </w:rPr>
        <w:t>For example, the IMF conducts surveys to gauge public perceptions of the organization. The survey results can reveal whether people are familiar with the IMF’s mandate and recent policy decisions.</w:t>
      </w:r>
    </w:p>
    <w:p w14:paraId="45D6F007" w14:textId="19C072F8" w:rsidR="00AA29C1" w:rsidRPr="00BD22BC" w:rsidRDefault="00AA29C1" w:rsidP="00AA29C1">
      <w:pPr>
        <w:numPr>
          <w:ilvl w:val="0"/>
          <w:numId w:val="60"/>
        </w:numPr>
        <w:spacing w:after="160" w:line="278" w:lineRule="auto"/>
      </w:pPr>
      <w:r w:rsidRPr="38638030">
        <w:rPr>
          <w:b/>
          <w:bCs/>
        </w:rPr>
        <w:t>Benchmarking Tools</w:t>
      </w:r>
      <w:r>
        <w:t xml:space="preserve">: Tools that allow </w:t>
      </w:r>
      <w:r w:rsidR="00027D99">
        <w:t xml:space="preserve">one </w:t>
      </w:r>
      <w:r>
        <w:t xml:space="preserve">to compare </w:t>
      </w:r>
      <w:r w:rsidR="00027D99">
        <w:t xml:space="preserve">an </w:t>
      </w:r>
      <w:r>
        <w:t>agency’s performance (e.g., page views of the website, number of media mentions</w:t>
      </w:r>
      <w:r w:rsidR="000A2044">
        <w:t xml:space="preserve"> </w:t>
      </w:r>
      <w:r>
        <w:t>garnered after posting a new policy paper) with industry standards or competitors.</w:t>
      </w:r>
    </w:p>
    <w:p w14:paraId="61C32092" w14:textId="760955DB" w:rsidR="00AA29C1" w:rsidRPr="00BD22BC" w:rsidRDefault="00AA29C1" w:rsidP="00AA29C1">
      <w:pPr>
        <w:numPr>
          <w:ilvl w:val="1"/>
          <w:numId w:val="60"/>
        </w:numPr>
        <w:spacing w:after="160" w:line="278" w:lineRule="auto"/>
        <w:rPr>
          <w:rFonts w:ascii="Aptos" w:eastAsia="Aptos" w:hAnsi="Aptos" w:cs="Aptos"/>
        </w:rPr>
      </w:pPr>
      <w:r w:rsidRPr="00BD22BC">
        <w:rPr>
          <w:rFonts w:ascii="Aptos" w:eastAsia="Aptos" w:hAnsi="Aptos" w:cs="Aptos"/>
        </w:rPr>
        <w:t>For example, some websites can provide industry benchmark data, offering insights into standard performance metrics within the sector.</w:t>
      </w:r>
    </w:p>
    <w:p w14:paraId="2D2EC459" w14:textId="77777777" w:rsidR="007D31FD" w:rsidRPr="00BD22BC" w:rsidRDefault="007D31FD" w:rsidP="00731F30">
      <w:pPr>
        <w:rPr>
          <w:highlight w:val="yellow"/>
        </w:rPr>
      </w:pPr>
    </w:p>
    <w:p w14:paraId="0E40FD7C" w14:textId="4B0EF73B" w:rsidR="007D31FD" w:rsidRPr="00BD22BC" w:rsidRDefault="4197F82E" w:rsidP="007D31FD">
      <w:pPr>
        <w:pStyle w:val="Heading2"/>
      </w:pPr>
      <w:bookmarkStart w:id="124" w:name="_Toc97074064"/>
      <w:r w:rsidRPr="7EEFCAA8">
        <w:rPr>
          <w:highlight w:val="yellow"/>
        </w:rPr>
        <w:t>UNIT 4.</w:t>
      </w:r>
      <w:r w:rsidR="00101D56">
        <w:rPr>
          <w:highlight w:val="yellow"/>
        </w:rPr>
        <w:t>5</w:t>
      </w:r>
      <w:r w:rsidRPr="7EEFCAA8">
        <w:rPr>
          <w:highlight w:val="yellow"/>
        </w:rPr>
        <w:t>:</w:t>
      </w:r>
      <w:r>
        <w:t xml:space="preserve"> Benchmarks and Timeframe</w:t>
      </w:r>
      <w:bookmarkEnd w:id="124"/>
    </w:p>
    <w:p w14:paraId="18D45CD6" w14:textId="77777777" w:rsidR="007D31FD" w:rsidRPr="00BD22BC" w:rsidRDefault="007D31FD" w:rsidP="007D31FD">
      <w:pPr>
        <w:rPr>
          <w:rFonts w:ascii="Aptos" w:eastAsia="Aptos" w:hAnsi="Aptos" w:cs="Aptos"/>
        </w:rPr>
      </w:pP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6A0" w:firstRow="1" w:lastRow="0" w:firstColumn="1" w:lastColumn="0" w:noHBand="1" w:noVBand="1"/>
      </w:tblPr>
      <w:tblGrid>
        <w:gridCol w:w="1872"/>
        <w:gridCol w:w="1872"/>
        <w:gridCol w:w="1872"/>
        <w:gridCol w:w="1872"/>
        <w:gridCol w:w="1872"/>
      </w:tblGrid>
      <w:tr w:rsidR="007D31FD" w:rsidRPr="00BD22BC" w14:paraId="1026CB4C" w14:textId="77777777" w:rsidTr="00C5618D">
        <w:trPr>
          <w:trHeight w:val="300"/>
        </w:trPr>
        <w:tc>
          <w:tcPr>
            <w:tcW w:w="1872" w:type="dxa"/>
            <w:shd w:val="clear" w:color="auto" w:fill="F2F2F2" w:themeFill="background1" w:themeFillShade="F2"/>
          </w:tcPr>
          <w:p w14:paraId="25FA368A" w14:textId="77777777" w:rsidR="007D31FD" w:rsidRPr="00BD22BC" w:rsidRDefault="007D31FD" w:rsidP="00C5618D">
            <w:pPr>
              <w:jc w:val="center"/>
              <w:rPr>
                <w:b/>
                <w:bCs/>
                <w:color w:val="D9D9D9" w:themeColor="background1" w:themeShade="D9"/>
              </w:rPr>
            </w:pPr>
            <w:r w:rsidRPr="00BD22BC">
              <w:rPr>
                <w:b/>
                <w:bCs/>
                <w:noProof/>
                <w:color w:val="D9D9D9" w:themeColor="background1" w:themeShade="D9"/>
              </w:rPr>
              <w:drawing>
                <wp:inline distT="0" distB="0" distL="0" distR="0" wp14:anchorId="4BE84EAD" wp14:editId="2A1F1439">
                  <wp:extent cx="571500" cy="564356"/>
                  <wp:effectExtent l="0" t="0" r="0" b="7620"/>
                  <wp:docPr id="162911627"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0461829" name=""/>
                          <pic:cNvPicPr/>
                        </pic:nvPicPr>
                        <pic:blipFill>
                          <a:blip r:embed="rId44">
                            <a:extLst>
                              <a:ext uri="{96DAC541-7B7A-43D3-8B79-37D633B846F1}">
                                <asvg:svgBlip xmlns:asvg="http://schemas.microsoft.com/office/drawing/2016/SVG/main" r:embed="rId45"/>
                              </a:ext>
                            </a:extLst>
                          </a:blip>
                          <a:stretch>
                            <a:fillRect/>
                          </a:stretch>
                        </pic:blipFill>
                        <pic:spPr>
                          <a:xfrm>
                            <a:off x="0" y="0"/>
                            <a:ext cx="574228" cy="567050"/>
                          </a:xfrm>
                          <a:prstGeom prst="rect">
                            <a:avLst/>
                          </a:prstGeom>
                        </pic:spPr>
                      </pic:pic>
                    </a:graphicData>
                  </a:graphic>
                </wp:inline>
              </w:drawing>
            </w:r>
          </w:p>
          <w:p w14:paraId="0B0B19D6" w14:textId="77777777" w:rsidR="007D31FD" w:rsidRPr="00BD22BC" w:rsidRDefault="007D31FD" w:rsidP="00C5618D">
            <w:pPr>
              <w:jc w:val="center"/>
              <w:rPr>
                <w:b/>
                <w:bCs/>
                <w:color w:val="D9D9D9" w:themeColor="background1" w:themeShade="D9"/>
              </w:rPr>
            </w:pPr>
            <w:r w:rsidRPr="00BD22BC">
              <w:rPr>
                <w:b/>
                <w:bCs/>
                <w:color w:val="D9D9D9" w:themeColor="background1" w:themeShade="D9"/>
              </w:rPr>
              <w:t>Clear objectives</w:t>
            </w:r>
          </w:p>
        </w:tc>
        <w:tc>
          <w:tcPr>
            <w:tcW w:w="1872" w:type="dxa"/>
            <w:shd w:val="clear" w:color="auto" w:fill="F2F2F2" w:themeFill="background1" w:themeFillShade="F2"/>
          </w:tcPr>
          <w:p w14:paraId="43EAE814" w14:textId="77777777" w:rsidR="007D31FD" w:rsidRPr="00BD22BC" w:rsidRDefault="007D31FD" w:rsidP="00C5618D">
            <w:pPr>
              <w:jc w:val="center"/>
              <w:rPr>
                <w:b/>
                <w:bCs/>
                <w:color w:val="D9D9D9" w:themeColor="background1" w:themeShade="D9"/>
              </w:rPr>
            </w:pPr>
            <w:r w:rsidRPr="00BD22BC">
              <w:rPr>
                <w:b/>
                <w:bCs/>
                <w:noProof/>
                <w:color w:val="D9D9D9" w:themeColor="background1" w:themeShade="D9"/>
              </w:rPr>
              <w:drawing>
                <wp:inline distT="0" distB="0" distL="0" distR="0" wp14:anchorId="05578C3A" wp14:editId="0AAB456C">
                  <wp:extent cx="438150" cy="438150"/>
                  <wp:effectExtent l="0" t="0" r="0" b="0"/>
                  <wp:docPr id="1915731638"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9750405" name=""/>
                          <pic:cNvPicPr/>
                        </pic:nvPicPr>
                        <pic:blipFill>
                          <a:blip r:embed="rId46">
                            <a:extLst>
                              <a:ext uri="{96DAC541-7B7A-43D3-8B79-37D633B846F1}">
                                <asvg:svgBlip xmlns:asvg="http://schemas.microsoft.com/office/drawing/2016/SVG/main" r:embed="rId47"/>
                              </a:ext>
                            </a:extLst>
                          </a:blip>
                          <a:stretch>
                            <a:fillRect/>
                          </a:stretch>
                        </pic:blipFill>
                        <pic:spPr>
                          <a:xfrm>
                            <a:off x="0" y="0"/>
                            <a:ext cx="438150" cy="438150"/>
                          </a:xfrm>
                          <a:prstGeom prst="rect">
                            <a:avLst/>
                          </a:prstGeom>
                        </pic:spPr>
                      </pic:pic>
                    </a:graphicData>
                  </a:graphic>
                </wp:inline>
              </w:drawing>
            </w:r>
          </w:p>
          <w:p w14:paraId="25D63018" w14:textId="77777777" w:rsidR="007D31FD" w:rsidRPr="00BD22BC" w:rsidRDefault="007D31FD" w:rsidP="00C5618D">
            <w:pPr>
              <w:jc w:val="center"/>
              <w:rPr>
                <w:b/>
                <w:bCs/>
                <w:color w:val="D9D9D9" w:themeColor="background1" w:themeShade="D9"/>
              </w:rPr>
            </w:pPr>
            <w:r w:rsidRPr="00BD22BC">
              <w:rPr>
                <w:b/>
                <w:bCs/>
                <w:color w:val="D9D9D9" w:themeColor="background1" w:themeShade="D9"/>
              </w:rPr>
              <w:t>KPIs and Metrics</w:t>
            </w:r>
          </w:p>
        </w:tc>
        <w:tc>
          <w:tcPr>
            <w:tcW w:w="1872" w:type="dxa"/>
            <w:shd w:val="clear" w:color="auto" w:fill="F2F2F2" w:themeFill="background1" w:themeFillShade="F2"/>
          </w:tcPr>
          <w:p w14:paraId="24FFC09E" w14:textId="77777777" w:rsidR="007D31FD" w:rsidRPr="00BD22BC" w:rsidRDefault="007D31FD" w:rsidP="00C5618D">
            <w:pPr>
              <w:jc w:val="center"/>
              <w:rPr>
                <w:b/>
                <w:bCs/>
                <w:color w:val="D9D9D9" w:themeColor="background1" w:themeShade="D9"/>
              </w:rPr>
            </w:pPr>
            <w:r w:rsidRPr="00BD22BC">
              <w:rPr>
                <w:noProof/>
                <w:color w:val="D9D9D9" w:themeColor="background1" w:themeShade="D9"/>
              </w:rPr>
              <w:drawing>
                <wp:inline distT="0" distB="0" distL="0" distR="0" wp14:anchorId="6792E41F" wp14:editId="094679B1">
                  <wp:extent cx="628650" cy="499696"/>
                  <wp:effectExtent l="0" t="0" r="0" b="0"/>
                  <wp:docPr id="2032726210"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761042" name=""/>
                          <pic:cNvPicPr/>
                        </pic:nvPicPr>
                        <pic:blipFill>
                          <a:blip r:embed="rId48">
                            <a:extLst>
                              <a:ext uri="{96DAC541-7B7A-43D3-8B79-37D633B846F1}">
                                <asvg:svgBlip xmlns:asvg="http://schemas.microsoft.com/office/drawing/2016/SVG/main" r:embed="rId49"/>
                              </a:ext>
                            </a:extLst>
                          </a:blip>
                          <a:stretch>
                            <a:fillRect/>
                          </a:stretch>
                        </pic:blipFill>
                        <pic:spPr>
                          <a:xfrm>
                            <a:off x="0" y="0"/>
                            <a:ext cx="631266" cy="501775"/>
                          </a:xfrm>
                          <a:prstGeom prst="rect">
                            <a:avLst/>
                          </a:prstGeom>
                        </pic:spPr>
                      </pic:pic>
                    </a:graphicData>
                  </a:graphic>
                </wp:inline>
              </w:drawing>
            </w:r>
          </w:p>
          <w:p w14:paraId="028D3436" w14:textId="77777777" w:rsidR="007D31FD" w:rsidRPr="00BD22BC" w:rsidRDefault="007D31FD" w:rsidP="00C5618D">
            <w:pPr>
              <w:jc w:val="center"/>
              <w:rPr>
                <w:b/>
                <w:bCs/>
                <w:color w:val="D9D9D9" w:themeColor="background1" w:themeShade="D9"/>
              </w:rPr>
            </w:pPr>
            <w:r w:rsidRPr="00BD22BC">
              <w:rPr>
                <w:b/>
                <w:bCs/>
                <w:color w:val="D9D9D9" w:themeColor="background1" w:themeShade="D9"/>
              </w:rPr>
              <w:t>Monitoring Tools</w:t>
            </w:r>
          </w:p>
        </w:tc>
        <w:tc>
          <w:tcPr>
            <w:tcW w:w="1872" w:type="dxa"/>
          </w:tcPr>
          <w:p w14:paraId="7E18A1AD" w14:textId="77777777" w:rsidR="007D31FD" w:rsidRPr="00BD22BC" w:rsidRDefault="007D31FD" w:rsidP="00C5618D">
            <w:pPr>
              <w:jc w:val="center"/>
              <w:rPr>
                <w:b/>
                <w:bCs/>
              </w:rPr>
            </w:pPr>
            <w:r w:rsidRPr="00BD22BC">
              <w:rPr>
                <w:noProof/>
              </w:rPr>
              <w:drawing>
                <wp:inline distT="0" distB="0" distL="0" distR="0" wp14:anchorId="6FB73B83" wp14:editId="637303FA">
                  <wp:extent cx="752475" cy="752475"/>
                  <wp:effectExtent l="0" t="0" r="9525" b="9525"/>
                  <wp:docPr id="1737611469"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475744" name=""/>
                          <pic:cNvPicPr/>
                        </pic:nvPicPr>
                        <pic:blipFill>
                          <a:blip r:embed="rId50">
                            <a:extLst>
                              <a:ext uri="{96DAC541-7B7A-43D3-8B79-37D633B846F1}">
                                <asvg:svgBlip xmlns:asvg="http://schemas.microsoft.com/office/drawing/2016/SVG/main" r:embed="rId51"/>
                              </a:ext>
                            </a:extLst>
                          </a:blip>
                          <a:stretch>
                            <a:fillRect/>
                          </a:stretch>
                        </pic:blipFill>
                        <pic:spPr>
                          <a:xfrm>
                            <a:off x="0" y="0"/>
                            <a:ext cx="752475" cy="752475"/>
                          </a:xfrm>
                          <a:prstGeom prst="rect">
                            <a:avLst/>
                          </a:prstGeom>
                        </pic:spPr>
                      </pic:pic>
                    </a:graphicData>
                  </a:graphic>
                </wp:inline>
              </w:drawing>
            </w:r>
            <w:r w:rsidRPr="00BD22BC">
              <w:rPr>
                <w:b/>
                <w:bCs/>
              </w:rPr>
              <w:t>Benchmarks</w:t>
            </w:r>
          </w:p>
        </w:tc>
        <w:tc>
          <w:tcPr>
            <w:tcW w:w="1872" w:type="dxa"/>
          </w:tcPr>
          <w:p w14:paraId="11FF748C" w14:textId="77777777" w:rsidR="007D31FD" w:rsidRPr="00BD22BC" w:rsidRDefault="007D31FD" w:rsidP="00C5618D">
            <w:pPr>
              <w:jc w:val="center"/>
              <w:rPr>
                <w:b/>
                <w:bCs/>
              </w:rPr>
            </w:pPr>
            <w:r w:rsidRPr="00BD22BC">
              <w:rPr>
                <w:b/>
                <w:bCs/>
                <w:noProof/>
              </w:rPr>
              <w:drawing>
                <wp:inline distT="0" distB="0" distL="0" distR="0" wp14:anchorId="4E6C8388" wp14:editId="33FEDFF5">
                  <wp:extent cx="495300" cy="752475"/>
                  <wp:effectExtent l="0" t="0" r="0" b="9525"/>
                  <wp:docPr id="1962678276"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621843" name=""/>
                          <pic:cNvPicPr/>
                        </pic:nvPicPr>
                        <pic:blipFill>
                          <a:blip r:embed="rId52">
                            <a:extLst>
                              <a:ext uri="{96DAC541-7B7A-43D3-8B79-37D633B846F1}">
                                <asvg:svgBlip xmlns:asvg="http://schemas.microsoft.com/office/drawing/2016/SVG/main" r:embed="rId53"/>
                              </a:ext>
                            </a:extLst>
                          </a:blip>
                          <a:stretch>
                            <a:fillRect/>
                          </a:stretch>
                        </pic:blipFill>
                        <pic:spPr>
                          <a:xfrm>
                            <a:off x="0" y="0"/>
                            <a:ext cx="495300" cy="752475"/>
                          </a:xfrm>
                          <a:prstGeom prst="rect">
                            <a:avLst/>
                          </a:prstGeom>
                        </pic:spPr>
                      </pic:pic>
                    </a:graphicData>
                  </a:graphic>
                </wp:inline>
              </w:drawing>
            </w:r>
            <w:r w:rsidRPr="00BD22BC">
              <w:rPr>
                <w:b/>
                <w:bCs/>
              </w:rPr>
              <w:t>Timeframe</w:t>
            </w:r>
          </w:p>
        </w:tc>
      </w:tr>
    </w:tbl>
    <w:p w14:paraId="3B51CB12" w14:textId="77777777" w:rsidR="007D31FD" w:rsidRPr="00BD22BC" w:rsidRDefault="007D31FD" w:rsidP="007D31FD">
      <w:pPr>
        <w:rPr>
          <w:rFonts w:ascii="Aptos" w:eastAsia="Aptos" w:hAnsi="Aptos" w:cs="Aptos"/>
        </w:rPr>
      </w:pPr>
    </w:p>
    <w:p w14:paraId="3AE05E36" w14:textId="61800746" w:rsidR="004C5E50" w:rsidRPr="00BD22BC" w:rsidRDefault="004C5E50" w:rsidP="004C5E50">
      <w:r>
        <w:t>To assess the impact and make the impact data meaningful</w:t>
      </w:r>
      <w:r w:rsidR="00027D99">
        <w:t>ly</w:t>
      </w:r>
      <w:r>
        <w:t>, compare (or benchmark) the performance</w:t>
      </w:r>
      <w:r w:rsidR="000A2044">
        <w:t xml:space="preserve"> of the communication efforts</w:t>
      </w:r>
      <w:r>
        <w:t xml:space="preserve"> against:</w:t>
      </w:r>
    </w:p>
    <w:p w14:paraId="4C8B13DC" w14:textId="7B6D19DB" w:rsidR="004C5E50" w:rsidRPr="00BD22BC" w:rsidRDefault="004C5E50" w:rsidP="004C5E50">
      <w:pPr>
        <w:numPr>
          <w:ilvl w:val="0"/>
          <w:numId w:val="57"/>
        </w:numPr>
        <w:spacing w:after="160" w:line="278" w:lineRule="auto"/>
      </w:pPr>
      <w:r w:rsidRPr="38638030">
        <w:rPr>
          <w:b/>
          <w:bCs/>
        </w:rPr>
        <w:t>Past performance</w:t>
      </w:r>
      <w:r>
        <w:t>: Use historical data as a benchmark to see the agency’s progression.</w:t>
      </w:r>
    </w:p>
    <w:p w14:paraId="0E85BB63" w14:textId="77777777" w:rsidR="004C5E50" w:rsidRPr="00BD22BC" w:rsidRDefault="004C5E50" w:rsidP="004C5E50">
      <w:pPr>
        <w:numPr>
          <w:ilvl w:val="1"/>
          <w:numId w:val="57"/>
        </w:numPr>
        <w:spacing w:after="160" w:line="278" w:lineRule="auto"/>
        <w:rPr>
          <w:rFonts w:ascii="Aptos" w:eastAsia="Aptos" w:hAnsi="Aptos" w:cs="Aptos"/>
        </w:rPr>
      </w:pPr>
      <w:r w:rsidRPr="38638030">
        <w:rPr>
          <w:rFonts w:ascii="Aptos" w:eastAsia="Aptos" w:hAnsi="Aptos" w:cs="Aptos"/>
        </w:rPr>
        <w:t>For example, the IMF compares the media mentions from this year’s Annual Meetings to those from last year’s to determine if there was an increase or decrease in coverage.</w:t>
      </w:r>
    </w:p>
    <w:p w14:paraId="3B727DFC" w14:textId="77777777" w:rsidR="004C5E50" w:rsidRPr="00BD22BC" w:rsidRDefault="004C5E50" w:rsidP="004C5E50">
      <w:pPr>
        <w:numPr>
          <w:ilvl w:val="1"/>
          <w:numId w:val="57"/>
        </w:numPr>
        <w:spacing w:after="160" w:line="278" w:lineRule="auto"/>
        <w:rPr>
          <w:rFonts w:ascii="Aptos" w:eastAsia="Aptos" w:hAnsi="Aptos" w:cs="Aptos"/>
        </w:rPr>
      </w:pPr>
      <w:r w:rsidRPr="00BD22BC">
        <w:rPr>
          <w:rFonts w:ascii="Aptos" w:eastAsia="Aptos" w:hAnsi="Aptos" w:cs="Aptos"/>
        </w:rPr>
        <w:t>What could be an equivalent metric for your ministry or central bank?</w:t>
      </w:r>
    </w:p>
    <w:p w14:paraId="32580F27" w14:textId="77777777" w:rsidR="004C5E50" w:rsidRPr="00BD22BC" w:rsidRDefault="004C5E50" w:rsidP="004C5E50">
      <w:pPr>
        <w:numPr>
          <w:ilvl w:val="0"/>
          <w:numId w:val="57"/>
        </w:numPr>
        <w:spacing w:after="160" w:line="278" w:lineRule="auto"/>
      </w:pPr>
      <w:r w:rsidRPr="1BB63DC4">
        <w:rPr>
          <w:b/>
          <w:bCs/>
        </w:rPr>
        <w:t>Peer institutions or industry standards</w:t>
      </w:r>
      <w:r>
        <w:t>: Evaluate how your communication efforts compare with similar institutions.</w:t>
      </w:r>
    </w:p>
    <w:p w14:paraId="774A2681" w14:textId="33480556" w:rsidR="004C5E50" w:rsidRPr="00BD22BC" w:rsidRDefault="004C5E50" w:rsidP="004C5E50">
      <w:pPr>
        <w:numPr>
          <w:ilvl w:val="1"/>
          <w:numId w:val="57"/>
        </w:numPr>
        <w:spacing w:after="160" w:line="278" w:lineRule="auto"/>
        <w:rPr>
          <w:rFonts w:ascii="Aptos" w:eastAsia="Aptos" w:hAnsi="Aptos" w:cs="Aptos"/>
        </w:rPr>
      </w:pPr>
      <w:r w:rsidRPr="38638030">
        <w:rPr>
          <w:rFonts w:ascii="Aptos" w:eastAsia="Aptos" w:hAnsi="Aptos" w:cs="Aptos"/>
        </w:rPr>
        <w:t xml:space="preserve">For example, the IMF compares </w:t>
      </w:r>
      <w:r w:rsidR="00027D99" w:rsidRPr="38638030">
        <w:rPr>
          <w:rFonts w:ascii="Aptos" w:eastAsia="Aptos" w:hAnsi="Aptos" w:cs="Aptos"/>
        </w:rPr>
        <w:t xml:space="preserve">its </w:t>
      </w:r>
      <w:r w:rsidRPr="38638030">
        <w:rPr>
          <w:rFonts w:ascii="Aptos" w:eastAsia="Aptos" w:hAnsi="Aptos" w:cs="Aptos"/>
        </w:rPr>
        <w:t>volume of media mentions with that of the World Bank during the Annual Meetings.</w:t>
      </w:r>
    </w:p>
    <w:p w14:paraId="72B40CCF" w14:textId="77777777" w:rsidR="004C5E50" w:rsidRPr="00BD22BC" w:rsidRDefault="004C5E50" w:rsidP="004C5E50">
      <w:pPr>
        <w:numPr>
          <w:ilvl w:val="1"/>
          <w:numId w:val="57"/>
        </w:numPr>
        <w:spacing w:after="160" w:line="278" w:lineRule="auto"/>
        <w:rPr>
          <w:rFonts w:ascii="Aptos" w:eastAsia="Aptos" w:hAnsi="Aptos" w:cs="Aptos"/>
        </w:rPr>
      </w:pPr>
      <w:r w:rsidRPr="38638030">
        <w:rPr>
          <w:rFonts w:ascii="Aptos" w:eastAsia="Aptos" w:hAnsi="Aptos" w:cs="Aptos"/>
        </w:rPr>
        <w:t>Who are your institution’s international peers? (Needless to say, finding a comparator agency may be challenging for low-income and emerging market countries.)</w:t>
      </w:r>
    </w:p>
    <w:p w14:paraId="40C51992" w14:textId="77777777" w:rsidR="00AA29C1" w:rsidRPr="00BD22BC" w:rsidRDefault="00AA29C1" w:rsidP="00EA75D1">
      <w:pPr>
        <w:rPr>
          <w:rFonts w:ascii="Aptos" w:eastAsia="Aptos" w:hAnsi="Aptos" w:cs="Aptos"/>
        </w:rPr>
      </w:pPr>
    </w:p>
    <w:p w14:paraId="173DB1D7" w14:textId="4B62D632" w:rsidR="00EA75D1" w:rsidRPr="00BD22BC" w:rsidRDefault="000A2044" w:rsidP="00EA75D1">
      <w:r>
        <w:t xml:space="preserve">Besides benchmarking, another important component of impact assessment </w:t>
      </w:r>
      <w:r w:rsidR="006B0C5A">
        <w:t xml:space="preserve">is </w:t>
      </w:r>
      <w:r>
        <w:t xml:space="preserve">to </w:t>
      </w:r>
      <w:r w:rsidR="003333C4">
        <w:t>s</w:t>
      </w:r>
      <w:r w:rsidR="00EA75D1">
        <w:t xml:space="preserve">et a </w:t>
      </w:r>
      <w:r w:rsidR="003333C4">
        <w:t>p</w:t>
      </w:r>
      <w:r w:rsidR="00EA75D1">
        <w:t xml:space="preserve">roper </w:t>
      </w:r>
      <w:r w:rsidR="003333C4">
        <w:t>t</w:t>
      </w:r>
      <w:r w:rsidR="00EA75D1">
        <w:t xml:space="preserve">imeframe for </w:t>
      </w:r>
      <w:r w:rsidR="003333C4">
        <w:t>m</w:t>
      </w:r>
      <w:r w:rsidR="00EA75D1">
        <w:t>onitoring</w:t>
      </w:r>
      <w:r w:rsidR="003333C4">
        <w:t xml:space="preserve">. </w:t>
      </w:r>
      <w:r w:rsidR="00EA75D1">
        <w:t xml:space="preserve">Decide on the duration of </w:t>
      </w:r>
      <w:r w:rsidR="10679779">
        <w:t>the</w:t>
      </w:r>
      <w:r w:rsidR="00EA75D1">
        <w:t xml:space="preserve"> assessment:</w:t>
      </w:r>
    </w:p>
    <w:p w14:paraId="34DC4D0A" w14:textId="77777777" w:rsidR="00EA75D1" w:rsidRPr="00BD22BC" w:rsidRDefault="00EA75D1" w:rsidP="00EA75D1">
      <w:pPr>
        <w:numPr>
          <w:ilvl w:val="0"/>
          <w:numId w:val="56"/>
        </w:numPr>
        <w:spacing w:after="160" w:line="278" w:lineRule="auto"/>
      </w:pPr>
      <w:r w:rsidRPr="38638030">
        <w:rPr>
          <w:b/>
          <w:bCs/>
        </w:rPr>
        <w:lastRenderedPageBreak/>
        <w:t>Short-term monitoring</w:t>
      </w:r>
      <w:r>
        <w:t>: For campaigns with immediate objectives, such as a policy announcement, consider using end-of-day, 2-day, 3-day, or 7-day durations.</w:t>
      </w:r>
    </w:p>
    <w:p w14:paraId="02845180" w14:textId="13042437" w:rsidR="00EA75D1" w:rsidRPr="00BD22BC" w:rsidRDefault="00EA75D1" w:rsidP="00EA75D1">
      <w:pPr>
        <w:numPr>
          <w:ilvl w:val="0"/>
          <w:numId w:val="56"/>
        </w:numPr>
        <w:spacing w:after="160" w:line="278" w:lineRule="auto"/>
      </w:pPr>
      <w:r w:rsidRPr="00BD22BC">
        <w:rPr>
          <w:b/>
          <w:bCs/>
        </w:rPr>
        <w:t>Long-term monitoring</w:t>
      </w:r>
      <w:r w:rsidRPr="00BD22BC">
        <w:t xml:space="preserve">: To track ongoing public sentiment around issues like inflation and inflation expectations, interest rates and yield curves, or public debt evolution, </w:t>
      </w:r>
      <w:r w:rsidR="67216D5D" w:rsidRPr="00BD22BC">
        <w:t xml:space="preserve">one may </w:t>
      </w:r>
      <w:r w:rsidRPr="00BD22BC">
        <w:t>consider using 30-day, quarterly, or 6-month durations.</w:t>
      </w:r>
    </w:p>
    <w:p w14:paraId="29375F50" w14:textId="77777777" w:rsidR="00EA75D1" w:rsidRPr="00BD22BC" w:rsidRDefault="00EA75D1" w:rsidP="00EA75D1">
      <w:pPr>
        <w:ind w:left="720"/>
      </w:pPr>
    </w:p>
    <w:p w14:paraId="78A2E975" w14:textId="7D9F1AD0" w:rsidR="00075A9C" w:rsidRPr="00BD22BC" w:rsidRDefault="3F8A8CAB" w:rsidP="00075A9C">
      <w:pPr>
        <w:pStyle w:val="Heading1"/>
      </w:pPr>
      <w:bookmarkStart w:id="125" w:name="_Toc1772223295"/>
      <w:bookmarkEnd w:id="118"/>
      <w:r w:rsidRPr="7EEFCAA8">
        <w:rPr>
          <w:highlight w:val="yellow"/>
        </w:rPr>
        <w:t xml:space="preserve">SECTION </w:t>
      </w:r>
      <w:r w:rsidR="6C2C188A" w:rsidRPr="7EEFCAA8">
        <w:rPr>
          <w:highlight w:val="yellow"/>
        </w:rPr>
        <w:t>4</w:t>
      </w:r>
      <w:r w:rsidRPr="7EEFCAA8">
        <w:rPr>
          <w:highlight w:val="yellow"/>
        </w:rPr>
        <w:t>:</w:t>
      </w:r>
      <w:bookmarkEnd w:id="125"/>
      <w:r w:rsidRPr="7EEFCAA8">
        <w:rPr>
          <w:highlight w:val="yellow"/>
        </w:rPr>
        <w:t xml:space="preserve"> </w:t>
      </w:r>
    </w:p>
    <w:p w14:paraId="767B2683" w14:textId="5BD4A183" w:rsidR="00075A9C" w:rsidRPr="00BD22BC" w:rsidRDefault="208D5305" w:rsidP="00075A9C">
      <w:pPr>
        <w:pStyle w:val="Heading1"/>
      </w:pPr>
      <w:bookmarkStart w:id="126" w:name="_Toc1872404870"/>
      <w:r>
        <w:t>Unit 4.</w:t>
      </w:r>
      <w:r w:rsidR="498F7E97">
        <w:t>5</w:t>
      </w:r>
      <w:r w:rsidR="3F8A8CAB">
        <w:t xml:space="preserve"> Module 4 Takeaways</w:t>
      </w:r>
      <w:bookmarkEnd w:id="126"/>
    </w:p>
    <w:p w14:paraId="3E1DA67A" w14:textId="77777777" w:rsidR="00075A9C" w:rsidRPr="00BD22BC" w:rsidRDefault="00075A9C" w:rsidP="00075A9C"/>
    <w:p w14:paraId="5F34DDAC" w14:textId="62B8D5ED" w:rsidR="007A5F05" w:rsidRPr="00BD22BC" w:rsidRDefault="007A5F05" w:rsidP="007A5F05">
      <w:bookmarkStart w:id="127" w:name="_Hlk183034373"/>
      <w:r>
        <w:t>Effective policy communication relies on a clear strategic framework, incorporating well-defined goals, institutional guidelines, and audience-specific approaches. Establishing standardized communication cycles</w:t>
      </w:r>
      <w:r w:rsidR="00B659A7">
        <w:t>, a dedicated communication structure,</w:t>
      </w:r>
      <w:r>
        <w:t xml:space="preserve"> and leveraging tools like press releases, digital platforms, and stakeholder engagement fosters consistency. </w:t>
      </w:r>
      <w:r w:rsidR="00A466A8">
        <w:t xml:space="preserve">Proactively refining techniques and mapping target audiences </w:t>
      </w:r>
      <w:r w:rsidR="007D78D3">
        <w:t xml:space="preserve">(e.g., professionals, the public, and internal staff) </w:t>
      </w:r>
      <w:r w:rsidR="00A466A8">
        <w:t>ensures relevant and accurate information reaches all stakeholders</w:t>
      </w:r>
      <w:r w:rsidR="001112BE">
        <w:t>, further</w:t>
      </w:r>
      <w:r w:rsidR="006A5143">
        <w:t xml:space="preserve"> </w:t>
      </w:r>
      <w:r>
        <w:t>enhanc</w:t>
      </w:r>
      <w:r w:rsidR="001112BE">
        <w:t>ing</w:t>
      </w:r>
      <w:r w:rsidR="006A5143">
        <w:t xml:space="preserve"> </w:t>
      </w:r>
      <w:r>
        <w:t xml:space="preserve">organizational efficiency and </w:t>
      </w:r>
      <w:r w:rsidR="006A2C50">
        <w:t xml:space="preserve">securing </w:t>
      </w:r>
      <w:r>
        <w:t xml:space="preserve">public trust. </w:t>
      </w:r>
    </w:p>
    <w:bookmarkEnd w:id="127"/>
    <w:p w14:paraId="421E9898" w14:textId="0C95A9C3" w:rsidR="00075A9C" w:rsidRPr="00BD22BC" w:rsidRDefault="00075A9C" w:rsidP="00075A9C"/>
    <w:p w14:paraId="654B020E" w14:textId="67F3DB08" w:rsidR="00EF7172" w:rsidRPr="00BD22BC" w:rsidRDefault="2D923F0B" w:rsidP="00075A9C">
      <w:pPr>
        <w:rPr>
          <w:b/>
          <w:bCs/>
        </w:rPr>
      </w:pPr>
      <w:r w:rsidRPr="1BB63DC4">
        <w:rPr>
          <w:b/>
          <w:bCs/>
        </w:rPr>
        <w:t xml:space="preserve">Consider the following </w:t>
      </w:r>
      <w:r w:rsidR="00236B9B" w:rsidRPr="1BB63DC4">
        <w:rPr>
          <w:b/>
          <w:bCs/>
        </w:rPr>
        <w:t>key takeaways from this module</w:t>
      </w:r>
      <w:r w:rsidR="00EF7172" w:rsidRPr="1BB63DC4">
        <w:rPr>
          <w:b/>
          <w:bCs/>
        </w:rPr>
        <w:t>:</w:t>
      </w:r>
    </w:p>
    <w:p w14:paraId="2A51B88B" w14:textId="77777777" w:rsidR="00075A9C" w:rsidRPr="00BD22BC" w:rsidRDefault="00075A9C" w:rsidP="00075A9C"/>
    <w:p w14:paraId="2B946C5F" w14:textId="45EF1689" w:rsidR="00EF7172" w:rsidRPr="00BD22BC" w:rsidRDefault="43D81073" w:rsidP="7EEFCAA8">
      <w:pPr>
        <w:pStyle w:val="ListParagraph"/>
        <w:numPr>
          <w:ilvl w:val="0"/>
          <w:numId w:val="1"/>
        </w:numPr>
      </w:pPr>
      <w:bookmarkStart w:id="128" w:name="_Toc181025508"/>
      <w:bookmarkStart w:id="129" w:name="_Toc183037624"/>
      <w:r>
        <w:t>Policy communication in practice involves applying strategic frameworks, tools, and techniques tailored to different target audiences and institutional guidelines.</w:t>
      </w:r>
      <w:bookmarkEnd w:id="128"/>
      <w:bookmarkEnd w:id="129"/>
    </w:p>
    <w:p w14:paraId="3D5A9A54" w14:textId="6F2F6F15" w:rsidR="00EA75D1" w:rsidRPr="00BD22BC" w:rsidRDefault="34F02AB6" w:rsidP="7EEFCAA8">
      <w:pPr>
        <w:pStyle w:val="ListParagraph"/>
        <w:numPr>
          <w:ilvl w:val="0"/>
          <w:numId w:val="1"/>
        </w:numPr>
      </w:pPr>
      <w:bookmarkStart w:id="130" w:name="_Toc181025510"/>
      <w:bookmarkStart w:id="131" w:name="_Toc183037625"/>
      <w:r>
        <w:t>Communication strategies should outline goals, target audiences, main messages, tools, and approaches for continuous assessment.</w:t>
      </w:r>
      <w:bookmarkEnd w:id="130"/>
      <w:bookmarkEnd w:id="131"/>
    </w:p>
    <w:p w14:paraId="5436C778" w14:textId="77777777" w:rsidR="00EF7172" w:rsidRPr="00BD22BC" w:rsidRDefault="43D81073" w:rsidP="7EEFCAA8">
      <w:pPr>
        <w:pStyle w:val="ListParagraph"/>
        <w:numPr>
          <w:ilvl w:val="0"/>
          <w:numId w:val="1"/>
        </w:numPr>
      </w:pPr>
      <w:bookmarkStart w:id="132" w:name="_Toc181025509"/>
      <w:bookmarkStart w:id="133" w:name="_Toc183037626"/>
      <w:r>
        <w:t>Establishing clear internal communication guidelines helps maintain coherence and discipline.</w:t>
      </w:r>
      <w:bookmarkEnd w:id="132"/>
      <w:bookmarkEnd w:id="133"/>
    </w:p>
    <w:p w14:paraId="2F63CC01" w14:textId="2ACF7891" w:rsidR="00EF7172" w:rsidRPr="00BD22BC" w:rsidRDefault="34F02AB6" w:rsidP="7EEFCAA8">
      <w:pPr>
        <w:pStyle w:val="ListParagraph"/>
        <w:numPr>
          <w:ilvl w:val="0"/>
          <w:numId w:val="1"/>
        </w:numPr>
      </w:pPr>
      <w:bookmarkStart w:id="134" w:name="_Toc181025511"/>
      <w:bookmarkStart w:id="135" w:name="_Toc183037627"/>
      <w:r>
        <w:t>R</w:t>
      </w:r>
      <w:r w:rsidR="43D81073">
        <w:t>egular communicat</w:t>
      </w:r>
      <w:r>
        <w:t>ion on</w:t>
      </w:r>
      <w:r w:rsidR="43D81073">
        <w:t xml:space="preserve"> decisions and forecasts</w:t>
      </w:r>
      <w:r>
        <w:t xml:space="preserve"> is essential</w:t>
      </w:r>
      <w:r w:rsidR="43D81073">
        <w:t>, using routine events and digital platforms for direct public engagement.</w:t>
      </w:r>
      <w:bookmarkEnd w:id="134"/>
      <w:bookmarkEnd w:id="135"/>
    </w:p>
    <w:p w14:paraId="715DA43C" w14:textId="70F87449" w:rsidR="00EF7172" w:rsidRPr="00BD22BC" w:rsidRDefault="43D81073" w:rsidP="7EEFCAA8">
      <w:pPr>
        <w:pStyle w:val="ListParagraph"/>
        <w:numPr>
          <w:ilvl w:val="0"/>
          <w:numId w:val="1"/>
        </w:numPr>
      </w:pPr>
      <w:bookmarkStart w:id="136" w:name="_Toc181025512"/>
      <w:bookmarkStart w:id="137" w:name="_Toc183037628"/>
      <w:r>
        <w:t>A standardized communication toolkit enhances transparency and consistency across all stakeholders.</w:t>
      </w:r>
      <w:bookmarkEnd w:id="136"/>
      <w:bookmarkEnd w:id="137"/>
    </w:p>
    <w:p w14:paraId="36355D4D" w14:textId="23E13F2F" w:rsidR="00EF7172" w:rsidRPr="00BD22BC" w:rsidRDefault="43D81073" w:rsidP="7EEFCAA8">
      <w:pPr>
        <w:pStyle w:val="ListParagraph"/>
        <w:numPr>
          <w:ilvl w:val="0"/>
          <w:numId w:val="1"/>
        </w:numPr>
      </w:pPr>
      <w:bookmarkStart w:id="138" w:name="_Toc181025513"/>
      <w:bookmarkStart w:id="139" w:name="_Toc183037629"/>
      <w:r>
        <w:t xml:space="preserve">A communication function needs to be </w:t>
      </w:r>
      <w:r w:rsidR="26C541B2">
        <w:t>institutionalized</w:t>
      </w:r>
      <w:r>
        <w:t xml:space="preserve"> with a dedicated department and a spokesperson reporting to senior leadership.</w:t>
      </w:r>
      <w:bookmarkEnd w:id="138"/>
      <w:bookmarkEnd w:id="139"/>
    </w:p>
    <w:p w14:paraId="7125EF59" w14:textId="77777777" w:rsidR="00EA75D1" w:rsidRPr="00BD22BC" w:rsidRDefault="43D81073" w:rsidP="7EEFCAA8">
      <w:pPr>
        <w:pStyle w:val="ListParagraph"/>
        <w:numPr>
          <w:ilvl w:val="0"/>
          <w:numId w:val="1"/>
        </w:numPr>
      </w:pPr>
      <w:bookmarkStart w:id="140" w:name="_Toc181025514"/>
      <w:bookmarkStart w:id="141" w:name="_Toc183037630"/>
      <w:r>
        <w:t>Proactive mapping of audiences is critical, segmenting audiences into professionals, general public, and internal employees to refine communication tactics.</w:t>
      </w:r>
      <w:bookmarkEnd w:id="140"/>
      <w:bookmarkEnd w:id="141"/>
    </w:p>
    <w:p w14:paraId="37F3448F" w14:textId="38E7F2B9" w:rsidR="00EA75D1" w:rsidRPr="00BD22BC" w:rsidRDefault="34F02AB6" w:rsidP="7EEFCAA8">
      <w:pPr>
        <w:pStyle w:val="ListParagraph"/>
        <w:numPr>
          <w:ilvl w:val="0"/>
          <w:numId w:val="1"/>
        </w:numPr>
      </w:pPr>
      <w:bookmarkStart w:id="142" w:name="_Toc183037631"/>
      <w:r>
        <w:t xml:space="preserve">Regular assessment of communication output should be conducted, using clear goals, </w:t>
      </w:r>
      <w:r w:rsidR="00B2384B">
        <w:t>key performance indicators</w:t>
      </w:r>
      <w:r>
        <w:t>, and metrics across media to align strategies, evaluate impact, and drive improvements.</w:t>
      </w:r>
      <w:bookmarkEnd w:id="142"/>
    </w:p>
    <w:p w14:paraId="5DEFCDAE" w14:textId="77777777" w:rsidR="00EA75D1" w:rsidRPr="00BD22BC" w:rsidRDefault="00EA75D1" w:rsidP="00EA75D1"/>
    <w:p w14:paraId="46D33DA2" w14:textId="77777777" w:rsidR="00075A9C" w:rsidRPr="00BD22BC" w:rsidRDefault="00075A9C" w:rsidP="00570AAE"/>
    <w:p w14:paraId="052C1F69" w14:textId="5634A0EF" w:rsidR="0080466F" w:rsidRPr="00BD22BC" w:rsidRDefault="0080466F" w:rsidP="00570AAE">
      <w:pPr>
        <w:spacing w:after="160" w:line="259" w:lineRule="auto"/>
        <w:rPr>
          <w:rFonts w:asciiTheme="minorBidi" w:hAnsiTheme="minorBidi" w:cstheme="minorBidi"/>
          <w:b/>
          <w:iCs/>
          <w:szCs w:val="22"/>
        </w:rPr>
      </w:pPr>
    </w:p>
    <w:p w14:paraId="5EA3CE5F" w14:textId="69515D00" w:rsidR="009A6086" w:rsidRPr="00BD22BC" w:rsidRDefault="009A6086">
      <w:pPr>
        <w:spacing w:after="160" w:line="259" w:lineRule="auto"/>
        <w:rPr>
          <w:rFonts w:cs="Arial"/>
          <w:b/>
          <w:iCs/>
        </w:rPr>
      </w:pPr>
      <w:r w:rsidRPr="00BD22BC">
        <w:br w:type="page"/>
      </w:r>
    </w:p>
    <w:p w14:paraId="1DE6B4DA" w14:textId="103B47FB" w:rsidR="00AF0119" w:rsidRPr="00BD22BC" w:rsidRDefault="350022A0" w:rsidP="007E2343">
      <w:pPr>
        <w:pStyle w:val="Heading2"/>
      </w:pPr>
      <w:bookmarkStart w:id="143" w:name="_Toc1773315689"/>
      <w:r>
        <w:lastRenderedPageBreak/>
        <w:t xml:space="preserve">Knowledge </w:t>
      </w:r>
      <w:r w:rsidR="3AE0278B">
        <w:t>C</w:t>
      </w:r>
      <w:r>
        <w:t>heck</w:t>
      </w:r>
      <w:bookmarkEnd w:id="143"/>
      <w:r w:rsidR="61CBA806">
        <w:t xml:space="preserve"> </w:t>
      </w:r>
    </w:p>
    <w:p w14:paraId="32FCE161" w14:textId="77777777" w:rsidR="00AF0119" w:rsidRPr="00BD22BC" w:rsidRDefault="00AF0119" w:rsidP="00AF0119"/>
    <w:p w14:paraId="013F33B2" w14:textId="0DBC2C68" w:rsidR="00B76F15" w:rsidRPr="00BD22BC" w:rsidRDefault="7370ABE3" w:rsidP="6EEC262A">
      <w:pPr>
        <w:rPr>
          <w:b/>
          <w:bCs/>
          <w:i/>
          <w:iCs/>
        </w:rPr>
      </w:pPr>
      <w:bookmarkStart w:id="144" w:name="_Toc59463024"/>
      <w:bookmarkStart w:id="145" w:name="_Hlk169550579"/>
      <w:bookmarkEnd w:id="144"/>
      <w:r w:rsidRPr="00BD22BC">
        <w:rPr>
          <w:b/>
          <w:bCs/>
        </w:rPr>
        <w:t>1</w:t>
      </w:r>
      <w:r w:rsidR="38CC6E5B" w:rsidRPr="00BD22BC">
        <w:rPr>
          <w:b/>
          <w:bCs/>
        </w:rPr>
        <w:t>.</w:t>
      </w:r>
      <w:r w:rsidR="38CC6E5B" w:rsidRPr="00BD22BC">
        <w:t xml:space="preserve"> </w:t>
      </w:r>
      <w:r w:rsidR="770C1577" w:rsidRPr="00BD22BC">
        <w:rPr>
          <w:b/>
          <w:bCs/>
        </w:rPr>
        <w:t>&lt;</w:t>
      </w:r>
      <w:r w:rsidR="0E43C29F" w:rsidRPr="00BD22BC">
        <w:rPr>
          <w:b/>
          <w:bCs/>
        </w:rPr>
        <w:t>Multiple choice</w:t>
      </w:r>
      <w:r w:rsidR="770C1577" w:rsidRPr="00BD22BC">
        <w:rPr>
          <w:b/>
          <w:bCs/>
        </w:rPr>
        <w:t>&gt;</w:t>
      </w:r>
      <w:r w:rsidR="0E43C29F" w:rsidRPr="00BD22BC">
        <w:t xml:space="preserve"> </w:t>
      </w:r>
      <w:bookmarkStart w:id="146" w:name="_Hlk169550327"/>
      <w:r w:rsidR="007E0BB1" w:rsidRPr="00BD22BC">
        <w:rPr>
          <w:rFonts w:cs="Arial"/>
          <w:b/>
          <w:bCs/>
          <w:i/>
          <w:iCs/>
          <w:color w:val="000000"/>
          <w:highlight w:val="yellow"/>
          <w:shd w:val="clear" w:color="auto" w:fill="FFFFFF"/>
        </w:rPr>
        <w:t>What is the best practice approach to designing a central bank communication strategy?</w:t>
      </w:r>
      <w:bookmarkEnd w:id="146"/>
    </w:p>
    <w:p w14:paraId="547E1180" w14:textId="77777777" w:rsidR="00B76F15" w:rsidRPr="00BD22BC" w:rsidRDefault="00B76F15" w:rsidP="00B76F15">
      <w:bookmarkStart w:id="147" w:name="_Hlk173054330"/>
    </w:p>
    <w:p w14:paraId="70AED6F4" w14:textId="47FD6ACD" w:rsidR="00B76F15" w:rsidRPr="00BD22BC" w:rsidRDefault="00720345" w:rsidP="14EA6238">
      <w:pPr>
        <w:pStyle w:val="ListParagraph"/>
        <w:numPr>
          <w:ilvl w:val="0"/>
          <w:numId w:val="25"/>
        </w:numPr>
        <w:rPr>
          <w:b/>
          <w:bCs/>
        </w:rPr>
      </w:pPr>
      <w:r w:rsidRPr="00BD22BC">
        <w:t xml:space="preserve">Always </w:t>
      </w:r>
      <w:r w:rsidR="00E545DD" w:rsidRPr="00BD22BC">
        <w:t>focus on monetary policy, and disregard other factors</w:t>
      </w:r>
      <w:r w:rsidR="5B6E7F73" w:rsidRPr="00BD22BC">
        <w:t>.</w:t>
      </w:r>
    </w:p>
    <w:p w14:paraId="2CA714B5" w14:textId="77777777" w:rsidR="007B3DA9" w:rsidRPr="00BD22BC" w:rsidRDefault="007B3DA9" w:rsidP="0039643E"/>
    <w:p w14:paraId="32E5349C" w14:textId="7EDBDC4D" w:rsidR="00346211" w:rsidRPr="00BD22BC" w:rsidRDefault="344EC4EE" w:rsidP="6EEC262A">
      <w:pPr>
        <w:rPr>
          <w:shd w:val="clear" w:color="auto" w:fill="FFFFFF"/>
        </w:rPr>
      </w:pPr>
      <w:r w:rsidRPr="00BD22BC">
        <w:rPr>
          <w:b/>
          <w:bCs/>
          <w:shd w:val="clear" w:color="auto" w:fill="FFFFFF"/>
        </w:rPr>
        <w:t>&lt;</w:t>
      </w:r>
      <w:r w:rsidR="0E43C29F" w:rsidRPr="00BD22BC">
        <w:rPr>
          <w:b/>
          <w:bCs/>
          <w:shd w:val="clear" w:color="auto" w:fill="FFFFFF"/>
        </w:rPr>
        <w:t>F</w:t>
      </w:r>
      <w:r w:rsidRPr="00BD22BC">
        <w:rPr>
          <w:b/>
          <w:bCs/>
          <w:shd w:val="clear" w:color="auto" w:fill="FFFFFF"/>
        </w:rPr>
        <w:t>eedback</w:t>
      </w:r>
      <w:r w:rsidR="258A6525" w:rsidRPr="00BD22BC">
        <w:rPr>
          <w:b/>
          <w:bCs/>
          <w:shd w:val="clear" w:color="auto" w:fill="FFFFFF"/>
        </w:rPr>
        <w:t>&gt;</w:t>
      </w:r>
      <w:r w:rsidRPr="00BD22BC">
        <w:rPr>
          <w:b/>
          <w:bCs/>
          <w:shd w:val="clear" w:color="auto" w:fill="FFFFFF"/>
        </w:rPr>
        <w:t xml:space="preserve"> </w:t>
      </w:r>
      <w:r w:rsidRPr="00BD22BC">
        <w:rPr>
          <w:shd w:val="clear" w:color="auto" w:fill="FFFFFF"/>
        </w:rPr>
        <w:t xml:space="preserve">This is </w:t>
      </w:r>
      <w:r w:rsidR="0CB35C7D" w:rsidRPr="00BD22BC">
        <w:rPr>
          <w:b/>
          <w:bCs/>
          <w:shd w:val="clear" w:color="auto" w:fill="FFFFFF"/>
        </w:rPr>
        <w:t>inc</w:t>
      </w:r>
      <w:r w:rsidRPr="00BD22BC">
        <w:rPr>
          <w:b/>
          <w:bCs/>
          <w:shd w:val="clear" w:color="auto" w:fill="FFFFFF"/>
        </w:rPr>
        <w:t>orrect</w:t>
      </w:r>
      <w:r w:rsidRPr="00BD22BC">
        <w:rPr>
          <w:shd w:val="clear" w:color="auto" w:fill="FFFFFF"/>
        </w:rPr>
        <w:t xml:space="preserve">. </w:t>
      </w:r>
      <w:bookmarkStart w:id="148" w:name="_Hlk169550827"/>
      <w:r w:rsidR="00E545DD" w:rsidRPr="00BD22BC">
        <w:rPr>
          <w:shd w:val="clear" w:color="auto" w:fill="FFFFFF"/>
        </w:rPr>
        <w:t xml:space="preserve">There </w:t>
      </w:r>
      <w:r w:rsidR="0053416C" w:rsidRPr="00BD22BC">
        <w:rPr>
          <w:shd w:val="clear" w:color="auto" w:fill="FFFFFF"/>
        </w:rPr>
        <w:t xml:space="preserve">is </w:t>
      </w:r>
      <w:r w:rsidR="00E545DD" w:rsidRPr="00BD22BC">
        <w:rPr>
          <w:shd w:val="clear" w:color="auto" w:fill="FFFFFF"/>
        </w:rPr>
        <w:t xml:space="preserve">no one-size-fits-all approach to designing a central bank communication strategy. </w:t>
      </w:r>
      <w:r w:rsidR="00E545DD" w:rsidRPr="00BD22BC">
        <w:t>Each central bank must adapt to its unique policy regime, operational details, and cultural environment.</w:t>
      </w:r>
    </w:p>
    <w:bookmarkEnd w:id="148"/>
    <w:p w14:paraId="04B64733" w14:textId="77777777" w:rsidR="007B3DA9" w:rsidRPr="00BD22BC" w:rsidRDefault="007B3DA9" w:rsidP="0039643E"/>
    <w:p w14:paraId="7E793DAF" w14:textId="297E99FD" w:rsidR="00B76F15" w:rsidRPr="00BD22BC" w:rsidRDefault="0003631F" w:rsidP="14EA6238">
      <w:pPr>
        <w:pStyle w:val="ListParagraph"/>
        <w:numPr>
          <w:ilvl w:val="0"/>
          <w:numId w:val="25"/>
        </w:numPr>
        <w:rPr>
          <w:b/>
          <w:bCs/>
        </w:rPr>
      </w:pPr>
      <w:r w:rsidRPr="00BD22BC">
        <w:t xml:space="preserve">One central bank may easily adopt </w:t>
      </w:r>
      <w:r w:rsidR="3F5352D8" w:rsidRPr="00BD22BC">
        <w:t>the strategy</w:t>
      </w:r>
      <w:r w:rsidRPr="00BD22BC">
        <w:t xml:space="preserve"> of another central bank, because central bank policies are all governed by the same set of rules and principles</w:t>
      </w:r>
      <w:r w:rsidR="5B6E7F73" w:rsidRPr="00BD22BC">
        <w:t>.</w:t>
      </w:r>
    </w:p>
    <w:p w14:paraId="512EBE74" w14:textId="77777777" w:rsidR="0045397D" w:rsidRPr="00BD22BC" w:rsidRDefault="0045397D" w:rsidP="0039643E"/>
    <w:p w14:paraId="44C3F04A" w14:textId="78E652E7" w:rsidR="00346211" w:rsidRPr="00BD22BC" w:rsidRDefault="46FE55F8" w:rsidP="6EEC262A">
      <w:pPr>
        <w:rPr>
          <w:shd w:val="clear" w:color="auto" w:fill="FFFFFF"/>
        </w:rPr>
      </w:pPr>
      <w:r w:rsidRPr="00BD22BC">
        <w:rPr>
          <w:b/>
          <w:bCs/>
          <w:shd w:val="clear" w:color="auto" w:fill="FFFFFF"/>
        </w:rPr>
        <w:t>&lt;</w:t>
      </w:r>
      <w:r w:rsidR="258A6525" w:rsidRPr="00BD22BC">
        <w:rPr>
          <w:b/>
          <w:bCs/>
          <w:shd w:val="clear" w:color="auto" w:fill="FFFFFF"/>
        </w:rPr>
        <w:t>F</w:t>
      </w:r>
      <w:r w:rsidRPr="00BD22BC">
        <w:rPr>
          <w:b/>
          <w:bCs/>
          <w:shd w:val="clear" w:color="auto" w:fill="FFFFFF"/>
        </w:rPr>
        <w:t>eedback</w:t>
      </w:r>
      <w:r w:rsidR="258A6525" w:rsidRPr="00BD22BC">
        <w:rPr>
          <w:b/>
          <w:bCs/>
          <w:shd w:val="clear" w:color="auto" w:fill="FFFFFF"/>
        </w:rPr>
        <w:t>&gt;</w:t>
      </w:r>
      <w:r w:rsidRPr="00BD22BC">
        <w:rPr>
          <w:b/>
          <w:bCs/>
          <w:shd w:val="clear" w:color="auto" w:fill="FFFFFF"/>
        </w:rPr>
        <w:t xml:space="preserve"> </w:t>
      </w:r>
      <w:r w:rsidRPr="00BD22BC">
        <w:rPr>
          <w:shd w:val="clear" w:color="auto" w:fill="FFFFFF"/>
        </w:rPr>
        <w:t xml:space="preserve">This is </w:t>
      </w:r>
      <w:r w:rsidR="0003631F" w:rsidRPr="00BD22BC">
        <w:rPr>
          <w:b/>
          <w:bCs/>
          <w:shd w:val="clear" w:color="auto" w:fill="FFFFFF"/>
        </w:rPr>
        <w:t>in</w:t>
      </w:r>
      <w:r w:rsidRPr="00BD22BC">
        <w:rPr>
          <w:b/>
          <w:bCs/>
          <w:shd w:val="clear" w:color="auto" w:fill="FFFFFF"/>
        </w:rPr>
        <w:t>correct</w:t>
      </w:r>
      <w:r w:rsidRPr="00BD22BC">
        <w:rPr>
          <w:shd w:val="clear" w:color="auto" w:fill="FFFFFF"/>
        </w:rPr>
        <w:t xml:space="preserve">. </w:t>
      </w:r>
      <w:bookmarkStart w:id="149" w:name="_Hlk169551013"/>
      <w:r w:rsidR="0003631F" w:rsidRPr="00BD22BC">
        <w:rPr>
          <w:shd w:val="clear" w:color="auto" w:fill="FFFFFF"/>
        </w:rPr>
        <w:t xml:space="preserve">There </w:t>
      </w:r>
      <w:r w:rsidR="3D92B0F5" w:rsidRPr="00BD22BC">
        <w:rPr>
          <w:shd w:val="clear" w:color="auto" w:fill="FFFFFF"/>
        </w:rPr>
        <w:t>is no</w:t>
      </w:r>
      <w:r w:rsidR="0003631F" w:rsidRPr="00BD22BC">
        <w:rPr>
          <w:shd w:val="clear" w:color="auto" w:fill="FFFFFF"/>
        </w:rPr>
        <w:t xml:space="preserve"> one-size-fits-all approach to designing a central bank communication strategy. </w:t>
      </w:r>
      <w:r w:rsidR="0003631F" w:rsidRPr="00BD22BC">
        <w:t>Each central bank must adapt to its unique policy regime, operational details, and cultural environment</w:t>
      </w:r>
      <w:r w:rsidR="5E1EC8D0" w:rsidRPr="00BD22BC">
        <w:rPr>
          <w:shd w:val="clear" w:color="auto" w:fill="FFFFFF"/>
        </w:rPr>
        <w:t>.</w:t>
      </w:r>
    </w:p>
    <w:bookmarkEnd w:id="149"/>
    <w:p w14:paraId="7759A2B5" w14:textId="77777777" w:rsidR="00346211" w:rsidRPr="00BD22BC" w:rsidRDefault="00346211" w:rsidP="0039643E"/>
    <w:p w14:paraId="0C404F4C" w14:textId="223B74BA" w:rsidR="00B76F15" w:rsidRPr="00BD22BC" w:rsidRDefault="009B47CA" w:rsidP="6EEC262A">
      <w:pPr>
        <w:pStyle w:val="ListParagraph"/>
        <w:numPr>
          <w:ilvl w:val="0"/>
          <w:numId w:val="25"/>
        </w:numPr>
      </w:pPr>
      <w:r>
        <w:t>Strategies are easily applicable from one central bank to the other, because they all share the goal to effectively communicate policies and actions to the public, financial markets, and other stakeholders</w:t>
      </w:r>
      <w:r w:rsidR="5B6E7F73">
        <w:t>.</w:t>
      </w:r>
    </w:p>
    <w:p w14:paraId="6E6AFC2B" w14:textId="77777777" w:rsidR="00096547" w:rsidRPr="00BD22BC" w:rsidRDefault="00096547" w:rsidP="0039643E"/>
    <w:p w14:paraId="030E62D9" w14:textId="7720BC0D" w:rsidR="009B47CA" w:rsidRPr="00BD22BC" w:rsidRDefault="46FE55F8" w:rsidP="009B47CA">
      <w:pPr>
        <w:rPr>
          <w:shd w:val="clear" w:color="auto" w:fill="FFFFFF"/>
        </w:rPr>
      </w:pPr>
      <w:r w:rsidRPr="00BD22BC">
        <w:rPr>
          <w:b/>
          <w:bCs/>
          <w:shd w:val="clear" w:color="auto" w:fill="FFFFFF"/>
        </w:rPr>
        <w:t>&lt;</w:t>
      </w:r>
      <w:r w:rsidR="258A6525" w:rsidRPr="00BD22BC">
        <w:rPr>
          <w:b/>
          <w:bCs/>
          <w:shd w:val="clear" w:color="auto" w:fill="FFFFFF"/>
        </w:rPr>
        <w:t>F</w:t>
      </w:r>
      <w:r w:rsidRPr="00BD22BC">
        <w:rPr>
          <w:b/>
          <w:bCs/>
          <w:shd w:val="clear" w:color="auto" w:fill="FFFFFF"/>
        </w:rPr>
        <w:t>eedback</w:t>
      </w:r>
      <w:r w:rsidR="258A6525" w:rsidRPr="00BD22BC">
        <w:rPr>
          <w:b/>
          <w:bCs/>
          <w:shd w:val="clear" w:color="auto" w:fill="FFFFFF"/>
        </w:rPr>
        <w:t>&gt;</w:t>
      </w:r>
      <w:r w:rsidRPr="00BD22BC">
        <w:rPr>
          <w:b/>
          <w:bCs/>
          <w:shd w:val="clear" w:color="auto" w:fill="FFFFFF"/>
        </w:rPr>
        <w:t xml:space="preserve"> </w:t>
      </w:r>
      <w:r w:rsidRPr="00BD22BC">
        <w:rPr>
          <w:shd w:val="clear" w:color="auto" w:fill="FFFFFF"/>
        </w:rPr>
        <w:t xml:space="preserve">This is </w:t>
      </w:r>
      <w:r w:rsidRPr="00BD22BC">
        <w:rPr>
          <w:b/>
          <w:bCs/>
          <w:shd w:val="clear" w:color="auto" w:fill="FFFFFF"/>
        </w:rPr>
        <w:t>incorrect</w:t>
      </w:r>
      <w:r w:rsidRPr="00BD22BC">
        <w:rPr>
          <w:shd w:val="clear" w:color="auto" w:fill="FFFFFF"/>
        </w:rPr>
        <w:t>.</w:t>
      </w:r>
      <w:r w:rsidR="1D33FC90" w:rsidRPr="00BD22BC">
        <w:rPr>
          <w:shd w:val="clear" w:color="auto" w:fill="FFFFFF"/>
        </w:rPr>
        <w:t xml:space="preserve"> </w:t>
      </w:r>
      <w:r w:rsidR="009B47CA" w:rsidRPr="00BD22BC">
        <w:rPr>
          <w:shd w:val="clear" w:color="auto" w:fill="FFFFFF"/>
        </w:rPr>
        <w:t xml:space="preserve">There </w:t>
      </w:r>
      <w:r w:rsidR="0B2388AC" w:rsidRPr="00BD22BC">
        <w:rPr>
          <w:shd w:val="clear" w:color="auto" w:fill="FFFFFF"/>
        </w:rPr>
        <w:t>is no</w:t>
      </w:r>
      <w:r w:rsidR="009B47CA" w:rsidRPr="00BD22BC">
        <w:rPr>
          <w:shd w:val="clear" w:color="auto" w:fill="FFFFFF"/>
        </w:rPr>
        <w:t xml:space="preserve"> one-size-fits-all approach to designing a central bank communication strategy. </w:t>
      </w:r>
      <w:r w:rsidR="009B47CA" w:rsidRPr="00BD22BC">
        <w:t>Each central bank must adapt to its unique policy regime, operational details, and cultural environment</w:t>
      </w:r>
      <w:r w:rsidR="009B47CA" w:rsidRPr="00BD22BC">
        <w:rPr>
          <w:shd w:val="clear" w:color="auto" w:fill="FFFFFF"/>
        </w:rPr>
        <w:t>.</w:t>
      </w:r>
    </w:p>
    <w:p w14:paraId="7D4FEF02" w14:textId="77777777" w:rsidR="00346211" w:rsidRPr="00BD22BC" w:rsidRDefault="00346211" w:rsidP="0039643E"/>
    <w:p w14:paraId="7EFD87F7" w14:textId="6BEB9F8E" w:rsidR="00096547" w:rsidRPr="00BD22BC" w:rsidRDefault="00E545DD">
      <w:pPr>
        <w:pStyle w:val="ListParagraph"/>
        <w:numPr>
          <w:ilvl w:val="0"/>
          <w:numId w:val="25"/>
        </w:numPr>
      </w:pPr>
      <w:bookmarkStart w:id="150" w:name="_Hlk169550485"/>
      <w:bookmarkStart w:id="151" w:name="_Hlk169550510"/>
      <w:r w:rsidRPr="00BD22BC">
        <w:rPr>
          <w:rFonts w:cs="Arial"/>
          <w:color w:val="000000"/>
          <w:shd w:val="clear" w:color="auto" w:fill="FFFFFF"/>
        </w:rPr>
        <w:t xml:space="preserve">There </w:t>
      </w:r>
      <w:r w:rsidR="004A4B2D" w:rsidRPr="00BD22BC">
        <w:rPr>
          <w:rFonts w:cs="Arial"/>
          <w:color w:val="000000"/>
          <w:shd w:val="clear" w:color="auto" w:fill="FFFFFF"/>
        </w:rPr>
        <w:t xml:space="preserve">is </w:t>
      </w:r>
      <w:r w:rsidRPr="00BD22BC">
        <w:rPr>
          <w:rFonts w:cs="Arial"/>
          <w:color w:val="000000"/>
          <w:shd w:val="clear" w:color="auto" w:fill="FFFFFF"/>
        </w:rPr>
        <w:t>no one-size-fits-all approach to designing a central bank communication strategy</w:t>
      </w:r>
      <w:bookmarkEnd w:id="150"/>
      <w:r w:rsidRPr="00BD22BC">
        <w:t xml:space="preserve">. </w:t>
      </w:r>
      <w:bookmarkEnd w:id="151"/>
    </w:p>
    <w:p w14:paraId="53BB11C6" w14:textId="77777777" w:rsidR="00E545DD" w:rsidRPr="00BD22BC" w:rsidRDefault="00E545DD" w:rsidP="00E545DD"/>
    <w:p w14:paraId="74A9EA0F" w14:textId="6A007240" w:rsidR="00E545DD" w:rsidRPr="00BD22BC" w:rsidRDefault="46FE55F8" w:rsidP="00E545DD">
      <w:r w:rsidRPr="00BD22BC">
        <w:rPr>
          <w:b/>
          <w:bCs/>
          <w:shd w:val="clear" w:color="auto" w:fill="FFFFFF"/>
        </w:rPr>
        <w:t>&lt;</w:t>
      </w:r>
      <w:r w:rsidR="258A6525" w:rsidRPr="00BD22BC">
        <w:rPr>
          <w:b/>
          <w:bCs/>
          <w:shd w:val="clear" w:color="auto" w:fill="FFFFFF"/>
        </w:rPr>
        <w:t>F</w:t>
      </w:r>
      <w:r w:rsidRPr="00BD22BC">
        <w:rPr>
          <w:b/>
          <w:bCs/>
          <w:shd w:val="clear" w:color="auto" w:fill="FFFFFF"/>
        </w:rPr>
        <w:t>eedback</w:t>
      </w:r>
      <w:r w:rsidR="258A6525" w:rsidRPr="00BD22BC">
        <w:rPr>
          <w:b/>
          <w:bCs/>
          <w:shd w:val="clear" w:color="auto" w:fill="FFFFFF"/>
        </w:rPr>
        <w:t>&gt;</w:t>
      </w:r>
      <w:r w:rsidRPr="00BD22BC">
        <w:rPr>
          <w:b/>
          <w:bCs/>
          <w:shd w:val="clear" w:color="auto" w:fill="FFFFFF"/>
        </w:rPr>
        <w:t xml:space="preserve"> </w:t>
      </w:r>
      <w:r w:rsidRPr="00BD22BC">
        <w:rPr>
          <w:shd w:val="clear" w:color="auto" w:fill="FFFFFF"/>
        </w:rPr>
        <w:t xml:space="preserve">This is </w:t>
      </w:r>
      <w:r w:rsidRPr="00BD22BC">
        <w:rPr>
          <w:b/>
          <w:bCs/>
          <w:shd w:val="clear" w:color="auto" w:fill="FFFFFF"/>
        </w:rPr>
        <w:t>correct</w:t>
      </w:r>
      <w:r w:rsidRPr="00BD22BC">
        <w:rPr>
          <w:shd w:val="clear" w:color="auto" w:fill="FFFFFF"/>
        </w:rPr>
        <w:t xml:space="preserve">. </w:t>
      </w:r>
      <w:r w:rsidR="00E545DD" w:rsidRPr="00BD22BC">
        <w:t>Because each central bank must adapt to its unique policy regime, operational details, and cultural environment.</w:t>
      </w:r>
    </w:p>
    <w:p w14:paraId="3FBF2952" w14:textId="2E2BEE1F" w:rsidR="007E0BB1" w:rsidRPr="00BD22BC" w:rsidRDefault="007E0BB1" w:rsidP="00733BEC">
      <w:pPr>
        <w:pBdr>
          <w:bottom w:val="single" w:sz="6" w:space="1" w:color="auto"/>
        </w:pBdr>
        <w:rPr>
          <w:rFonts w:cs="Arial"/>
          <w:color w:val="000000"/>
          <w:shd w:val="clear" w:color="auto" w:fill="FFFFFF"/>
        </w:rPr>
      </w:pPr>
      <w:bookmarkStart w:id="152" w:name="_Hlk180948361"/>
      <w:bookmarkStart w:id="153" w:name="_Hlk173054252"/>
      <w:bookmarkEnd w:id="147"/>
    </w:p>
    <w:p w14:paraId="53B9BA23" w14:textId="77777777" w:rsidR="000D105A" w:rsidRPr="00BD22BC" w:rsidRDefault="000D105A" w:rsidP="00733BEC">
      <w:pPr>
        <w:rPr>
          <w:rFonts w:cs="Arial"/>
          <w:color w:val="000000"/>
          <w:shd w:val="clear" w:color="auto" w:fill="FFFFFF"/>
        </w:rPr>
      </w:pPr>
      <w:bookmarkStart w:id="154" w:name="_Hlk183036878"/>
    </w:p>
    <w:bookmarkEnd w:id="145"/>
    <w:p w14:paraId="737803A5" w14:textId="7D24648B" w:rsidR="00E545DD" w:rsidRPr="00BD22BC" w:rsidRDefault="000D105A" w:rsidP="00E545DD">
      <w:pPr>
        <w:rPr>
          <w:rFonts w:cs="Arial"/>
          <w:color w:val="000000"/>
          <w:shd w:val="clear" w:color="auto" w:fill="FFFFFF"/>
        </w:rPr>
      </w:pPr>
      <w:r w:rsidRPr="00BD22BC">
        <w:rPr>
          <w:b/>
          <w:bCs/>
        </w:rPr>
        <w:t>2</w:t>
      </w:r>
      <w:r w:rsidR="00E545DD" w:rsidRPr="00BD22BC">
        <w:rPr>
          <w:b/>
          <w:bCs/>
        </w:rPr>
        <w:t>.</w:t>
      </w:r>
      <w:r w:rsidR="00E545DD" w:rsidRPr="00BD22BC">
        <w:t xml:space="preserve"> </w:t>
      </w:r>
      <w:r w:rsidR="00E545DD" w:rsidRPr="00BD22BC">
        <w:rPr>
          <w:b/>
          <w:bCs/>
        </w:rPr>
        <w:t>&lt;Multiple choice&gt;</w:t>
      </w:r>
      <w:r w:rsidR="00E545DD" w:rsidRPr="00BD22BC">
        <w:t xml:space="preserve"> </w:t>
      </w:r>
      <w:r w:rsidR="00804AC6" w:rsidRPr="1BB63DC4">
        <w:rPr>
          <w:rFonts w:cs="Arial"/>
          <w:b/>
          <w:bCs/>
          <w:i/>
          <w:iCs/>
          <w:color w:val="000000"/>
          <w:highlight w:val="yellow"/>
          <w:shd w:val="clear" w:color="auto" w:fill="FFFFFF"/>
        </w:rPr>
        <w:t>Wh</w:t>
      </w:r>
      <w:r w:rsidR="49A6DD3F" w:rsidRPr="1BB63DC4">
        <w:rPr>
          <w:rFonts w:cs="Arial"/>
          <w:b/>
          <w:bCs/>
          <w:i/>
          <w:iCs/>
          <w:color w:val="000000"/>
          <w:highlight w:val="yellow"/>
          <w:shd w:val="clear" w:color="auto" w:fill="FFFFFF"/>
        </w:rPr>
        <w:t>ich</w:t>
      </w:r>
      <w:r w:rsidR="00804AC6" w:rsidRPr="1BB63DC4">
        <w:rPr>
          <w:rFonts w:cs="Arial"/>
          <w:b/>
          <w:bCs/>
          <w:i/>
          <w:iCs/>
          <w:color w:val="000000"/>
          <w:highlight w:val="yellow"/>
          <w:shd w:val="clear" w:color="auto" w:fill="FFFFFF"/>
        </w:rPr>
        <w:t xml:space="preserve"> </w:t>
      </w:r>
      <w:r w:rsidR="008B1907" w:rsidRPr="1BB63DC4">
        <w:rPr>
          <w:rFonts w:cs="Arial"/>
          <w:b/>
          <w:bCs/>
          <w:i/>
          <w:iCs/>
          <w:color w:val="000000"/>
          <w:highlight w:val="yellow"/>
          <w:shd w:val="clear" w:color="auto" w:fill="FFFFFF"/>
        </w:rPr>
        <w:t xml:space="preserve">approach </w:t>
      </w:r>
      <w:r w:rsidR="00804AC6" w:rsidRPr="1BB63DC4">
        <w:rPr>
          <w:rFonts w:cs="Arial"/>
          <w:b/>
          <w:bCs/>
          <w:i/>
          <w:iCs/>
          <w:color w:val="000000"/>
          <w:highlight w:val="yellow"/>
          <w:shd w:val="clear" w:color="auto" w:fill="FFFFFF"/>
        </w:rPr>
        <w:t>for releasing information relating to a policy decision is more suitable for developing and emerging markets?</w:t>
      </w:r>
    </w:p>
    <w:bookmarkEnd w:id="152"/>
    <w:p w14:paraId="55A7E594" w14:textId="77777777" w:rsidR="00804AC6" w:rsidRPr="00BD22BC" w:rsidRDefault="00804AC6" w:rsidP="00804AC6"/>
    <w:p w14:paraId="251F4E56" w14:textId="27C9B929" w:rsidR="00804AC6" w:rsidRPr="00BD22BC" w:rsidRDefault="00804AC6" w:rsidP="00804AC6">
      <w:pPr>
        <w:pStyle w:val="ListParagraph"/>
        <w:numPr>
          <w:ilvl w:val="0"/>
          <w:numId w:val="35"/>
        </w:numPr>
        <w:rPr>
          <w:b/>
          <w:bCs/>
        </w:rPr>
      </w:pPr>
      <w:bookmarkStart w:id="155" w:name="_Hlk173188713"/>
      <w:r w:rsidRPr="00BD22BC">
        <w:t xml:space="preserve">The so-called </w:t>
      </w:r>
      <w:bookmarkStart w:id="156" w:name="_Hlk180948654"/>
      <w:r w:rsidRPr="00BD22BC">
        <w:rPr>
          <w:b/>
          <w:bCs/>
        </w:rPr>
        <w:t>“drip feed”</w:t>
      </w:r>
      <w:r w:rsidRPr="00BD22BC">
        <w:t xml:space="preserve"> </w:t>
      </w:r>
      <w:bookmarkEnd w:id="156"/>
      <w:r w:rsidRPr="00BD22BC">
        <w:t>approach</w:t>
      </w:r>
      <w:bookmarkEnd w:id="155"/>
      <w:r w:rsidRPr="00BD22BC">
        <w:t>.</w:t>
      </w:r>
    </w:p>
    <w:p w14:paraId="3D0CFE7A" w14:textId="77777777" w:rsidR="00804AC6" w:rsidRPr="00BD22BC" w:rsidRDefault="00804AC6" w:rsidP="00804AC6"/>
    <w:p w14:paraId="368B61DE" w14:textId="36DE4FBB" w:rsidR="00804AC6" w:rsidRPr="00BD22BC" w:rsidRDefault="00804AC6" w:rsidP="00804AC6">
      <w:pPr>
        <w:rPr>
          <w:shd w:val="clear" w:color="auto" w:fill="FFFFFF"/>
        </w:rPr>
      </w:pPr>
      <w:r w:rsidRPr="00BD22BC">
        <w:rPr>
          <w:b/>
          <w:bCs/>
          <w:shd w:val="clear" w:color="auto" w:fill="FFFFFF"/>
        </w:rPr>
        <w:t xml:space="preserve">&lt;Feedback&gt; </w:t>
      </w:r>
      <w:r w:rsidRPr="00BD22BC">
        <w:rPr>
          <w:shd w:val="clear" w:color="auto" w:fill="FFFFFF"/>
        </w:rPr>
        <w:t xml:space="preserve">This is </w:t>
      </w:r>
      <w:r w:rsidRPr="00BD22BC">
        <w:rPr>
          <w:b/>
          <w:bCs/>
          <w:shd w:val="clear" w:color="auto" w:fill="FFFFFF"/>
        </w:rPr>
        <w:t>correct</w:t>
      </w:r>
      <w:r w:rsidRPr="00BD22BC">
        <w:rPr>
          <w:shd w:val="clear" w:color="auto" w:fill="FFFFFF"/>
        </w:rPr>
        <w:t xml:space="preserve">. </w:t>
      </w:r>
      <w:bookmarkStart w:id="157" w:name="_Hlk173054547"/>
      <w:r w:rsidRPr="00BD22BC">
        <w:rPr>
          <w:shd w:val="clear" w:color="auto" w:fill="FFFFFF"/>
        </w:rPr>
        <w:t xml:space="preserve">This approach provides policymakers and staff with additional time to finalize all documents for publication, which is crucial when central banks face resource constraints. It also allows </w:t>
      </w:r>
      <w:r w:rsidR="008B1907" w:rsidRPr="00BD22BC">
        <w:rPr>
          <w:shd w:val="clear" w:color="auto" w:fill="FFFFFF"/>
        </w:rPr>
        <w:t>non-expert</w:t>
      </w:r>
      <w:r w:rsidR="00741B7C" w:rsidRPr="00BD22BC">
        <w:rPr>
          <w:shd w:val="clear" w:color="auto" w:fill="FFFFFF"/>
        </w:rPr>
        <w:t xml:space="preserve"> </w:t>
      </w:r>
      <w:r w:rsidRPr="00BD22BC">
        <w:rPr>
          <w:shd w:val="clear" w:color="auto" w:fill="FFFFFF"/>
        </w:rPr>
        <w:t>audiences to gradually digest all the relevant information</w:t>
      </w:r>
      <w:r w:rsidR="00D973B2" w:rsidRPr="00BD22BC">
        <w:rPr>
          <w:shd w:val="clear" w:color="auto" w:fill="FFFFFF"/>
        </w:rPr>
        <w:t xml:space="preserve"> which is important in populations with lower levels of financial literacy</w:t>
      </w:r>
      <w:r w:rsidRPr="00BD22BC">
        <w:rPr>
          <w:shd w:val="clear" w:color="auto" w:fill="FFFFFF"/>
        </w:rPr>
        <w:t>.</w:t>
      </w:r>
      <w:bookmarkEnd w:id="157"/>
    </w:p>
    <w:p w14:paraId="1C36496F" w14:textId="77777777" w:rsidR="00804AC6" w:rsidRPr="00BD22BC" w:rsidRDefault="00804AC6" w:rsidP="00804AC6"/>
    <w:p w14:paraId="69ABDB3F" w14:textId="025FEB54" w:rsidR="00804AC6" w:rsidRPr="00BD22BC" w:rsidRDefault="00FB1D26" w:rsidP="00804AC6">
      <w:pPr>
        <w:pStyle w:val="ListParagraph"/>
        <w:numPr>
          <w:ilvl w:val="0"/>
          <w:numId w:val="35"/>
        </w:numPr>
        <w:rPr>
          <w:b/>
          <w:bCs/>
        </w:rPr>
      </w:pPr>
      <w:r w:rsidRPr="00BD22BC">
        <w:t xml:space="preserve">The so-called </w:t>
      </w:r>
      <w:bookmarkStart w:id="158" w:name="_Hlk180948671"/>
      <w:r w:rsidRPr="00BD22BC">
        <w:rPr>
          <w:b/>
          <w:bCs/>
        </w:rPr>
        <w:t>“dump all”</w:t>
      </w:r>
      <w:r w:rsidRPr="00BD22BC">
        <w:t xml:space="preserve"> </w:t>
      </w:r>
      <w:bookmarkEnd w:id="158"/>
      <w:r w:rsidRPr="00BD22BC">
        <w:t>approach</w:t>
      </w:r>
      <w:r w:rsidR="00804AC6" w:rsidRPr="00BD22BC">
        <w:t>.</w:t>
      </w:r>
    </w:p>
    <w:p w14:paraId="0106FB5F" w14:textId="77777777" w:rsidR="00804AC6" w:rsidRPr="00BD22BC" w:rsidRDefault="00804AC6" w:rsidP="00804AC6"/>
    <w:p w14:paraId="03E62C2E" w14:textId="7E1E18D4" w:rsidR="00804AC6" w:rsidRPr="00BD22BC" w:rsidRDefault="00804AC6" w:rsidP="00804AC6">
      <w:pPr>
        <w:rPr>
          <w:shd w:val="clear" w:color="auto" w:fill="FFFFFF"/>
        </w:rPr>
      </w:pPr>
      <w:r w:rsidRPr="00BD22BC">
        <w:rPr>
          <w:b/>
          <w:bCs/>
          <w:shd w:val="clear" w:color="auto" w:fill="FFFFFF"/>
        </w:rPr>
        <w:t xml:space="preserve">&lt;Feedback&gt; </w:t>
      </w:r>
      <w:r w:rsidRPr="00BD22BC">
        <w:rPr>
          <w:shd w:val="clear" w:color="auto" w:fill="FFFFFF"/>
        </w:rPr>
        <w:t xml:space="preserve">This is </w:t>
      </w:r>
      <w:r w:rsidRPr="00BD22BC">
        <w:rPr>
          <w:b/>
          <w:bCs/>
          <w:shd w:val="clear" w:color="auto" w:fill="FFFFFF"/>
        </w:rPr>
        <w:t>incorrect</w:t>
      </w:r>
      <w:r w:rsidRPr="00BD22BC">
        <w:rPr>
          <w:shd w:val="clear" w:color="auto" w:fill="FFFFFF"/>
        </w:rPr>
        <w:t xml:space="preserve">. </w:t>
      </w:r>
      <w:r w:rsidR="00611800" w:rsidRPr="00BD22BC">
        <w:rPr>
          <w:shd w:val="clear" w:color="auto" w:fill="FFFFFF"/>
        </w:rPr>
        <w:t xml:space="preserve">This tactic is highly resource </w:t>
      </w:r>
      <w:r w:rsidR="52B0EB4F" w:rsidRPr="00BD22BC">
        <w:rPr>
          <w:shd w:val="clear" w:color="auto" w:fill="FFFFFF"/>
        </w:rPr>
        <w:t>intensive and</w:t>
      </w:r>
      <w:r w:rsidR="00611800" w:rsidRPr="00BD22BC">
        <w:rPr>
          <w:shd w:val="clear" w:color="auto" w:fill="FFFFFF"/>
        </w:rPr>
        <w:t xml:space="preserve"> </w:t>
      </w:r>
      <w:r w:rsidR="00B2384B" w:rsidRPr="00BD22BC">
        <w:rPr>
          <w:shd w:val="clear" w:color="auto" w:fill="FFFFFF"/>
        </w:rPr>
        <w:t xml:space="preserve">is </w:t>
      </w:r>
      <w:r w:rsidR="00611800" w:rsidRPr="00BD22BC">
        <w:rPr>
          <w:shd w:val="clear" w:color="auto" w:fill="FFFFFF"/>
        </w:rPr>
        <w:t>thereby more suitable for developed countries’ central banks</w:t>
      </w:r>
      <w:r w:rsidRPr="00BD22BC">
        <w:rPr>
          <w:shd w:val="clear" w:color="auto" w:fill="FFFFFF"/>
        </w:rPr>
        <w:t>.</w:t>
      </w:r>
    </w:p>
    <w:p w14:paraId="30398AD3" w14:textId="77777777" w:rsidR="00804AC6" w:rsidRPr="00BD22BC" w:rsidRDefault="00804AC6" w:rsidP="00804AC6"/>
    <w:p w14:paraId="2A8F82C7" w14:textId="1A5EFFEA" w:rsidR="00804AC6" w:rsidRPr="00BD22BC" w:rsidRDefault="2A067BA4" w:rsidP="00804AC6">
      <w:pPr>
        <w:pStyle w:val="ListParagraph"/>
        <w:numPr>
          <w:ilvl w:val="0"/>
          <w:numId w:val="35"/>
        </w:numPr>
      </w:pPr>
      <w:r>
        <w:t>The agency can switch at will between</w:t>
      </w:r>
      <w:r w:rsidR="008B1907">
        <w:t xml:space="preserve"> </w:t>
      </w:r>
      <w:r w:rsidR="008B1907" w:rsidRPr="1BB63DC4">
        <w:rPr>
          <w:b/>
          <w:bCs/>
        </w:rPr>
        <w:t xml:space="preserve">“drip feed” </w:t>
      </w:r>
      <w:r w:rsidR="008B1907">
        <w:t xml:space="preserve">or </w:t>
      </w:r>
      <w:r w:rsidR="008B1907" w:rsidRPr="1BB63DC4">
        <w:rPr>
          <w:b/>
          <w:bCs/>
        </w:rPr>
        <w:t>“dump all”</w:t>
      </w:r>
      <w:r w:rsidR="008B1907">
        <w:t xml:space="preserve"> </w:t>
      </w:r>
      <w:r w:rsidR="5D334864">
        <w:t>strategies</w:t>
      </w:r>
      <w:r w:rsidR="008B1907">
        <w:t>.</w:t>
      </w:r>
    </w:p>
    <w:p w14:paraId="5E98DE60" w14:textId="77777777" w:rsidR="00804AC6" w:rsidRPr="00BD22BC" w:rsidRDefault="00804AC6" w:rsidP="00804AC6"/>
    <w:p w14:paraId="284BDE65" w14:textId="093D2FD8" w:rsidR="005E47B8" w:rsidRPr="00BD22BC" w:rsidRDefault="00804AC6" w:rsidP="00FF71FF">
      <w:pPr>
        <w:rPr>
          <w:shd w:val="clear" w:color="auto" w:fill="FFFFFF"/>
        </w:rPr>
      </w:pPr>
      <w:r w:rsidRPr="00BD22BC">
        <w:rPr>
          <w:b/>
          <w:bCs/>
          <w:shd w:val="clear" w:color="auto" w:fill="FFFFFF"/>
        </w:rPr>
        <w:lastRenderedPageBreak/>
        <w:t xml:space="preserve">&lt;Feedback&gt; </w:t>
      </w:r>
      <w:r w:rsidRPr="00BD22BC">
        <w:rPr>
          <w:shd w:val="clear" w:color="auto" w:fill="FFFFFF"/>
        </w:rPr>
        <w:t xml:space="preserve">This is </w:t>
      </w:r>
      <w:r w:rsidRPr="00BD22BC">
        <w:rPr>
          <w:b/>
          <w:bCs/>
          <w:shd w:val="clear" w:color="auto" w:fill="FFFFFF"/>
        </w:rPr>
        <w:t>incorrect</w:t>
      </w:r>
      <w:r w:rsidRPr="00BD22BC">
        <w:rPr>
          <w:shd w:val="clear" w:color="auto" w:fill="FFFFFF"/>
        </w:rPr>
        <w:t xml:space="preserve">. </w:t>
      </w:r>
      <w:r w:rsidR="00FB1D26" w:rsidRPr="00BD22BC">
        <w:rPr>
          <w:shd w:val="clear" w:color="auto" w:fill="FFFFFF"/>
        </w:rPr>
        <w:t xml:space="preserve">A central bank needs to consciously design its communication strategy and tailor its tactics to </w:t>
      </w:r>
      <w:r w:rsidR="00611800" w:rsidRPr="00BD22BC">
        <w:rPr>
          <w:shd w:val="clear" w:color="auto" w:fill="FFFFFF"/>
        </w:rPr>
        <w:t>its own capacity and the environment that receives its communication outputs</w:t>
      </w:r>
      <w:r w:rsidRPr="00BD22BC">
        <w:rPr>
          <w:shd w:val="clear" w:color="auto" w:fill="FFFFFF"/>
        </w:rPr>
        <w:t>.</w:t>
      </w:r>
    </w:p>
    <w:p w14:paraId="445C52BE" w14:textId="77777777" w:rsidR="005E47B8" w:rsidRPr="00BD22BC" w:rsidRDefault="005E47B8" w:rsidP="005E47B8"/>
    <w:p w14:paraId="24DF123A" w14:textId="76F71F75" w:rsidR="005E47B8" w:rsidRPr="00BD22BC" w:rsidRDefault="007F2E75" w:rsidP="0092075E">
      <w:pPr>
        <w:pStyle w:val="ListParagraph"/>
        <w:numPr>
          <w:ilvl w:val="0"/>
          <w:numId w:val="35"/>
        </w:numPr>
      </w:pPr>
      <w:r>
        <w:t xml:space="preserve">A </w:t>
      </w:r>
      <w:r w:rsidRPr="1BB63DC4">
        <w:rPr>
          <w:b/>
          <w:bCs/>
        </w:rPr>
        <w:t>“silent treatment”</w:t>
      </w:r>
      <w:r>
        <w:t xml:space="preserve"> approach </w:t>
      </w:r>
      <w:r w:rsidR="191EA4A5">
        <w:t xml:space="preserve">is preferable </w:t>
      </w:r>
      <w:r>
        <w:t>as there is no need to</w:t>
      </w:r>
      <w:r w:rsidR="005E47B8">
        <w:t xml:space="preserve"> release</w:t>
      </w:r>
      <w:r>
        <w:t xml:space="preserve"> </w:t>
      </w:r>
      <w:r w:rsidR="005E47B8">
        <w:t xml:space="preserve">information </w:t>
      </w:r>
      <w:r w:rsidR="003B1B69">
        <w:t xml:space="preserve">in support of </w:t>
      </w:r>
      <w:r w:rsidR="005E47B8">
        <w:t>the policy decision.</w:t>
      </w:r>
    </w:p>
    <w:p w14:paraId="1CCAEE53" w14:textId="77777777" w:rsidR="005E47B8" w:rsidRPr="00BD22BC" w:rsidRDefault="005E47B8" w:rsidP="005E47B8"/>
    <w:p w14:paraId="40D75725" w14:textId="06118BA1" w:rsidR="005E47B8" w:rsidRPr="00BD22BC" w:rsidRDefault="005E47B8" w:rsidP="005E47B8">
      <w:pPr>
        <w:rPr>
          <w:shd w:val="clear" w:color="auto" w:fill="FFFFFF"/>
        </w:rPr>
      </w:pPr>
      <w:bookmarkStart w:id="159" w:name="_Hlk183035828"/>
      <w:r w:rsidRPr="00BD22BC">
        <w:rPr>
          <w:b/>
          <w:bCs/>
          <w:shd w:val="clear" w:color="auto" w:fill="FFFFFF"/>
        </w:rPr>
        <w:t xml:space="preserve">&lt;Feedback&gt; </w:t>
      </w:r>
      <w:bookmarkEnd w:id="159"/>
      <w:r w:rsidRPr="00BD22BC">
        <w:rPr>
          <w:shd w:val="clear" w:color="auto" w:fill="FFFFFF"/>
        </w:rPr>
        <w:t xml:space="preserve">This is </w:t>
      </w:r>
      <w:r w:rsidRPr="00BD22BC">
        <w:rPr>
          <w:b/>
          <w:bCs/>
          <w:shd w:val="clear" w:color="auto" w:fill="FFFFFF"/>
        </w:rPr>
        <w:t>incorrect</w:t>
      </w:r>
      <w:r w:rsidRPr="00BD22BC">
        <w:rPr>
          <w:shd w:val="clear" w:color="auto" w:fill="FFFFFF"/>
        </w:rPr>
        <w:t>. A central bank need</w:t>
      </w:r>
      <w:r w:rsidR="0082167D" w:rsidRPr="00BD22BC">
        <w:rPr>
          <w:shd w:val="clear" w:color="auto" w:fill="FFFFFF"/>
        </w:rPr>
        <w:t>s</w:t>
      </w:r>
      <w:r w:rsidR="00261CBB" w:rsidRPr="00BD22BC">
        <w:rPr>
          <w:shd w:val="clear" w:color="auto" w:fill="FFFFFF"/>
        </w:rPr>
        <w:t xml:space="preserve"> </w:t>
      </w:r>
      <w:r w:rsidRPr="00BD22BC">
        <w:rPr>
          <w:shd w:val="clear" w:color="auto" w:fill="FFFFFF"/>
        </w:rPr>
        <w:t xml:space="preserve">to </w:t>
      </w:r>
      <w:r w:rsidR="00261CBB" w:rsidRPr="00BD22BC">
        <w:rPr>
          <w:shd w:val="clear" w:color="auto" w:fill="FFFFFF"/>
        </w:rPr>
        <w:t xml:space="preserve">provide supporting information, </w:t>
      </w:r>
      <w:r w:rsidR="00B2384B">
        <w:rPr>
          <w:shd w:val="clear" w:color="auto" w:fill="FFFFFF"/>
        </w:rPr>
        <w:t>considering</w:t>
      </w:r>
      <w:r w:rsidR="00261CBB" w:rsidRPr="00BD22BC">
        <w:rPr>
          <w:shd w:val="clear" w:color="auto" w:fill="FFFFFF"/>
        </w:rPr>
        <w:t xml:space="preserve"> absorption capacity </w:t>
      </w:r>
      <w:r w:rsidR="00B2384B">
        <w:rPr>
          <w:shd w:val="clear" w:color="auto" w:fill="FFFFFF"/>
        </w:rPr>
        <w:t>in</w:t>
      </w:r>
      <w:r w:rsidR="00261CBB" w:rsidRPr="00BD22BC">
        <w:rPr>
          <w:shd w:val="clear" w:color="auto" w:fill="FFFFFF"/>
        </w:rPr>
        <w:t xml:space="preserve"> </w:t>
      </w:r>
      <w:r w:rsidR="00FF71FF" w:rsidRPr="00BD22BC">
        <w:rPr>
          <w:shd w:val="clear" w:color="auto" w:fill="FFFFFF"/>
        </w:rPr>
        <w:t>various audiences</w:t>
      </w:r>
      <w:r w:rsidRPr="00BD22BC">
        <w:rPr>
          <w:shd w:val="clear" w:color="auto" w:fill="FFFFFF"/>
        </w:rPr>
        <w:t>.</w:t>
      </w:r>
    </w:p>
    <w:p w14:paraId="4F141F4E" w14:textId="77777777" w:rsidR="008B1907" w:rsidRPr="00BD22BC" w:rsidRDefault="008B1907" w:rsidP="008B1907">
      <w:pPr>
        <w:pBdr>
          <w:bottom w:val="single" w:sz="6" w:space="1" w:color="auto"/>
        </w:pBdr>
        <w:rPr>
          <w:rFonts w:cs="Arial"/>
          <w:color w:val="000000"/>
          <w:shd w:val="clear" w:color="auto" w:fill="FFFFFF"/>
        </w:rPr>
      </w:pPr>
      <w:bookmarkStart w:id="160" w:name="_Hlk183036894"/>
      <w:bookmarkEnd w:id="153"/>
      <w:bookmarkEnd w:id="154"/>
    </w:p>
    <w:p w14:paraId="5C3B03C9" w14:textId="77777777" w:rsidR="00F22251" w:rsidRPr="00BD22BC" w:rsidRDefault="00F22251" w:rsidP="00F22251">
      <w:pPr>
        <w:rPr>
          <w:rFonts w:cs="Arial"/>
          <w:color w:val="000000"/>
          <w:shd w:val="clear" w:color="auto" w:fill="FFFFFF"/>
        </w:rPr>
      </w:pPr>
      <w:bookmarkStart w:id="161" w:name="_Hlk181026679"/>
    </w:p>
    <w:bookmarkEnd w:id="160"/>
    <w:p w14:paraId="24403E6B" w14:textId="20963EE3" w:rsidR="00F22251" w:rsidRPr="00BD22BC" w:rsidRDefault="00F22251" w:rsidP="00F22251">
      <w:r w:rsidRPr="00BD22BC">
        <w:rPr>
          <w:b/>
          <w:bCs/>
        </w:rPr>
        <w:t>3.</w:t>
      </w:r>
      <w:r w:rsidRPr="00BD22BC">
        <w:t xml:space="preserve"> </w:t>
      </w:r>
      <w:r w:rsidRPr="00BD22BC">
        <w:rPr>
          <w:b/>
          <w:bCs/>
        </w:rPr>
        <w:t>&lt;</w:t>
      </w:r>
      <w:r w:rsidR="00B927DE" w:rsidRPr="00BD22BC">
        <w:rPr>
          <w:b/>
          <w:bCs/>
        </w:rPr>
        <w:t>Checkbox</w:t>
      </w:r>
      <w:r w:rsidRPr="00BD22BC">
        <w:rPr>
          <w:b/>
          <w:bCs/>
        </w:rPr>
        <w:t>&gt;</w:t>
      </w:r>
      <w:r w:rsidRPr="00BD22BC">
        <w:t xml:space="preserve"> </w:t>
      </w:r>
      <w:r w:rsidRPr="1BB63DC4">
        <w:rPr>
          <w:rFonts w:cs="Arial"/>
          <w:b/>
          <w:bCs/>
          <w:i/>
          <w:iCs/>
          <w:color w:val="000000"/>
          <w:highlight w:val="yellow"/>
          <w:shd w:val="clear" w:color="auto" w:fill="FFFFFF"/>
        </w:rPr>
        <w:t>What are the</w:t>
      </w:r>
      <w:r w:rsidR="00D973B2" w:rsidRPr="1BB63DC4">
        <w:rPr>
          <w:rFonts w:cs="Arial"/>
          <w:b/>
          <w:bCs/>
          <w:i/>
          <w:iCs/>
          <w:color w:val="000000"/>
          <w:highlight w:val="yellow"/>
          <w:shd w:val="clear" w:color="auto" w:fill="FFFFFF"/>
        </w:rPr>
        <w:t xml:space="preserve"> three</w:t>
      </w:r>
      <w:r w:rsidRPr="1BB63DC4">
        <w:rPr>
          <w:rFonts w:cs="Arial"/>
          <w:b/>
          <w:bCs/>
          <w:i/>
          <w:iCs/>
          <w:color w:val="000000"/>
          <w:highlight w:val="yellow"/>
          <w:shd w:val="clear" w:color="auto" w:fill="FFFFFF"/>
        </w:rPr>
        <w:t xml:space="preserve"> main </w:t>
      </w:r>
      <w:r w:rsidR="30C2AF03" w:rsidRPr="1BB63DC4">
        <w:rPr>
          <w:rFonts w:cs="Arial"/>
          <w:b/>
          <w:bCs/>
          <w:i/>
          <w:iCs/>
          <w:color w:val="000000"/>
          <w:highlight w:val="yellow"/>
          <w:shd w:val="clear" w:color="auto" w:fill="FFFFFF"/>
        </w:rPr>
        <w:t>broadly accepted</w:t>
      </w:r>
      <w:r w:rsidRPr="1BB63DC4">
        <w:rPr>
          <w:rFonts w:cs="Arial"/>
          <w:b/>
          <w:bCs/>
          <w:i/>
          <w:iCs/>
          <w:color w:val="000000"/>
          <w:highlight w:val="yellow"/>
          <w:shd w:val="clear" w:color="auto" w:fill="FFFFFF"/>
        </w:rPr>
        <w:t xml:space="preserve"> principles for organizing the communication function in policy institutions, both in developed and emerging market/developing countries?</w:t>
      </w:r>
      <w:r w:rsidR="00A61FAE" w:rsidRPr="00BD22BC">
        <w:t xml:space="preserve"> (</w:t>
      </w:r>
      <w:r w:rsidRPr="00BD22BC">
        <w:t xml:space="preserve">Select </w:t>
      </w:r>
      <w:r w:rsidR="2B446BCC" w:rsidRPr="00BD22BC">
        <w:t>three</w:t>
      </w:r>
      <w:r w:rsidRPr="00BD22BC">
        <w:t xml:space="preserve"> that apply</w:t>
      </w:r>
      <w:r w:rsidRPr="1BB63DC4">
        <w:rPr>
          <w:i/>
          <w:iCs/>
        </w:rPr>
        <w:t>.</w:t>
      </w:r>
      <w:r w:rsidR="00A61FAE" w:rsidRPr="00BD22BC">
        <w:t>)</w:t>
      </w:r>
    </w:p>
    <w:p w14:paraId="28D8E7C5" w14:textId="77777777" w:rsidR="00F22251" w:rsidRPr="00BD22BC" w:rsidRDefault="00F22251" w:rsidP="00F22251"/>
    <w:p w14:paraId="541F74B2" w14:textId="21459F1A" w:rsidR="00F22251" w:rsidRPr="00BD22BC" w:rsidRDefault="00F22251" w:rsidP="00F22251">
      <w:pPr>
        <w:pStyle w:val="ListParagraph"/>
        <w:numPr>
          <w:ilvl w:val="0"/>
          <w:numId w:val="63"/>
        </w:numPr>
        <w:rPr>
          <w:b/>
          <w:highlight w:val="yellow"/>
        </w:rPr>
      </w:pPr>
      <w:r w:rsidRPr="0B30B316">
        <w:rPr>
          <w:highlight w:val="yellow"/>
        </w:rPr>
        <w:t xml:space="preserve">A dedicated </w:t>
      </w:r>
      <w:r w:rsidR="00B2384B" w:rsidRPr="0B30B316">
        <w:rPr>
          <w:highlight w:val="yellow"/>
        </w:rPr>
        <w:t>d</w:t>
      </w:r>
      <w:r w:rsidRPr="0B30B316">
        <w:rPr>
          <w:highlight w:val="yellow"/>
        </w:rPr>
        <w:t xml:space="preserve">epartment of </w:t>
      </w:r>
      <w:r w:rsidR="00B2384B" w:rsidRPr="0B30B316">
        <w:rPr>
          <w:highlight w:val="yellow"/>
        </w:rPr>
        <w:t>c</w:t>
      </w:r>
      <w:r w:rsidRPr="0B30B316">
        <w:rPr>
          <w:highlight w:val="yellow"/>
        </w:rPr>
        <w:t>ommunication is established.</w:t>
      </w:r>
    </w:p>
    <w:p w14:paraId="107E3957" w14:textId="40AFB83E" w:rsidR="00F22251" w:rsidRPr="00BD22BC" w:rsidRDefault="00F22251" w:rsidP="00F22251">
      <w:pPr>
        <w:pStyle w:val="ListParagraph"/>
        <w:numPr>
          <w:ilvl w:val="0"/>
          <w:numId w:val="63"/>
        </w:numPr>
        <w:rPr>
          <w:b/>
          <w:highlight w:val="yellow"/>
        </w:rPr>
      </w:pPr>
      <w:r w:rsidRPr="0B30B316">
        <w:rPr>
          <w:highlight w:val="yellow"/>
        </w:rPr>
        <w:t>Director of Communication reports to the top representative of the institution</w:t>
      </w:r>
      <w:r w:rsidR="00B2384B" w:rsidRPr="0B30B316">
        <w:rPr>
          <w:rFonts w:cs="Arial"/>
          <w:highlight w:val="yellow"/>
        </w:rPr>
        <w:t>—</w:t>
      </w:r>
      <w:r w:rsidRPr="0B30B316">
        <w:rPr>
          <w:highlight w:val="yellow"/>
        </w:rPr>
        <w:t xml:space="preserve">in case of central banks, to the </w:t>
      </w:r>
      <w:r w:rsidR="00B2384B" w:rsidRPr="0B30B316">
        <w:rPr>
          <w:highlight w:val="yellow"/>
        </w:rPr>
        <w:t xml:space="preserve">governor </w:t>
      </w:r>
      <w:r w:rsidRPr="0B30B316">
        <w:rPr>
          <w:highlight w:val="yellow"/>
        </w:rPr>
        <w:t xml:space="preserve">(or </w:t>
      </w:r>
      <w:r w:rsidR="00B2384B" w:rsidRPr="0B30B316">
        <w:rPr>
          <w:highlight w:val="yellow"/>
        </w:rPr>
        <w:t>chairman</w:t>
      </w:r>
      <w:r w:rsidRPr="0B30B316">
        <w:rPr>
          <w:highlight w:val="yellow"/>
        </w:rPr>
        <w:t>).</w:t>
      </w:r>
    </w:p>
    <w:p w14:paraId="3836069A" w14:textId="51899BDE" w:rsidR="00F22251" w:rsidRPr="00BD22BC" w:rsidRDefault="277DF467" w:rsidP="00F22251">
      <w:pPr>
        <w:pStyle w:val="ListParagraph"/>
        <w:numPr>
          <w:ilvl w:val="0"/>
          <w:numId w:val="63"/>
        </w:numPr>
        <w:spacing w:after="160" w:line="259" w:lineRule="auto"/>
        <w:rPr>
          <w:highlight w:val="yellow"/>
        </w:rPr>
      </w:pPr>
      <w:r w:rsidRPr="0B30B316">
        <w:rPr>
          <w:highlight w:val="yellow"/>
        </w:rPr>
        <w:t>The</w:t>
      </w:r>
      <w:r w:rsidR="00F22251" w:rsidRPr="0B30B316">
        <w:rPr>
          <w:highlight w:val="yellow"/>
        </w:rPr>
        <w:t xml:space="preserve"> </w:t>
      </w:r>
      <w:r w:rsidR="7E06F2F5" w:rsidRPr="0B30B316">
        <w:rPr>
          <w:highlight w:val="yellow"/>
        </w:rPr>
        <w:t>D</w:t>
      </w:r>
      <w:r w:rsidR="00B2384B" w:rsidRPr="0B30B316">
        <w:rPr>
          <w:highlight w:val="yellow"/>
        </w:rPr>
        <w:t xml:space="preserve">epartment of </w:t>
      </w:r>
      <w:r w:rsidR="286E81BE" w:rsidRPr="0B30B316">
        <w:rPr>
          <w:highlight w:val="yellow"/>
        </w:rPr>
        <w:t>C</w:t>
      </w:r>
      <w:r w:rsidR="00B2384B" w:rsidRPr="0B30B316">
        <w:rPr>
          <w:highlight w:val="yellow"/>
        </w:rPr>
        <w:t xml:space="preserve">ommunication </w:t>
      </w:r>
      <w:r w:rsidR="00F22251" w:rsidRPr="0B30B316">
        <w:rPr>
          <w:highlight w:val="yellow"/>
        </w:rPr>
        <w:t>is properly staffed.</w:t>
      </w:r>
    </w:p>
    <w:p w14:paraId="0BA81A37" w14:textId="02729619" w:rsidR="00F22251" w:rsidRPr="00BD22BC" w:rsidRDefault="005C2621" w:rsidP="00F22251">
      <w:pPr>
        <w:pStyle w:val="ListParagraph"/>
        <w:numPr>
          <w:ilvl w:val="0"/>
          <w:numId w:val="63"/>
        </w:numPr>
        <w:spacing w:after="160" w:line="259" w:lineRule="auto"/>
      </w:pPr>
      <w:r>
        <w:t>An institution’s spokesperson can only be its head or top representative</w:t>
      </w:r>
      <w:r w:rsidR="00AF54CC">
        <w:t xml:space="preserve">. </w:t>
      </w:r>
    </w:p>
    <w:p w14:paraId="2F0823CE" w14:textId="4CE081E9" w:rsidR="00F22251" w:rsidRPr="00BD22BC" w:rsidRDefault="00F22251" w:rsidP="005C2621">
      <w:r w:rsidRPr="00BD22BC">
        <w:rPr>
          <w:b/>
          <w:bCs/>
          <w:shd w:val="clear" w:color="auto" w:fill="FFFFFF"/>
        </w:rPr>
        <w:t xml:space="preserve">&lt;Feedback&gt; </w:t>
      </w:r>
      <w:r w:rsidR="005C2621" w:rsidRPr="00BD22BC">
        <w:rPr>
          <w:shd w:val="clear" w:color="auto" w:fill="FFFFFF"/>
        </w:rPr>
        <w:t>Consensus</w:t>
      </w:r>
      <w:r w:rsidRPr="00BD22BC">
        <w:t xml:space="preserve"> has emerged around t</w:t>
      </w:r>
      <w:r w:rsidR="005C2621" w:rsidRPr="00BD22BC">
        <w:t>he following</w:t>
      </w:r>
      <w:r w:rsidRPr="00BD22BC">
        <w:t xml:space="preserve"> main principles for organizing the communication function:</w:t>
      </w:r>
    </w:p>
    <w:p w14:paraId="72C33378" w14:textId="60CD72E6" w:rsidR="00157B03" w:rsidRPr="00BD22BC" w:rsidRDefault="00F22251" w:rsidP="00F22251">
      <w:pPr>
        <w:pStyle w:val="ListParagraph"/>
        <w:numPr>
          <w:ilvl w:val="0"/>
          <w:numId w:val="32"/>
        </w:numPr>
        <w:spacing w:after="160" w:line="259" w:lineRule="auto"/>
      </w:pPr>
      <w:bookmarkStart w:id="162" w:name="_Hlk183036984"/>
      <w:bookmarkStart w:id="163" w:name="_Hlk183037002"/>
      <w:r>
        <w:t xml:space="preserve">A dedicated </w:t>
      </w:r>
      <w:r w:rsidR="00B2384B">
        <w:t xml:space="preserve">department of communication </w:t>
      </w:r>
      <w:r>
        <w:t>is established</w:t>
      </w:r>
      <w:r w:rsidR="00157B03">
        <w:t>.</w:t>
      </w:r>
    </w:p>
    <w:bookmarkEnd w:id="162"/>
    <w:p w14:paraId="66526781" w14:textId="571DF40A" w:rsidR="00F22251" w:rsidRPr="00BD22BC" w:rsidRDefault="00157B03" w:rsidP="00F22251">
      <w:pPr>
        <w:pStyle w:val="ListParagraph"/>
        <w:numPr>
          <w:ilvl w:val="0"/>
          <w:numId w:val="32"/>
        </w:numPr>
        <w:spacing w:after="160" w:line="259" w:lineRule="auto"/>
      </w:pPr>
      <w:r w:rsidRPr="00BD22BC">
        <w:t>The Department of Communication is</w:t>
      </w:r>
      <w:r w:rsidR="00F22251" w:rsidRPr="00BD22BC">
        <w:t xml:space="preserve"> properly staffed</w:t>
      </w:r>
    </w:p>
    <w:p w14:paraId="7417F620" w14:textId="5F74DF5A" w:rsidR="00D973B2" w:rsidRPr="00BD22BC" w:rsidRDefault="00846F89" w:rsidP="008B1907">
      <w:pPr>
        <w:pStyle w:val="ListParagraph"/>
        <w:numPr>
          <w:ilvl w:val="0"/>
          <w:numId w:val="32"/>
        </w:numPr>
        <w:spacing w:after="160" w:line="259" w:lineRule="auto"/>
      </w:pPr>
      <w:bookmarkStart w:id="164" w:name="_Hlk183037038"/>
      <w:bookmarkEnd w:id="163"/>
      <w:r>
        <w:t xml:space="preserve">A </w:t>
      </w:r>
      <w:r w:rsidR="00B2384B">
        <w:t xml:space="preserve">director of communication </w:t>
      </w:r>
      <w:r w:rsidR="00F22251">
        <w:t xml:space="preserve">reports to the </w:t>
      </w:r>
      <w:r w:rsidR="005C2621">
        <w:t xml:space="preserve">head of the institution (in central banks, to the </w:t>
      </w:r>
      <w:r w:rsidR="00B2384B">
        <w:t>g</w:t>
      </w:r>
      <w:r w:rsidR="00F22251">
        <w:t xml:space="preserve">overnor or </w:t>
      </w:r>
      <w:r w:rsidR="00B2384B">
        <w:t>c</w:t>
      </w:r>
      <w:r w:rsidR="00F22251">
        <w:t>hairman)</w:t>
      </w:r>
      <w:bookmarkEnd w:id="164"/>
      <w:r w:rsidR="00D973B2">
        <w:t>.</w:t>
      </w:r>
    </w:p>
    <w:p w14:paraId="47EAB5CD" w14:textId="67AFDE09" w:rsidR="00F22251" w:rsidRPr="00BD22BC" w:rsidRDefault="00846F89" w:rsidP="008B1907">
      <w:pPr>
        <w:pStyle w:val="ListParagraph"/>
        <w:numPr>
          <w:ilvl w:val="0"/>
          <w:numId w:val="32"/>
        </w:numPr>
        <w:spacing w:after="160" w:line="259" w:lineRule="auto"/>
      </w:pPr>
      <w:r w:rsidRPr="00BD22BC">
        <w:t xml:space="preserve">The </w:t>
      </w:r>
      <w:r w:rsidR="00B2384B" w:rsidRPr="00BD22BC">
        <w:t xml:space="preserve">director of communication </w:t>
      </w:r>
      <w:r w:rsidR="00D973B2" w:rsidRPr="00BD22BC">
        <w:t>typically</w:t>
      </w:r>
      <w:r w:rsidR="00F22251" w:rsidRPr="00BD22BC">
        <w:t xml:space="preserve"> serves as the institution’s spokesperson</w:t>
      </w:r>
      <w:r w:rsidR="005C2621" w:rsidRPr="00BD22BC">
        <w:t>, speaking on behalf of the institution on non-policy topics while the policymakers make pronouncements on policy.</w:t>
      </w:r>
    </w:p>
    <w:p w14:paraId="2B552EF8" w14:textId="77777777" w:rsidR="00F22251" w:rsidRPr="00BD22BC" w:rsidRDefault="00F22251" w:rsidP="00F22251">
      <w:pPr>
        <w:pBdr>
          <w:bottom w:val="single" w:sz="6" w:space="1" w:color="auto"/>
        </w:pBdr>
        <w:rPr>
          <w:rFonts w:cs="Arial"/>
          <w:color w:val="000000"/>
          <w:shd w:val="clear" w:color="auto" w:fill="FFFFFF"/>
        </w:rPr>
      </w:pPr>
      <w:bookmarkStart w:id="165" w:name="_Hlk183037420"/>
    </w:p>
    <w:p w14:paraId="3B3FD8B6" w14:textId="77777777" w:rsidR="00F22251" w:rsidRPr="00BD22BC" w:rsidRDefault="00F22251" w:rsidP="008B1907">
      <w:pPr>
        <w:rPr>
          <w:rFonts w:cs="Arial"/>
          <w:color w:val="000000"/>
          <w:shd w:val="clear" w:color="auto" w:fill="FFFFFF"/>
        </w:rPr>
      </w:pPr>
    </w:p>
    <w:p w14:paraId="21F54CDA" w14:textId="233FEC51" w:rsidR="007A6B9E" w:rsidRPr="00BD22BC" w:rsidRDefault="5C3D3195" w:rsidP="007A6B9E">
      <w:bookmarkStart w:id="166" w:name="_Hlk183036451"/>
      <w:bookmarkEnd w:id="165"/>
      <w:r w:rsidRPr="00BD22BC">
        <w:rPr>
          <w:b/>
          <w:bCs/>
        </w:rPr>
        <w:t>4</w:t>
      </w:r>
      <w:r w:rsidR="008B1907" w:rsidRPr="00BD22BC">
        <w:rPr>
          <w:b/>
          <w:bCs/>
        </w:rPr>
        <w:t>.</w:t>
      </w:r>
      <w:r w:rsidR="008B1907" w:rsidRPr="00BD22BC">
        <w:t xml:space="preserve"> </w:t>
      </w:r>
      <w:r w:rsidR="008B1907" w:rsidRPr="00BD22BC">
        <w:rPr>
          <w:b/>
          <w:bCs/>
        </w:rPr>
        <w:t>&lt;</w:t>
      </w:r>
      <w:r w:rsidR="00B927DE" w:rsidRPr="00BD22BC">
        <w:rPr>
          <w:b/>
          <w:bCs/>
        </w:rPr>
        <w:t>Checkbox</w:t>
      </w:r>
      <w:r w:rsidR="008B1907" w:rsidRPr="00BD22BC">
        <w:rPr>
          <w:b/>
          <w:bCs/>
        </w:rPr>
        <w:t>&gt;</w:t>
      </w:r>
      <w:r w:rsidR="008B1907" w:rsidRPr="00BD22BC">
        <w:t xml:space="preserve"> </w:t>
      </w:r>
      <w:r w:rsidR="0068614A" w:rsidRPr="1BB63DC4">
        <w:rPr>
          <w:rFonts w:cs="Arial"/>
          <w:b/>
          <w:bCs/>
          <w:i/>
          <w:iCs/>
          <w:color w:val="000000"/>
          <w:highlight w:val="yellow"/>
          <w:shd w:val="clear" w:color="auto" w:fill="FFFFFF"/>
        </w:rPr>
        <w:t xml:space="preserve">Which of the following </w:t>
      </w:r>
      <w:r w:rsidR="7A7637EB" w:rsidRPr="1BB63DC4">
        <w:rPr>
          <w:rFonts w:cs="Arial"/>
          <w:b/>
          <w:bCs/>
          <w:i/>
          <w:iCs/>
          <w:color w:val="000000"/>
          <w:highlight w:val="yellow"/>
          <w:shd w:val="clear" w:color="auto" w:fill="FFFFFF"/>
        </w:rPr>
        <w:t xml:space="preserve">elements </w:t>
      </w:r>
      <w:r w:rsidR="00453095" w:rsidRPr="1BB63DC4">
        <w:rPr>
          <w:rFonts w:cs="Arial"/>
          <w:b/>
          <w:bCs/>
          <w:i/>
          <w:iCs/>
          <w:color w:val="000000" w:themeColor="text1"/>
          <w:highlight w:val="yellow"/>
        </w:rPr>
        <w:t xml:space="preserve">do </w:t>
      </w:r>
      <w:r w:rsidR="306E679E" w:rsidRPr="1BB63DC4">
        <w:rPr>
          <w:rFonts w:cs="Arial"/>
          <w:b/>
          <w:bCs/>
          <w:i/>
          <w:iCs/>
          <w:color w:val="000000"/>
          <w:highlight w:val="yellow"/>
          <w:shd w:val="clear" w:color="auto" w:fill="FFFFFF"/>
        </w:rPr>
        <w:t>policy institutions need</w:t>
      </w:r>
      <w:r w:rsidR="0068614A" w:rsidRPr="1BB63DC4">
        <w:rPr>
          <w:rFonts w:cs="Arial"/>
          <w:b/>
          <w:bCs/>
          <w:i/>
          <w:iCs/>
          <w:color w:val="000000"/>
          <w:highlight w:val="yellow"/>
          <w:shd w:val="clear" w:color="auto" w:fill="FFFFFF"/>
        </w:rPr>
        <w:t xml:space="preserve"> to </w:t>
      </w:r>
      <w:r w:rsidR="0999ACC6" w:rsidRPr="1BB63DC4">
        <w:rPr>
          <w:rFonts w:cs="Arial"/>
          <w:b/>
          <w:bCs/>
          <w:i/>
          <w:iCs/>
          <w:color w:val="000000"/>
          <w:highlight w:val="yellow"/>
          <w:shd w:val="clear" w:color="auto" w:fill="FFFFFF"/>
        </w:rPr>
        <w:t xml:space="preserve">put in place in order to </w:t>
      </w:r>
      <w:r w:rsidR="0068614A" w:rsidRPr="1BB63DC4">
        <w:rPr>
          <w:rFonts w:cs="Arial"/>
          <w:b/>
          <w:bCs/>
          <w:i/>
          <w:iCs/>
          <w:color w:val="000000"/>
          <w:highlight w:val="yellow"/>
          <w:shd w:val="clear" w:color="auto" w:fill="FFFFFF"/>
        </w:rPr>
        <w:t>conduct a thorough impact assessment?</w:t>
      </w:r>
      <w:bookmarkEnd w:id="161"/>
      <w:r w:rsidR="007A6B9E" w:rsidRPr="1BB63DC4">
        <w:rPr>
          <w:rFonts w:cs="Arial"/>
          <w:b/>
          <w:bCs/>
          <w:i/>
          <w:iCs/>
          <w:color w:val="000000"/>
          <w:shd w:val="clear" w:color="auto" w:fill="FFFFFF"/>
        </w:rPr>
        <w:t xml:space="preserve"> </w:t>
      </w:r>
      <w:r w:rsidR="007A6B9E" w:rsidRPr="00BD22BC">
        <w:t>(Select all that apply</w:t>
      </w:r>
      <w:r w:rsidR="007A6B9E" w:rsidRPr="1BB63DC4">
        <w:rPr>
          <w:i/>
          <w:iCs/>
        </w:rPr>
        <w:t>.</w:t>
      </w:r>
      <w:r w:rsidR="007A6B9E" w:rsidRPr="00BD22BC">
        <w:t>)</w:t>
      </w:r>
    </w:p>
    <w:bookmarkEnd w:id="166"/>
    <w:p w14:paraId="2688A9ED" w14:textId="77777777" w:rsidR="000F4D89" w:rsidRPr="00BD22BC" w:rsidRDefault="000F4D89" w:rsidP="000F4D89">
      <w:pPr>
        <w:rPr>
          <w:rFonts w:cs="Arial"/>
          <w:color w:val="000000"/>
          <w:shd w:val="clear" w:color="auto" w:fill="FFFFFF"/>
        </w:rPr>
      </w:pPr>
    </w:p>
    <w:p w14:paraId="05C1E3D5" w14:textId="77777777" w:rsidR="007A5F05" w:rsidRPr="00BD22BC" w:rsidRDefault="007A5F05" w:rsidP="007A5F05">
      <w:pPr>
        <w:pStyle w:val="ListParagraph"/>
        <w:numPr>
          <w:ilvl w:val="1"/>
          <w:numId w:val="50"/>
        </w:numPr>
        <w:spacing w:after="160" w:line="278" w:lineRule="auto"/>
      </w:pPr>
      <w:r>
        <w:t xml:space="preserve">An independent third-party consultant </w:t>
      </w:r>
    </w:p>
    <w:p w14:paraId="7A4E060B" w14:textId="77777777" w:rsidR="007A5F05" w:rsidRPr="00BD22BC" w:rsidRDefault="007A5F05" w:rsidP="007A5F05">
      <w:pPr>
        <w:pStyle w:val="ListParagraph"/>
        <w:numPr>
          <w:ilvl w:val="1"/>
          <w:numId w:val="50"/>
        </w:numPr>
        <w:spacing w:after="160" w:line="278" w:lineRule="auto"/>
        <w:rPr>
          <w:highlight w:val="yellow"/>
        </w:rPr>
      </w:pPr>
      <w:r w:rsidRPr="0B30B316">
        <w:rPr>
          <w:highlight w:val="yellow"/>
        </w:rPr>
        <w:t>Benchmarks and timeframe</w:t>
      </w:r>
      <w:r>
        <w:t xml:space="preserve"> </w:t>
      </w:r>
    </w:p>
    <w:p w14:paraId="6FB803C1" w14:textId="77777777" w:rsidR="00BD22BC" w:rsidRPr="00BD22BC" w:rsidRDefault="007A5F05" w:rsidP="007A5F05">
      <w:pPr>
        <w:pStyle w:val="ListParagraph"/>
        <w:numPr>
          <w:ilvl w:val="1"/>
          <w:numId w:val="50"/>
        </w:numPr>
        <w:spacing w:after="160" w:line="278" w:lineRule="auto"/>
        <w:rPr>
          <w:highlight w:val="yellow"/>
        </w:rPr>
      </w:pPr>
      <w:r w:rsidRPr="0B30B316">
        <w:rPr>
          <w:highlight w:val="yellow"/>
        </w:rPr>
        <w:t>Clear objectives</w:t>
      </w:r>
    </w:p>
    <w:p w14:paraId="1E4ABF85" w14:textId="589CFBB1" w:rsidR="007A5F05" w:rsidRPr="00BD22BC" w:rsidRDefault="00BD22BC" w:rsidP="007A5F05">
      <w:pPr>
        <w:pStyle w:val="ListParagraph"/>
        <w:numPr>
          <w:ilvl w:val="1"/>
          <w:numId w:val="50"/>
        </w:numPr>
        <w:spacing w:after="160" w:line="278" w:lineRule="auto"/>
        <w:rPr>
          <w:highlight w:val="yellow"/>
        </w:rPr>
      </w:pPr>
      <w:r w:rsidRPr="0B30B316">
        <w:rPr>
          <w:highlight w:val="yellow"/>
        </w:rPr>
        <w:t xml:space="preserve">Defined </w:t>
      </w:r>
      <w:r w:rsidR="00B2384B" w:rsidRPr="0B30B316">
        <w:rPr>
          <w:highlight w:val="yellow"/>
        </w:rPr>
        <w:t>k</w:t>
      </w:r>
      <w:r w:rsidR="007A5F05" w:rsidRPr="0B30B316">
        <w:rPr>
          <w:highlight w:val="yellow"/>
        </w:rPr>
        <w:t xml:space="preserve">ey </w:t>
      </w:r>
      <w:r w:rsidR="00B2384B" w:rsidRPr="0B30B316">
        <w:rPr>
          <w:highlight w:val="yellow"/>
        </w:rPr>
        <w:t>p</w:t>
      </w:r>
      <w:r w:rsidR="007A5F05" w:rsidRPr="0B30B316">
        <w:rPr>
          <w:highlight w:val="yellow"/>
        </w:rPr>
        <w:t xml:space="preserve">erformance </w:t>
      </w:r>
      <w:r w:rsidR="00B2384B" w:rsidRPr="0B30B316">
        <w:rPr>
          <w:highlight w:val="yellow"/>
        </w:rPr>
        <w:t>i</w:t>
      </w:r>
      <w:r w:rsidR="007A5F05" w:rsidRPr="0B30B316">
        <w:rPr>
          <w:highlight w:val="yellow"/>
        </w:rPr>
        <w:t>ndicators and metrics</w:t>
      </w:r>
    </w:p>
    <w:p w14:paraId="4D496A05" w14:textId="3945CF9E" w:rsidR="00BD22BC" w:rsidRPr="00BD22BC" w:rsidRDefault="5559F093" w:rsidP="007A5F05">
      <w:pPr>
        <w:pStyle w:val="ListParagraph"/>
        <w:numPr>
          <w:ilvl w:val="1"/>
          <w:numId w:val="50"/>
        </w:numPr>
        <w:spacing w:after="160" w:line="278" w:lineRule="auto"/>
      </w:pPr>
      <w:r>
        <w:t>P</w:t>
      </w:r>
      <w:r w:rsidR="00BD22BC">
        <w:t>rior assumptions about an intended impact</w:t>
      </w:r>
    </w:p>
    <w:p w14:paraId="34A21DF8" w14:textId="77777777" w:rsidR="007A5F05" w:rsidRPr="00BD22BC" w:rsidRDefault="007A5F05" w:rsidP="007A5F05">
      <w:pPr>
        <w:pStyle w:val="ListParagraph"/>
        <w:numPr>
          <w:ilvl w:val="1"/>
          <w:numId w:val="50"/>
        </w:numPr>
        <w:spacing w:after="160" w:line="278" w:lineRule="auto"/>
        <w:rPr>
          <w:highlight w:val="yellow"/>
        </w:rPr>
      </w:pPr>
      <w:r w:rsidRPr="0B30B316">
        <w:rPr>
          <w:highlight w:val="yellow"/>
        </w:rPr>
        <w:t>Monitoring tools</w:t>
      </w:r>
    </w:p>
    <w:p w14:paraId="4A6485F7" w14:textId="4C97F9E6" w:rsidR="007A5F05" w:rsidRPr="00BD22BC" w:rsidRDefault="000F4D89" w:rsidP="007A5F05">
      <w:pPr>
        <w:rPr>
          <w:shd w:val="clear" w:color="auto" w:fill="FFFFFF"/>
        </w:rPr>
      </w:pPr>
      <w:bookmarkStart w:id="167" w:name="_Hlk183036526"/>
      <w:r w:rsidRPr="00BD22BC">
        <w:rPr>
          <w:b/>
          <w:bCs/>
          <w:shd w:val="clear" w:color="auto" w:fill="FFFFFF"/>
        </w:rPr>
        <w:t>&lt;Feedback&gt;</w:t>
      </w:r>
      <w:r w:rsidRPr="00BD22BC">
        <w:rPr>
          <w:shd w:val="clear" w:color="auto" w:fill="FFFFFF"/>
        </w:rPr>
        <w:t xml:space="preserve"> </w:t>
      </w:r>
      <w:r w:rsidR="007A5F05" w:rsidRPr="00BD22BC">
        <w:rPr>
          <w:shd w:val="clear" w:color="auto" w:fill="FFFFFF"/>
        </w:rPr>
        <w:t xml:space="preserve">An impact assessment requires benchmarks and a defined timeframe, along with clear objectives, </w:t>
      </w:r>
      <w:r w:rsidR="00B2384B">
        <w:t>k</w:t>
      </w:r>
      <w:r w:rsidR="00B2384B" w:rsidRPr="00BD22BC">
        <w:t xml:space="preserve">ey </w:t>
      </w:r>
      <w:r w:rsidR="00B2384B">
        <w:t>p</w:t>
      </w:r>
      <w:r w:rsidR="00B2384B" w:rsidRPr="00BD22BC">
        <w:t xml:space="preserve">erformance </w:t>
      </w:r>
      <w:r w:rsidR="00B2384B">
        <w:t>i</w:t>
      </w:r>
      <w:r w:rsidR="00B2384B" w:rsidRPr="00BD22BC">
        <w:t>ndicators</w:t>
      </w:r>
      <w:r w:rsidR="00B2384B" w:rsidRPr="00BD22BC" w:rsidDel="00B2384B">
        <w:rPr>
          <w:shd w:val="clear" w:color="auto" w:fill="FFFFFF"/>
        </w:rPr>
        <w:t xml:space="preserve"> </w:t>
      </w:r>
      <w:r w:rsidR="007A5F05" w:rsidRPr="00BD22BC">
        <w:rPr>
          <w:shd w:val="clear" w:color="auto" w:fill="FFFFFF"/>
        </w:rPr>
        <w:t>and metrics, and appropriate monitoring tools.</w:t>
      </w:r>
    </w:p>
    <w:bookmarkEnd w:id="167"/>
    <w:p w14:paraId="12016D19" w14:textId="77777777" w:rsidR="00AE6CB9" w:rsidRPr="00BD22BC" w:rsidRDefault="00AE6CB9" w:rsidP="00AE6CB9">
      <w:pPr>
        <w:pBdr>
          <w:bottom w:val="single" w:sz="6" w:space="1" w:color="auto"/>
        </w:pBdr>
        <w:rPr>
          <w:rFonts w:cs="Arial"/>
          <w:color w:val="000000"/>
          <w:shd w:val="clear" w:color="auto" w:fill="FFFFFF"/>
        </w:rPr>
      </w:pPr>
    </w:p>
    <w:p w14:paraId="1CF49B43" w14:textId="77777777" w:rsidR="00987FC3" w:rsidRPr="00BD22BC" w:rsidRDefault="00987FC3" w:rsidP="007A5F05">
      <w:pPr>
        <w:rPr>
          <w:shd w:val="clear" w:color="auto" w:fill="FFFFFF"/>
        </w:rPr>
      </w:pPr>
    </w:p>
    <w:p w14:paraId="3C0875A7" w14:textId="226A640A" w:rsidR="00987FC3" w:rsidRPr="00BD22BC" w:rsidRDefault="06A34001" w:rsidP="1BB63DC4">
      <w:pPr>
        <w:rPr>
          <w:rFonts w:cs="Arial"/>
          <w:b/>
          <w:bCs/>
          <w:i/>
          <w:iCs/>
          <w:color w:val="000000"/>
          <w:shd w:val="clear" w:color="auto" w:fill="FFFFFF"/>
        </w:rPr>
      </w:pPr>
      <w:r w:rsidRPr="00BD22BC">
        <w:rPr>
          <w:b/>
          <w:bCs/>
        </w:rPr>
        <w:t>5</w:t>
      </w:r>
      <w:r w:rsidR="00987FC3" w:rsidRPr="00BD22BC">
        <w:rPr>
          <w:b/>
          <w:bCs/>
        </w:rPr>
        <w:t>.</w:t>
      </w:r>
      <w:r w:rsidR="00557CDE" w:rsidRPr="00BD22BC">
        <w:t xml:space="preserve"> </w:t>
      </w:r>
      <w:r w:rsidR="00987FC3" w:rsidRPr="00BD22BC">
        <w:rPr>
          <w:b/>
          <w:bCs/>
        </w:rPr>
        <w:t>&lt;Multiple choice&gt;</w:t>
      </w:r>
      <w:r w:rsidR="00987FC3" w:rsidRPr="00BD22BC">
        <w:t xml:space="preserve"> </w:t>
      </w:r>
      <w:r w:rsidR="00987FC3" w:rsidRPr="1BB63DC4">
        <w:rPr>
          <w:rFonts w:cs="Arial"/>
          <w:b/>
          <w:bCs/>
          <w:i/>
          <w:iCs/>
          <w:color w:val="000000"/>
          <w:highlight w:val="yellow"/>
          <w:shd w:val="clear" w:color="auto" w:fill="FFFFFF"/>
        </w:rPr>
        <w:t>Which of the following is</w:t>
      </w:r>
      <w:r w:rsidR="60F7881F" w:rsidRPr="1BB63DC4">
        <w:rPr>
          <w:rFonts w:cs="Arial"/>
          <w:b/>
          <w:bCs/>
          <w:i/>
          <w:iCs/>
          <w:color w:val="000000"/>
          <w:highlight w:val="yellow"/>
          <w:shd w:val="clear" w:color="auto" w:fill="FFFFFF"/>
        </w:rPr>
        <w:t xml:space="preserve"> </w:t>
      </w:r>
      <w:r w:rsidR="00987FC3" w:rsidRPr="1BB63DC4">
        <w:rPr>
          <w:rFonts w:cs="Arial"/>
          <w:b/>
          <w:bCs/>
          <w:i/>
          <w:iCs/>
          <w:color w:val="000000"/>
          <w:highlight w:val="yellow"/>
          <w:shd w:val="clear" w:color="auto" w:fill="FFFFFF"/>
        </w:rPr>
        <w:t>considered a qualitative metric for conducting an impact assessment?</w:t>
      </w:r>
    </w:p>
    <w:p w14:paraId="1D821F69" w14:textId="77777777" w:rsidR="00987FC3" w:rsidRPr="00BD22BC" w:rsidRDefault="00987FC3" w:rsidP="00987FC3">
      <w:pPr>
        <w:rPr>
          <w:rFonts w:cs="Arial"/>
          <w:color w:val="000000"/>
          <w:shd w:val="clear" w:color="auto" w:fill="FFFFFF"/>
        </w:rPr>
      </w:pPr>
    </w:p>
    <w:p w14:paraId="5F9EC66B" w14:textId="35DBD4AA" w:rsidR="007A5F05" w:rsidRPr="00BD22BC" w:rsidRDefault="007A5F05" w:rsidP="611A6AA4">
      <w:pPr>
        <w:pStyle w:val="ListParagraph"/>
        <w:numPr>
          <w:ilvl w:val="1"/>
          <w:numId w:val="62"/>
        </w:numPr>
        <w:spacing w:after="160" w:line="278" w:lineRule="auto"/>
      </w:pPr>
      <w:r>
        <w:t>Number of mentions</w:t>
      </w:r>
    </w:p>
    <w:p w14:paraId="7A0C6CFF" w14:textId="3CF176B9" w:rsidR="52649587" w:rsidRPr="00BD22BC" w:rsidRDefault="52649587" w:rsidP="005B64B2">
      <w:pPr>
        <w:spacing w:after="160" w:line="278" w:lineRule="auto"/>
      </w:pPr>
      <w:r w:rsidRPr="1BB63DC4">
        <w:rPr>
          <w:b/>
          <w:bCs/>
        </w:rPr>
        <w:lastRenderedPageBreak/>
        <w:t>&lt;Feedback&gt;</w:t>
      </w:r>
      <w:r>
        <w:t xml:space="preserve"> This is </w:t>
      </w:r>
      <w:r w:rsidRPr="1BB63DC4">
        <w:rPr>
          <w:b/>
          <w:bCs/>
        </w:rPr>
        <w:t>incorrect</w:t>
      </w:r>
      <w:r>
        <w:t>. Number of mentions is a</w:t>
      </w:r>
      <w:r w:rsidR="1543519B">
        <w:t xml:space="preserve"> </w:t>
      </w:r>
      <w:r w:rsidR="229DAD37">
        <w:t>quantitative metric.</w:t>
      </w:r>
    </w:p>
    <w:p w14:paraId="0DCDC673" w14:textId="77777777" w:rsidR="007A5F05" w:rsidRPr="00BD22BC" w:rsidRDefault="007A5F05" w:rsidP="00987FC3">
      <w:pPr>
        <w:pStyle w:val="ListParagraph"/>
        <w:numPr>
          <w:ilvl w:val="1"/>
          <w:numId w:val="62"/>
        </w:numPr>
        <w:spacing w:after="160" w:line="278" w:lineRule="auto"/>
      </w:pPr>
      <w:r w:rsidRPr="00BD22BC">
        <w:t xml:space="preserve">Average duration of video views </w:t>
      </w:r>
    </w:p>
    <w:p w14:paraId="6BE1434E" w14:textId="6939724F" w:rsidR="4D4F19BF" w:rsidRDefault="4D4F19BF" w:rsidP="611A6AA4">
      <w:r w:rsidRPr="00BD22BC">
        <w:rPr>
          <w:b/>
          <w:bCs/>
        </w:rPr>
        <w:t>&lt;Feedback&gt;</w:t>
      </w:r>
      <w:r w:rsidRPr="00BD22BC">
        <w:t xml:space="preserve"> This is </w:t>
      </w:r>
      <w:r w:rsidRPr="00BD22BC">
        <w:rPr>
          <w:b/>
          <w:bCs/>
        </w:rPr>
        <w:t>correct</w:t>
      </w:r>
      <w:r w:rsidRPr="00BD22BC">
        <w:t>. The average duration of video views is considered a qualitative metric, as it reflects the depth of audience engagement and the quality of their interaction with the content.</w:t>
      </w:r>
    </w:p>
    <w:p w14:paraId="392080D5" w14:textId="77777777" w:rsidR="005B64B2" w:rsidRPr="00BD22BC" w:rsidRDefault="005B64B2" w:rsidP="611A6AA4"/>
    <w:p w14:paraId="2A42DA8F" w14:textId="77777777" w:rsidR="007A5F05" w:rsidRPr="00BD22BC" w:rsidRDefault="007A5F05" w:rsidP="00987FC3">
      <w:pPr>
        <w:pStyle w:val="ListParagraph"/>
        <w:numPr>
          <w:ilvl w:val="1"/>
          <w:numId w:val="62"/>
        </w:numPr>
        <w:spacing w:after="160" w:line="278" w:lineRule="auto"/>
      </w:pPr>
      <w:r w:rsidRPr="00BD22BC">
        <w:t>Unique visitors to webpages</w:t>
      </w:r>
    </w:p>
    <w:p w14:paraId="277A29F1" w14:textId="651B526E" w:rsidR="5AFC5422" w:rsidRPr="00BD22BC" w:rsidRDefault="5AFC5422" w:rsidP="005B64B2">
      <w:pPr>
        <w:spacing w:after="160" w:line="278" w:lineRule="auto"/>
        <w:ind w:left="720"/>
      </w:pPr>
      <w:r w:rsidRPr="1BB63DC4">
        <w:rPr>
          <w:b/>
          <w:bCs/>
        </w:rPr>
        <w:t>&lt;Feedback&gt;</w:t>
      </w:r>
      <w:r>
        <w:t xml:space="preserve"> This is </w:t>
      </w:r>
      <w:r w:rsidRPr="1BB63DC4">
        <w:rPr>
          <w:b/>
          <w:bCs/>
        </w:rPr>
        <w:t>incorrect</w:t>
      </w:r>
      <w:r>
        <w:t>.</w:t>
      </w:r>
      <w:r w:rsidRPr="1BB63DC4">
        <w:rPr>
          <w:rFonts w:eastAsia="Arial" w:cs="Arial"/>
        </w:rPr>
        <w:t xml:space="preserve"> Unique visitors count </w:t>
      </w:r>
      <w:r>
        <w:t>is a quantitative metric.</w:t>
      </w:r>
    </w:p>
    <w:p w14:paraId="61C75CF0" w14:textId="77777777" w:rsidR="007A5F05" w:rsidRPr="00BD22BC" w:rsidRDefault="007A5F05" w:rsidP="00987FC3">
      <w:pPr>
        <w:pStyle w:val="ListParagraph"/>
        <w:numPr>
          <w:ilvl w:val="1"/>
          <w:numId w:val="62"/>
        </w:numPr>
        <w:spacing w:after="160" w:line="278" w:lineRule="auto"/>
      </w:pPr>
      <w:r w:rsidRPr="00BD22BC">
        <w:t xml:space="preserve">Downloads of articles </w:t>
      </w:r>
    </w:p>
    <w:p w14:paraId="20755DFB" w14:textId="2139C307" w:rsidR="5AFC5422" w:rsidRPr="00BD22BC" w:rsidRDefault="2E70468A" w:rsidP="611A6AA4">
      <w:r w:rsidRPr="1BB63DC4">
        <w:rPr>
          <w:b/>
          <w:bCs/>
        </w:rPr>
        <w:t>&lt;Feedback&gt;</w:t>
      </w:r>
      <w:r>
        <w:t xml:space="preserve"> This is </w:t>
      </w:r>
      <w:r w:rsidRPr="1BB63DC4">
        <w:rPr>
          <w:b/>
          <w:bCs/>
        </w:rPr>
        <w:t>incorrect</w:t>
      </w:r>
      <w:r>
        <w:t>.</w:t>
      </w:r>
      <w:r w:rsidRPr="1BB63DC4">
        <w:rPr>
          <w:rFonts w:eastAsia="Arial" w:cs="Arial"/>
        </w:rPr>
        <w:t xml:space="preserve"> Downloads of articles count </w:t>
      </w:r>
      <w:r>
        <w:t>is a quantitative metric.</w:t>
      </w:r>
    </w:p>
    <w:p w14:paraId="61919A93" w14:textId="5475F849" w:rsidR="611A6AA4" w:rsidRPr="00BD22BC" w:rsidRDefault="611A6AA4" w:rsidP="611A6AA4">
      <w:pPr>
        <w:spacing w:after="160" w:line="278" w:lineRule="auto"/>
      </w:pPr>
    </w:p>
    <w:p w14:paraId="52E14BC3" w14:textId="77777777" w:rsidR="008B1907" w:rsidRPr="00BD22BC" w:rsidRDefault="008B1907" w:rsidP="00804AC6">
      <w:pPr>
        <w:pBdr>
          <w:bottom w:val="single" w:sz="6" w:space="1" w:color="auto"/>
        </w:pBdr>
        <w:rPr>
          <w:rFonts w:cs="Arial"/>
          <w:color w:val="000000"/>
          <w:shd w:val="clear" w:color="auto" w:fill="FFFFFF"/>
        </w:rPr>
      </w:pPr>
    </w:p>
    <w:p w14:paraId="132ABFB9" w14:textId="77777777" w:rsidR="008B1907" w:rsidRPr="00BD22BC" w:rsidRDefault="008B1907" w:rsidP="00804AC6">
      <w:pPr>
        <w:pBdr>
          <w:bottom w:val="single" w:sz="6" w:space="1" w:color="auto"/>
        </w:pBdr>
        <w:rPr>
          <w:rFonts w:cs="Arial"/>
          <w:color w:val="000000"/>
          <w:shd w:val="clear" w:color="auto" w:fill="FFFFFF"/>
        </w:rPr>
      </w:pPr>
    </w:p>
    <w:p w14:paraId="7C573FC8" w14:textId="1937A1BB" w:rsidR="00A15301" w:rsidRPr="00BD22BC" w:rsidRDefault="00A15301" w:rsidP="00B04DD9">
      <w:pPr>
        <w:pStyle w:val="ListParagraph"/>
        <w:rPr>
          <w:rFonts w:cs="Arial"/>
          <w:color w:val="000000"/>
          <w:highlight w:val="red"/>
          <w:shd w:val="clear" w:color="auto" w:fill="FFFFFF"/>
        </w:rPr>
      </w:pPr>
    </w:p>
    <w:sectPr w:rsidR="00A15301" w:rsidRPr="00BD22BC" w:rsidSect="00C14B92">
      <w:headerReference w:type="default" r:id="rId56"/>
      <w:footerReference w:type="default" r:id="rId57"/>
      <w:headerReference w:type="first" r:id="rId58"/>
      <w:type w:val="continuous"/>
      <w:pgSz w:w="12240" w:h="15840" w:code="1"/>
      <w:pgMar w:top="1080" w:right="1080" w:bottom="1080" w:left="1080" w:header="720" w:footer="720" w:gutter="0"/>
      <w:pgBorders w:offsetFrom="page">
        <w:top w:val="double" w:sz="6" w:space="24" w:color="2E74B5" w:themeColor="accent5" w:themeShade="BF"/>
        <w:left w:val="double" w:sz="6" w:space="24" w:color="2E74B5" w:themeColor="accent5" w:themeShade="BF"/>
        <w:bottom w:val="double" w:sz="6" w:space="24" w:color="2E74B5" w:themeColor="accent5" w:themeShade="BF"/>
        <w:right w:val="double" w:sz="6" w:space="24" w:color="2E74B5" w:themeColor="accent5" w:themeShade="BF"/>
      </w:pgBorders>
      <w:pgNumType w:start="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2" w:author="Lee, Amy" w:date="2024-08-01T10:55:00Z" w:initials="LA">
    <w:p w14:paraId="6C3E7234" w14:textId="19A0024C" w:rsidR="00D14EC4" w:rsidRDefault="00D14EC4" w:rsidP="008A2385">
      <w:pPr>
        <w:pStyle w:val="CommentText"/>
      </w:pPr>
      <w:r>
        <w:rPr>
          <w:rStyle w:val="CommentReference"/>
        </w:rPr>
        <w:annotationRef/>
      </w:r>
      <w:hyperlink r:id="rId1" w:history="1">
        <w:r w:rsidRPr="005236A3">
          <w:rPr>
            <w:rStyle w:val="Hyperlink"/>
          </w:rPr>
          <w:t>Communications Strategy Framework - Role Model.docx</w:t>
        </w:r>
      </w:hyperlink>
      <w:r>
        <w:t xml:space="preserve"> </w:t>
      </w:r>
    </w:p>
  </w:comment>
  <w:comment w:id="24" w:author="Lee, Amy" w:date="2024-08-01T11:21:00Z" w:initials="LA">
    <w:p w14:paraId="6A90B5BA" w14:textId="77777777" w:rsidR="00B84ADF" w:rsidRDefault="00B84ADF" w:rsidP="008A2385">
      <w:pPr>
        <w:pStyle w:val="CommentText"/>
      </w:pPr>
      <w:r>
        <w:rPr>
          <w:rStyle w:val="CommentReference"/>
        </w:rPr>
        <w:annotationRef/>
      </w:r>
      <w:hyperlink r:id="rId2" w:history="1">
        <w:r w:rsidRPr="00A00F36">
          <w:rPr>
            <w:rStyle w:val="Hyperlink"/>
          </w:rPr>
          <w:t>Communication Policy_Riksbank.pdf</w:t>
        </w:r>
      </w:hyperlink>
      <w:r>
        <w:t xml:space="preserve"> </w:t>
      </w:r>
    </w:p>
  </w:comment>
  <w:comment w:id="29" w:author="Lee, Amy [2]" w:date="2024-12-04T13:27:00Z" w:initials="AL">
    <w:p w14:paraId="4EAD47B0" w14:textId="77777777" w:rsidR="00831663" w:rsidRDefault="00831663" w:rsidP="00831663">
      <w:pPr>
        <w:pStyle w:val="CommentText"/>
      </w:pPr>
      <w:r>
        <w:rPr>
          <w:rStyle w:val="CommentReference"/>
        </w:rPr>
        <w:annotationRef/>
      </w:r>
      <w:hyperlink r:id="rId3" w:history="1">
        <w:r w:rsidRPr="004B25AA">
          <w:rPr>
            <w:rStyle w:val="Hyperlink"/>
          </w:rPr>
          <w:t>Blackout guidelines - Bank of Canada</w:t>
        </w:r>
      </w:hyperlink>
      <w:r>
        <w:t xml:space="preserve"> </w:t>
      </w:r>
    </w:p>
    <w:p w14:paraId="68A41B7A" w14:textId="77777777" w:rsidR="00831663" w:rsidRDefault="00831663" w:rsidP="00831663">
      <w:pPr>
        <w:pStyle w:val="CommentText"/>
      </w:pPr>
    </w:p>
    <w:p w14:paraId="3E6215BF" w14:textId="77777777" w:rsidR="00831663" w:rsidRDefault="00000000" w:rsidP="00831663">
      <w:pPr>
        <w:pStyle w:val="CommentText"/>
      </w:pPr>
      <w:hyperlink r:id="rId4" w:history="1">
        <w:r w:rsidR="00831663" w:rsidRPr="004B25AA">
          <w:rPr>
            <w:rStyle w:val="Hyperlink"/>
          </w:rPr>
          <w:t>“Blackout guidelines” implemented by the Bank of Canada.docx</w:t>
        </w:r>
      </w:hyperlink>
      <w:r w:rsidR="00831663">
        <w:t xml:space="preserve"> </w:t>
      </w:r>
    </w:p>
  </w:comment>
  <w:comment w:id="30" w:author="Lee, Amy [2]" w:date="2024-12-04T13:27:00Z" w:initials="AL">
    <w:p w14:paraId="162A9A5B" w14:textId="77777777" w:rsidR="004E47CF" w:rsidRDefault="004E47CF" w:rsidP="004E47CF">
      <w:pPr>
        <w:pStyle w:val="CommentText"/>
      </w:pPr>
      <w:r>
        <w:rPr>
          <w:rStyle w:val="CommentReference"/>
        </w:rPr>
        <w:annotationRef/>
      </w:r>
      <w:hyperlink r:id="rId5" w:history="1">
        <w:r w:rsidRPr="00AF0BF1">
          <w:rPr>
            <w:rStyle w:val="Hyperlink"/>
          </w:rPr>
          <w:t>“Media quarantine” implemented by the Czech National Bank.docx</w:t>
        </w:r>
      </w:hyperlink>
      <w:r>
        <w:t xml:space="preserve"> </w:t>
      </w:r>
    </w:p>
    <w:p w14:paraId="7B704CF4" w14:textId="77777777" w:rsidR="004E47CF" w:rsidRDefault="004E47CF" w:rsidP="004E47CF">
      <w:pPr>
        <w:pStyle w:val="CommentText"/>
      </w:pPr>
    </w:p>
    <w:p w14:paraId="6203CE7D" w14:textId="77777777" w:rsidR="004E47CF" w:rsidRDefault="00000000" w:rsidP="004E47CF">
      <w:pPr>
        <w:pStyle w:val="CommentText"/>
      </w:pPr>
      <w:hyperlink r:id="rId6" w:history="1">
        <w:r w:rsidR="004E47CF" w:rsidRPr="00AF0BF1">
          <w:rPr>
            <w:rStyle w:val="Hyperlink"/>
          </w:rPr>
          <w:t>Media quarantine - Czech National Bank</w:t>
        </w:r>
      </w:hyperlink>
      <w:r w:rsidR="004E47CF">
        <w:t xml:space="preserve"> </w:t>
      </w:r>
    </w:p>
  </w:comment>
  <w:comment w:id="36" w:author="Marek Petrus" w:date="2024-11-25T23:02:00Z" w:initials="MP">
    <w:p w14:paraId="2C73A55B" w14:textId="5BFC0D10" w:rsidR="0026549A" w:rsidRDefault="005129D9" w:rsidP="0026549A">
      <w:r>
        <w:rPr>
          <w:rStyle w:val="CommentReference"/>
        </w:rPr>
        <w:annotationRef/>
      </w:r>
      <w:r w:rsidR="0026549A">
        <w:rPr>
          <w:sz w:val="20"/>
          <w:szCs w:val="20"/>
        </w:rPr>
        <w:t>This is a picture cut out from a paper. Could we please have this recreated for the online course, adding — as suggested by Ales in the below comment — CNB and Riksbank to the first column, along with BoE?</w:t>
      </w:r>
    </w:p>
  </w:comment>
  <w:comment w:id="38" w:author="Bulir, Ales" w:date="2024-11-23T15:55:00Z" w:initials="BA">
    <w:p w14:paraId="3A17FA86" w14:textId="71800DEE" w:rsidR="00614107" w:rsidRDefault="00C5618D">
      <w:pPr>
        <w:pStyle w:val="CommentText"/>
      </w:pPr>
      <w:r>
        <w:rPr>
          <w:rStyle w:val="CommentReference"/>
        </w:rPr>
        <w:annotationRef/>
      </w:r>
      <w:r w:rsidRPr="2D05428F">
        <w:t>Please add CNB and Riksbank to the first column, with BoE</w:t>
      </w:r>
    </w:p>
  </w:comment>
  <w:comment w:id="39" w:author="Lee, Amy [2]" w:date="2024-12-04T13:58:00Z" w:initials="LA">
    <w:p w14:paraId="34D172A6" w14:textId="77777777" w:rsidR="00C03687" w:rsidRDefault="00C03687" w:rsidP="00C03687">
      <w:pPr>
        <w:pStyle w:val="CommentText"/>
      </w:pPr>
      <w:r>
        <w:rPr>
          <w:rStyle w:val="CommentReference"/>
        </w:rPr>
        <w:annotationRef/>
      </w:r>
      <w:hyperlink r:id="rId7" w:history="1">
        <w:r w:rsidRPr="007D75A6">
          <w:rPr>
            <w:rStyle w:val="Hyperlink"/>
          </w:rPr>
          <w:t>mpc boe communication guidance.pdf</w:t>
        </w:r>
      </w:hyperlink>
      <w:r>
        <w:t xml:space="preserve"> </w:t>
      </w:r>
    </w:p>
    <w:p w14:paraId="6228245E" w14:textId="77777777" w:rsidR="00C03687" w:rsidRDefault="00C03687" w:rsidP="00C03687">
      <w:pPr>
        <w:pStyle w:val="CommentText"/>
      </w:pPr>
    </w:p>
    <w:p w14:paraId="2743C3EC" w14:textId="77777777" w:rsidR="00C03687" w:rsidRDefault="00000000" w:rsidP="00C03687">
      <w:pPr>
        <w:pStyle w:val="CommentText"/>
      </w:pPr>
      <w:hyperlink r:id="rId8" w:history="1">
        <w:r w:rsidR="00C03687" w:rsidRPr="007D75A6">
          <w:rPr>
            <w:rStyle w:val="Hyperlink"/>
          </w:rPr>
          <w:t>https://www.bankofengland.co.uk/-/media/boe/files/about/mpc/mpccoc.pdf</w:t>
        </w:r>
      </w:hyperlink>
    </w:p>
  </w:comment>
  <w:comment w:id="40" w:author="Editor" w:date="2024-12-04T09:45:00Z" w:initials="ED">
    <w:p w14:paraId="634A38E1" w14:textId="05767C9A" w:rsidR="00B2384B" w:rsidRDefault="00B2384B" w:rsidP="00B2384B">
      <w:pPr>
        <w:pStyle w:val="CommentText"/>
      </w:pPr>
      <w:r>
        <w:rPr>
          <w:rStyle w:val="CommentReference"/>
        </w:rPr>
        <w:annotationRef/>
      </w:r>
      <w:r>
        <w:rPr>
          <w:lang w:val="en-CA"/>
        </w:rPr>
        <w:t>Looks better here, since ‘Sveriges’ means ‘Sweden’. Avoids saying Sweden Sweden.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C3E7234" w15:done="0"/>
  <w15:commentEx w15:paraId="6A90B5BA" w15:done="0"/>
  <w15:commentEx w15:paraId="3E6215BF" w15:done="0"/>
  <w15:commentEx w15:paraId="6203CE7D" w15:done="0"/>
  <w15:commentEx w15:paraId="2C73A55B" w15:done="0"/>
  <w15:commentEx w15:paraId="3A17FA86" w15:done="1"/>
  <w15:commentEx w15:paraId="2743C3EC" w15:done="0"/>
  <w15:commentEx w15:paraId="634A38E1"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A55E839" w16cex:dateUtc="2024-08-01T14:55:00Z"/>
  <w16cex:commentExtensible w16cex:durableId="2A55EE4A" w16cex:dateUtc="2024-08-01T15:21:00Z"/>
  <w16cex:commentExtensible w16cex:durableId="2AFAD72E" w16cex:dateUtc="2024-12-04T18:27:00Z"/>
  <w16cex:commentExtensible w16cex:durableId="2AFAD754" w16cex:dateUtc="2024-12-04T18:27:00Z"/>
  <w16cex:commentExtensible w16cex:durableId="6A07F6D1" w16cex:dateUtc="2024-11-25T22:02:00Z">
    <w16cex:extLst>
      <w16:ext w16:uri="{CE6994B0-6A32-4C9F-8C6B-6E91EDA988CE}">
        <cr:reactions xmlns:cr="http://schemas.microsoft.com/office/comments/2020/reactions">
          <cr:reaction reactionType="1">
            <cr:reactionInfo dateUtc="2024-11-26T15:47:46Z">
              <cr:user userId="S::alee3@imf.org::6942191a-ea20-4ae6-880d-28d4899c466e" userProvider="AD" userName="Lee, Amy"/>
            </cr:reactionInfo>
          </cr:reaction>
        </cr:reactions>
      </w16:ext>
    </w16cex:extLst>
  </w16cex:commentExtensible>
  <w16cex:commentExtensible w16cex:durableId="3BB4B383" w16cex:dateUtc="2024-11-23T14:55:00Z"/>
  <w16cex:commentExtensible w16cex:durableId="2AFADE98" w16cex:dateUtc="2024-12-04T18:58:00Z"/>
  <w16cex:commentExtensible w16cex:durableId="333DED52" w16cex:dateUtc="2024-12-04T02: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C3E7234" w16cid:durableId="2A55E839"/>
  <w16cid:commentId w16cid:paraId="6A90B5BA" w16cid:durableId="2A55EE4A"/>
  <w16cid:commentId w16cid:paraId="3E6215BF" w16cid:durableId="2AFAD72E"/>
  <w16cid:commentId w16cid:paraId="6203CE7D" w16cid:durableId="2AFAD754"/>
  <w16cid:commentId w16cid:paraId="2C73A55B" w16cid:durableId="6A07F6D1"/>
  <w16cid:commentId w16cid:paraId="3A17FA86" w16cid:durableId="3BB4B383"/>
  <w16cid:commentId w16cid:paraId="2743C3EC" w16cid:durableId="2AFADE98"/>
  <w16cid:commentId w16cid:paraId="634A38E1" w16cid:durableId="333DED5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B379D5" w14:textId="77777777" w:rsidR="00566493" w:rsidRDefault="00566493" w:rsidP="000B7010">
      <w:pPr>
        <w:spacing w:line="240" w:lineRule="auto"/>
      </w:pPr>
      <w:r>
        <w:separator/>
      </w:r>
    </w:p>
  </w:endnote>
  <w:endnote w:type="continuationSeparator" w:id="0">
    <w:p w14:paraId="55B09535" w14:textId="77777777" w:rsidR="00566493" w:rsidRDefault="00566493" w:rsidP="000B7010">
      <w:pPr>
        <w:spacing w:line="240" w:lineRule="auto"/>
      </w:pPr>
      <w:r>
        <w:continuationSeparator/>
      </w:r>
    </w:p>
  </w:endnote>
  <w:endnote w:type="continuationNotice" w:id="1">
    <w:p w14:paraId="5815AA03" w14:textId="77777777" w:rsidR="00566493" w:rsidRDefault="00566493">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pleSystemUIFont">
    <w:altName w:val="Cambria"/>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Helvetica Neue">
    <w:altName w:val="Sylfaen"/>
    <w:charset w:val="00"/>
    <w:family w:val="auto"/>
    <w:pitch w:val="variable"/>
    <w:sig w:usb0="E50002FF" w:usb1="500079DB" w:usb2="00000010" w:usb3="00000000" w:csb0="00000001" w:csb1="00000000"/>
  </w:font>
  <w:font w:name="Helvetica">
    <w:panose1 w:val="020B0604020202020204"/>
    <w:charset w:val="00"/>
    <w:family w:val="swiss"/>
    <w:pitch w:val="variable"/>
    <w:sig w:usb0="00000003" w:usb1="00000000" w:usb2="00000000" w:usb3="00000000" w:csb0="00000001" w:csb1="00000000"/>
  </w:font>
  <w:font w:name="Sylfaen">
    <w:panose1 w:val="010A0502050306030303"/>
    <w:charset w:val="00"/>
    <w:family w:val="roman"/>
    <w:pitch w:val="variable"/>
    <w:sig w:usb0="04000687" w:usb1="00000000" w:usb2="00000000" w:usb3="00000000" w:csb0="000000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DC2D50" w14:textId="51D5796D" w:rsidR="00BB7F0B" w:rsidRDefault="00BB7F0B" w:rsidP="0008038F">
    <w:pPr>
      <w:pStyle w:val="Footer"/>
      <w:tabs>
        <w:tab w:val="clear" w:pos="4320"/>
        <w:tab w:val="clear" w:pos="8640"/>
        <w:tab w:val="left" w:pos="2785"/>
      </w:tabs>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3E1514" w14:textId="77777777" w:rsidR="00566493" w:rsidRDefault="00566493" w:rsidP="000B7010">
      <w:pPr>
        <w:spacing w:line="240" w:lineRule="auto"/>
      </w:pPr>
      <w:r>
        <w:separator/>
      </w:r>
    </w:p>
  </w:footnote>
  <w:footnote w:type="continuationSeparator" w:id="0">
    <w:p w14:paraId="3AED0D2B" w14:textId="77777777" w:rsidR="00566493" w:rsidRDefault="00566493" w:rsidP="000B7010">
      <w:pPr>
        <w:spacing w:line="240" w:lineRule="auto"/>
      </w:pPr>
      <w:r>
        <w:continuationSeparator/>
      </w:r>
    </w:p>
  </w:footnote>
  <w:footnote w:type="continuationNotice" w:id="1">
    <w:p w14:paraId="494E2547" w14:textId="77777777" w:rsidR="00566493" w:rsidRDefault="00566493">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16349" w14:textId="1843A3D1" w:rsidR="00201BAE" w:rsidRDefault="00201BAE" w:rsidP="00201BAE">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42E2ED" w14:textId="77777777" w:rsidR="005F722E" w:rsidRDefault="005F722E" w:rsidP="005F722E">
    <w:pPr>
      <w:pStyle w:val="Header"/>
      <w:jc w:val="center"/>
    </w:pP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1F9E495C"/>
    <w:lvl w:ilvl="0">
      <w:start w:val="1"/>
      <w:numFmt w:val="bullet"/>
      <w:pStyle w:val="ListBullet5"/>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FB72F900"/>
    <w:lvl w:ilvl="0">
      <w:start w:val="1"/>
      <w:numFmt w:val="bullet"/>
      <w:pStyle w:val="ListBullet4"/>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695C684A"/>
    <w:lvl w:ilvl="0">
      <w:start w:val="1"/>
      <w:numFmt w:val="bullet"/>
      <w:pStyle w:val="ListBullet3"/>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D976226E"/>
    <w:lvl w:ilvl="0">
      <w:start w:val="1"/>
      <w:numFmt w:val="bullet"/>
      <w:pStyle w:val="ListBullet2"/>
      <w:lvlText w:val=""/>
      <w:lvlJc w:val="left"/>
      <w:pPr>
        <w:tabs>
          <w:tab w:val="num" w:pos="720"/>
        </w:tabs>
        <w:ind w:left="720" w:hanging="360"/>
      </w:pPr>
      <w:rPr>
        <w:rFonts w:ascii="Symbol" w:hAnsi="Symbol" w:hint="default"/>
      </w:rPr>
    </w:lvl>
  </w:abstractNum>
  <w:abstractNum w:abstractNumId="4" w15:restartNumberingAfterBreak="0">
    <w:nsid w:val="FFFFFF88"/>
    <w:multiLevelType w:val="singleLevel"/>
    <w:tmpl w:val="AB906120"/>
    <w:lvl w:ilvl="0">
      <w:start w:val="1"/>
      <w:numFmt w:val="decimal"/>
      <w:pStyle w:val="ListNumber"/>
      <w:lvlText w:val="%1."/>
      <w:lvlJc w:val="left"/>
      <w:pPr>
        <w:tabs>
          <w:tab w:val="num" w:pos="360"/>
        </w:tabs>
        <w:ind w:left="360" w:hanging="360"/>
      </w:pPr>
    </w:lvl>
  </w:abstractNum>
  <w:abstractNum w:abstractNumId="5" w15:restartNumberingAfterBreak="0">
    <w:nsid w:val="FFFFFF89"/>
    <w:multiLevelType w:val="singleLevel"/>
    <w:tmpl w:val="5704B746"/>
    <w:lvl w:ilvl="0">
      <w:start w:val="1"/>
      <w:numFmt w:val="bullet"/>
      <w:pStyle w:val="ListBullet"/>
      <w:lvlText w:val=""/>
      <w:lvlJc w:val="left"/>
      <w:pPr>
        <w:tabs>
          <w:tab w:val="num" w:pos="360"/>
        </w:tabs>
        <w:ind w:left="360" w:hanging="360"/>
      </w:pPr>
      <w:rPr>
        <w:rFonts w:ascii="Symbol" w:hAnsi="Symbol" w:hint="default"/>
      </w:rPr>
    </w:lvl>
  </w:abstractNum>
  <w:abstractNum w:abstractNumId="6"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2A77EBD"/>
    <w:multiLevelType w:val="hybridMultilevel"/>
    <w:tmpl w:val="A3F2FB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5571CCE"/>
    <w:multiLevelType w:val="hybridMultilevel"/>
    <w:tmpl w:val="2B14255A"/>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0F4D3C7C"/>
    <w:multiLevelType w:val="multilevel"/>
    <w:tmpl w:val="65107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1E705B0"/>
    <w:multiLevelType w:val="multilevel"/>
    <w:tmpl w:val="E3EA10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3E01DE1"/>
    <w:multiLevelType w:val="hybridMultilevel"/>
    <w:tmpl w:val="61E64B98"/>
    <w:lvl w:ilvl="0" w:tplc="2CD6538A">
      <w:start w:val="1"/>
      <w:numFmt w:val="bullet"/>
      <w:lvlText w:val="-"/>
      <w:lvlJc w:val="left"/>
      <w:pPr>
        <w:ind w:left="720" w:hanging="360"/>
      </w:pPr>
      <w:rPr>
        <w:rFonts w:ascii="Arial" w:eastAsiaTheme="minorHAnsi" w:hAnsi="Arial" w:cs="Aria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4105CA9"/>
    <w:multiLevelType w:val="hybridMultilevel"/>
    <w:tmpl w:val="20AE2F2C"/>
    <w:lvl w:ilvl="0" w:tplc="0409000F">
      <w:start w:val="1"/>
      <w:numFmt w:val="decimal"/>
      <w:lvlText w:val="%1."/>
      <w:lvlJc w:val="left"/>
      <w:pPr>
        <w:tabs>
          <w:tab w:val="num" w:pos="810"/>
        </w:tabs>
        <w:ind w:left="90" w:firstLine="0"/>
      </w:pPr>
      <w:rPr>
        <w:rFonts w:hint="default"/>
        <w:b/>
        <w:bCs/>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14FC45CA"/>
    <w:multiLevelType w:val="hybridMultilevel"/>
    <w:tmpl w:val="47E0D3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50E6D22"/>
    <w:multiLevelType w:val="hybridMultilevel"/>
    <w:tmpl w:val="68BA1826"/>
    <w:lvl w:ilvl="0" w:tplc="2FCACCA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69625DC"/>
    <w:multiLevelType w:val="multilevel"/>
    <w:tmpl w:val="5306A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99475B0"/>
    <w:multiLevelType w:val="hybridMultilevel"/>
    <w:tmpl w:val="2E1093B2"/>
    <w:lvl w:ilvl="0" w:tplc="C9565F80">
      <w:start w:val="1"/>
      <w:numFmt w:val="lowerLetter"/>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19B55EB9"/>
    <w:multiLevelType w:val="hybridMultilevel"/>
    <w:tmpl w:val="5E36C3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1A8802E3"/>
    <w:multiLevelType w:val="hybridMultilevel"/>
    <w:tmpl w:val="DF3A4410"/>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1C517A15"/>
    <w:multiLevelType w:val="hybridMultilevel"/>
    <w:tmpl w:val="1D9C6BE6"/>
    <w:lvl w:ilvl="0" w:tplc="00000001">
      <w:start w:val="1"/>
      <w:numFmt w:val="bullet"/>
      <w:lvlText w:val="•"/>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1E097F6F"/>
    <w:multiLevelType w:val="multilevel"/>
    <w:tmpl w:val="16BA4C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2FE2F4A"/>
    <w:multiLevelType w:val="hybridMultilevel"/>
    <w:tmpl w:val="C0A891BA"/>
    <w:lvl w:ilvl="0" w:tplc="FFFFFFFF">
      <w:start w:val="1"/>
      <w:numFmt w:val="lowerLetter"/>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2BD36CE4"/>
    <w:multiLevelType w:val="hybridMultilevel"/>
    <w:tmpl w:val="C0A891BA"/>
    <w:lvl w:ilvl="0" w:tplc="FFFFFFFF">
      <w:start w:val="1"/>
      <w:numFmt w:val="lowerLetter"/>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2D0C653D"/>
    <w:multiLevelType w:val="hybridMultilevel"/>
    <w:tmpl w:val="0AEEA7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DC63993"/>
    <w:multiLevelType w:val="hybridMultilevel"/>
    <w:tmpl w:val="C0A891BA"/>
    <w:lvl w:ilvl="0" w:tplc="04090019">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0155033"/>
    <w:multiLevelType w:val="hybridMultilevel"/>
    <w:tmpl w:val="42F06486"/>
    <w:lvl w:ilvl="0" w:tplc="FFFFFFFF">
      <w:start w:val="1"/>
      <w:numFmt w:val="decimal"/>
      <w:lvlText w:val="%1."/>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03222E0"/>
    <w:multiLevelType w:val="hybridMultilevel"/>
    <w:tmpl w:val="5A6EC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08F2413"/>
    <w:multiLevelType w:val="hybridMultilevel"/>
    <w:tmpl w:val="56A2EE70"/>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31AC5838"/>
    <w:multiLevelType w:val="hybridMultilevel"/>
    <w:tmpl w:val="644072D2"/>
    <w:lvl w:ilvl="0" w:tplc="3EFE1482">
      <w:start w:val="1"/>
      <w:numFmt w:val="decimal"/>
      <w:lvlText w:val="%1."/>
      <w:lvlJc w:val="left"/>
      <w:pPr>
        <w:ind w:left="1440" w:hanging="360"/>
      </w:pPr>
    </w:lvl>
    <w:lvl w:ilvl="1" w:tplc="36549D50">
      <w:start w:val="1"/>
      <w:numFmt w:val="decimal"/>
      <w:lvlText w:val="%2."/>
      <w:lvlJc w:val="left"/>
      <w:pPr>
        <w:ind w:left="1440" w:hanging="360"/>
      </w:pPr>
    </w:lvl>
    <w:lvl w:ilvl="2" w:tplc="8460F6D2">
      <w:start w:val="1"/>
      <w:numFmt w:val="decimal"/>
      <w:lvlText w:val="%3."/>
      <w:lvlJc w:val="left"/>
      <w:pPr>
        <w:ind w:left="1440" w:hanging="360"/>
      </w:pPr>
    </w:lvl>
    <w:lvl w:ilvl="3" w:tplc="7480B77E">
      <w:start w:val="1"/>
      <w:numFmt w:val="decimal"/>
      <w:lvlText w:val="%4."/>
      <w:lvlJc w:val="left"/>
      <w:pPr>
        <w:ind w:left="1440" w:hanging="360"/>
      </w:pPr>
    </w:lvl>
    <w:lvl w:ilvl="4" w:tplc="EE840414">
      <w:start w:val="1"/>
      <w:numFmt w:val="decimal"/>
      <w:lvlText w:val="%5."/>
      <w:lvlJc w:val="left"/>
      <w:pPr>
        <w:ind w:left="1440" w:hanging="360"/>
      </w:pPr>
    </w:lvl>
    <w:lvl w:ilvl="5" w:tplc="E87EAA3E">
      <w:start w:val="1"/>
      <w:numFmt w:val="decimal"/>
      <w:lvlText w:val="%6."/>
      <w:lvlJc w:val="left"/>
      <w:pPr>
        <w:ind w:left="1440" w:hanging="360"/>
      </w:pPr>
    </w:lvl>
    <w:lvl w:ilvl="6" w:tplc="877E71D6">
      <w:start w:val="1"/>
      <w:numFmt w:val="decimal"/>
      <w:lvlText w:val="%7."/>
      <w:lvlJc w:val="left"/>
      <w:pPr>
        <w:ind w:left="1440" w:hanging="360"/>
      </w:pPr>
    </w:lvl>
    <w:lvl w:ilvl="7" w:tplc="C324DB6C">
      <w:start w:val="1"/>
      <w:numFmt w:val="decimal"/>
      <w:lvlText w:val="%8."/>
      <w:lvlJc w:val="left"/>
      <w:pPr>
        <w:ind w:left="1440" w:hanging="360"/>
      </w:pPr>
    </w:lvl>
    <w:lvl w:ilvl="8" w:tplc="726AAA66">
      <w:start w:val="1"/>
      <w:numFmt w:val="decimal"/>
      <w:lvlText w:val="%9."/>
      <w:lvlJc w:val="left"/>
      <w:pPr>
        <w:ind w:left="1440" w:hanging="360"/>
      </w:pPr>
    </w:lvl>
  </w:abstractNum>
  <w:abstractNum w:abstractNumId="29" w15:restartNumberingAfterBreak="0">
    <w:nsid w:val="33782E22"/>
    <w:multiLevelType w:val="hybridMultilevel"/>
    <w:tmpl w:val="2E1093B2"/>
    <w:lvl w:ilvl="0" w:tplc="FFFFFFFF">
      <w:start w:val="1"/>
      <w:numFmt w:val="lowerLetter"/>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340A1A7C"/>
    <w:multiLevelType w:val="hybridMultilevel"/>
    <w:tmpl w:val="15104AC8"/>
    <w:lvl w:ilvl="0" w:tplc="C4B8700C">
      <w:start w:val="1"/>
      <w:numFmt w:val="lowerLetter"/>
      <w:lvlText w:val="%1."/>
      <w:lvlJc w:val="left"/>
      <w:pPr>
        <w:ind w:left="360" w:firstLine="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48D4902"/>
    <w:multiLevelType w:val="hybridMultilevel"/>
    <w:tmpl w:val="C39E3004"/>
    <w:lvl w:ilvl="0" w:tplc="04090001">
      <w:start w:val="1"/>
      <w:numFmt w:val="bullet"/>
      <w:lvlText w:val=""/>
      <w:lvlJc w:val="left"/>
      <w:pPr>
        <w:ind w:left="785" w:hanging="360"/>
      </w:pPr>
      <w:rPr>
        <w:rFonts w:ascii="Symbol" w:hAnsi="Symbol" w:hint="default"/>
      </w:rPr>
    </w:lvl>
    <w:lvl w:ilvl="1" w:tplc="04090003">
      <w:start w:val="1"/>
      <w:numFmt w:val="bullet"/>
      <w:lvlText w:val="o"/>
      <w:lvlJc w:val="left"/>
      <w:pPr>
        <w:ind w:left="1505" w:hanging="360"/>
      </w:pPr>
      <w:rPr>
        <w:rFonts w:ascii="Courier New" w:hAnsi="Courier New" w:cs="Courier New" w:hint="default"/>
      </w:rPr>
    </w:lvl>
    <w:lvl w:ilvl="2" w:tplc="04090005">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32" w15:restartNumberingAfterBreak="0">
    <w:nsid w:val="35BA6BAB"/>
    <w:multiLevelType w:val="hybridMultilevel"/>
    <w:tmpl w:val="2A8EE39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35E140CE"/>
    <w:multiLevelType w:val="hybridMultilevel"/>
    <w:tmpl w:val="E1E6CB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737504A"/>
    <w:multiLevelType w:val="hybridMultilevel"/>
    <w:tmpl w:val="FFFFFFFF"/>
    <w:lvl w:ilvl="0" w:tplc="D08ADBD2">
      <w:start w:val="1"/>
      <w:numFmt w:val="bullet"/>
      <w:lvlText w:val=""/>
      <w:lvlJc w:val="left"/>
      <w:pPr>
        <w:ind w:left="720" w:hanging="360"/>
      </w:pPr>
      <w:rPr>
        <w:rFonts w:ascii="Symbol" w:hAnsi="Symbol" w:hint="default"/>
      </w:rPr>
    </w:lvl>
    <w:lvl w:ilvl="1" w:tplc="9F2CFFA6">
      <w:start w:val="1"/>
      <w:numFmt w:val="bullet"/>
      <w:lvlText w:val="o"/>
      <w:lvlJc w:val="left"/>
      <w:pPr>
        <w:ind w:left="1440" w:hanging="360"/>
      </w:pPr>
      <w:rPr>
        <w:rFonts w:ascii="Courier New" w:hAnsi="Courier New" w:hint="default"/>
      </w:rPr>
    </w:lvl>
    <w:lvl w:ilvl="2" w:tplc="14FEC532">
      <w:start w:val="1"/>
      <w:numFmt w:val="bullet"/>
      <w:lvlText w:val=""/>
      <w:lvlJc w:val="left"/>
      <w:pPr>
        <w:ind w:left="2160" w:hanging="360"/>
      </w:pPr>
      <w:rPr>
        <w:rFonts w:ascii="Wingdings" w:hAnsi="Wingdings" w:hint="default"/>
      </w:rPr>
    </w:lvl>
    <w:lvl w:ilvl="3" w:tplc="BDDE6758">
      <w:start w:val="1"/>
      <w:numFmt w:val="bullet"/>
      <w:lvlText w:val=""/>
      <w:lvlJc w:val="left"/>
      <w:pPr>
        <w:ind w:left="2880" w:hanging="360"/>
      </w:pPr>
      <w:rPr>
        <w:rFonts w:ascii="Symbol" w:hAnsi="Symbol" w:hint="default"/>
      </w:rPr>
    </w:lvl>
    <w:lvl w:ilvl="4" w:tplc="F98AB0C2">
      <w:start w:val="1"/>
      <w:numFmt w:val="bullet"/>
      <w:lvlText w:val="o"/>
      <w:lvlJc w:val="left"/>
      <w:pPr>
        <w:ind w:left="3600" w:hanging="360"/>
      </w:pPr>
      <w:rPr>
        <w:rFonts w:ascii="Courier New" w:hAnsi="Courier New" w:hint="default"/>
      </w:rPr>
    </w:lvl>
    <w:lvl w:ilvl="5" w:tplc="A126D300">
      <w:start w:val="1"/>
      <w:numFmt w:val="bullet"/>
      <w:lvlText w:val=""/>
      <w:lvlJc w:val="left"/>
      <w:pPr>
        <w:ind w:left="4320" w:hanging="360"/>
      </w:pPr>
      <w:rPr>
        <w:rFonts w:ascii="Wingdings" w:hAnsi="Wingdings" w:hint="default"/>
      </w:rPr>
    </w:lvl>
    <w:lvl w:ilvl="6" w:tplc="5EAA03AE">
      <w:start w:val="1"/>
      <w:numFmt w:val="bullet"/>
      <w:lvlText w:val=""/>
      <w:lvlJc w:val="left"/>
      <w:pPr>
        <w:ind w:left="5040" w:hanging="360"/>
      </w:pPr>
      <w:rPr>
        <w:rFonts w:ascii="Symbol" w:hAnsi="Symbol" w:hint="default"/>
      </w:rPr>
    </w:lvl>
    <w:lvl w:ilvl="7" w:tplc="80F84334">
      <w:start w:val="1"/>
      <w:numFmt w:val="bullet"/>
      <w:lvlText w:val="o"/>
      <w:lvlJc w:val="left"/>
      <w:pPr>
        <w:ind w:left="5760" w:hanging="360"/>
      </w:pPr>
      <w:rPr>
        <w:rFonts w:ascii="Courier New" w:hAnsi="Courier New" w:hint="default"/>
      </w:rPr>
    </w:lvl>
    <w:lvl w:ilvl="8" w:tplc="B5FAC80A">
      <w:start w:val="1"/>
      <w:numFmt w:val="bullet"/>
      <w:lvlText w:val=""/>
      <w:lvlJc w:val="left"/>
      <w:pPr>
        <w:ind w:left="6480" w:hanging="360"/>
      </w:pPr>
      <w:rPr>
        <w:rFonts w:ascii="Wingdings" w:hAnsi="Wingdings" w:hint="default"/>
      </w:rPr>
    </w:lvl>
  </w:abstractNum>
  <w:abstractNum w:abstractNumId="35" w15:restartNumberingAfterBreak="0">
    <w:nsid w:val="3825304F"/>
    <w:multiLevelType w:val="hybridMultilevel"/>
    <w:tmpl w:val="BE46F7BC"/>
    <w:lvl w:ilvl="0" w:tplc="36EC4A8E">
      <w:start w:val="1"/>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39EB228E"/>
    <w:multiLevelType w:val="hybridMultilevel"/>
    <w:tmpl w:val="A3FED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AEB1A62"/>
    <w:multiLevelType w:val="hybridMultilevel"/>
    <w:tmpl w:val="A668929C"/>
    <w:lvl w:ilvl="0" w:tplc="0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3EE63B09"/>
    <w:multiLevelType w:val="multilevel"/>
    <w:tmpl w:val="1068E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F0F72C7"/>
    <w:multiLevelType w:val="hybridMultilevel"/>
    <w:tmpl w:val="4C0829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09A2549"/>
    <w:multiLevelType w:val="hybridMultilevel"/>
    <w:tmpl w:val="4C0829D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40B4770B"/>
    <w:multiLevelType w:val="hybridMultilevel"/>
    <w:tmpl w:val="8A0ED94C"/>
    <w:lvl w:ilvl="0" w:tplc="3D02C762">
      <w:start w:val="1"/>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421C5D61"/>
    <w:multiLevelType w:val="hybridMultilevel"/>
    <w:tmpl w:val="2A8EE3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423C33D5"/>
    <w:multiLevelType w:val="multilevel"/>
    <w:tmpl w:val="6EAC1C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245141B"/>
    <w:multiLevelType w:val="hybridMultilevel"/>
    <w:tmpl w:val="12803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3FC4C3B"/>
    <w:multiLevelType w:val="hybridMultilevel"/>
    <w:tmpl w:val="C0A891BA"/>
    <w:lvl w:ilvl="0" w:tplc="FFFFFFFF">
      <w:start w:val="1"/>
      <w:numFmt w:val="lowerLetter"/>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 w15:restartNumberingAfterBreak="0">
    <w:nsid w:val="47071B1A"/>
    <w:multiLevelType w:val="hybridMultilevel"/>
    <w:tmpl w:val="365254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7FC43EA"/>
    <w:multiLevelType w:val="hybridMultilevel"/>
    <w:tmpl w:val="A90E06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4A363EDD"/>
    <w:multiLevelType w:val="multilevel"/>
    <w:tmpl w:val="DF044E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1AD1E19"/>
    <w:multiLevelType w:val="hybridMultilevel"/>
    <w:tmpl w:val="13585E26"/>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0" w15:restartNumberingAfterBreak="0">
    <w:nsid w:val="56BA5B88"/>
    <w:multiLevelType w:val="hybridMultilevel"/>
    <w:tmpl w:val="7E760F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5CE038A8"/>
    <w:multiLevelType w:val="multilevel"/>
    <w:tmpl w:val="8DCC35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0560A1C"/>
    <w:multiLevelType w:val="hybridMultilevel"/>
    <w:tmpl w:val="AD12165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3" w15:restartNumberingAfterBreak="0">
    <w:nsid w:val="643043E3"/>
    <w:multiLevelType w:val="multilevel"/>
    <w:tmpl w:val="1ED8A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60B1010"/>
    <w:multiLevelType w:val="hybridMultilevel"/>
    <w:tmpl w:val="C0A891BA"/>
    <w:lvl w:ilvl="0" w:tplc="FFFFFFFF">
      <w:start w:val="1"/>
      <w:numFmt w:val="lowerLetter"/>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5" w15:restartNumberingAfterBreak="0">
    <w:nsid w:val="66830794"/>
    <w:multiLevelType w:val="multilevel"/>
    <w:tmpl w:val="CB2270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7896154"/>
    <w:multiLevelType w:val="hybridMultilevel"/>
    <w:tmpl w:val="B8AAC9F2"/>
    <w:lvl w:ilvl="0" w:tplc="E296382E">
      <w:start w:val="1"/>
      <w:numFmt w:val="decimal"/>
      <w:lvlText w:val="%1."/>
      <w:lvlJc w:val="left"/>
      <w:pPr>
        <w:ind w:left="720" w:hanging="360"/>
      </w:pPr>
    </w:lvl>
    <w:lvl w:ilvl="1" w:tplc="CFD0E034">
      <w:start w:val="1"/>
      <w:numFmt w:val="lowerLetter"/>
      <w:lvlText w:val="%2."/>
      <w:lvlJc w:val="left"/>
      <w:pPr>
        <w:ind w:left="1440" w:hanging="360"/>
      </w:pPr>
    </w:lvl>
    <w:lvl w:ilvl="2" w:tplc="BA62CA6A">
      <w:start w:val="1"/>
      <w:numFmt w:val="lowerRoman"/>
      <w:lvlText w:val="%3."/>
      <w:lvlJc w:val="right"/>
      <w:pPr>
        <w:ind w:left="2160" w:hanging="180"/>
      </w:pPr>
    </w:lvl>
    <w:lvl w:ilvl="3" w:tplc="D3E800A2">
      <w:start w:val="1"/>
      <w:numFmt w:val="decimal"/>
      <w:lvlText w:val="%4."/>
      <w:lvlJc w:val="left"/>
      <w:pPr>
        <w:ind w:left="2880" w:hanging="360"/>
      </w:pPr>
    </w:lvl>
    <w:lvl w:ilvl="4" w:tplc="B4140F58">
      <w:start w:val="1"/>
      <w:numFmt w:val="lowerLetter"/>
      <w:lvlText w:val="%5."/>
      <w:lvlJc w:val="left"/>
      <w:pPr>
        <w:ind w:left="3600" w:hanging="360"/>
      </w:pPr>
    </w:lvl>
    <w:lvl w:ilvl="5" w:tplc="FC6C80AC">
      <w:start w:val="1"/>
      <w:numFmt w:val="lowerRoman"/>
      <w:lvlText w:val="%6."/>
      <w:lvlJc w:val="right"/>
      <w:pPr>
        <w:ind w:left="4320" w:hanging="180"/>
      </w:pPr>
    </w:lvl>
    <w:lvl w:ilvl="6" w:tplc="D39E1610">
      <w:start w:val="1"/>
      <w:numFmt w:val="decimal"/>
      <w:lvlText w:val="%7."/>
      <w:lvlJc w:val="left"/>
      <w:pPr>
        <w:ind w:left="5040" w:hanging="360"/>
      </w:pPr>
    </w:lvl>
    <w:lvl w:ilvl="7" w:tplc="B77C8A98">
      <w:start w:val="1"/>
      <w:numFmt w:val="lowerLetter"/>
      <w:lvlText w:val="%8."/>
      <w:lvlJc w:val="left"/>
      <w:pPr>
        <w:ind w:left="5760" w:hanging="360"/>
      </w:pPr>
    </w:lvl>
    <w:lvl w:ilvl="8" w:tplc="8D16E718">
      <w:start w:val="1"/>
      <w:numFmt w:val="lowerRoman"/>
      <w:lvlText w:val="%9."/>
      <w:lvlJc w:val="right"/>
      <w:pPr>
        <w:ind w:left="6480" w:hanging="180"/>
      </w:pPr>
    </w:lvl>
  </w:abstractNum>
  <w:abstractNum w:abstractNumId="57" w15:restartNumberingAfterBreak="0">
    <w:nsid w:val="714F3C7A"/>
    <w:multiLevelType w:val="hybridMultilevel"/>
    <w:tmpl w:val="B0F2D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75F050BE"/>
    <w:multiLevelType w:val="hybridMultilevel"/>
    <w:tmpl w:val="20D04D2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7E7116D0"/>
    <w:multiLevelType w:val="multilevel"/>
    <w:tmpl w:val="B7AA75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EF6B3E0"/>
    <w:multiLevelType w:val="hybridMultilevel"/>
    <w:tmpl w:val="FFFFFFFF"/>
    <w:lvl w:ilvl="0" w:tplc="D4D2257A">
      <w:start w:val="1"/>
      <w:numFmt w:val="bullet"/>
      <w:lvlText w:val=""/>
      <w:lvlJc w:val="left"/>
      <w:pPr>
        <w:ind w:left="720" w:hanging="360"/>
      </w:pPr>
      <w:rPr>
        <w:rFonts w:ascii="Symbol" w:hAnsi="Symbol" w:hint="default"/>
      </w:rPr>
    </w:lvl>
    <w:lvl w:ilvl="1" w:tplc="1D466836">
      <w:start w:val="1"/>
      <w:numFmt w:val="bullet"/>
      <w:lvlText w:val="o"/>
      <w:lvlJc w:val="left"/>
      <w:pPr>
        <w:ind w:left="1440" w:hanging="360"/>
      </w:pPr>
      <w:rPr>
        <w:rFonts w:ascii="Courier New" w:hAnsi="Courier New" w:hint="default"/>
      </w:rPr>
    </w:lvl>
    <w:lvl w:ilvl="2" w:tplc="3D207C28">
      <w:start w:val="1"/>
      <w:numFmt w:val="bullet"/>
      <w:lvlText w:val=""/>
      <w:lvlJc w:val="left"/>
      <w:pPr>
        <w:ind w:left="2160" w:hanging="360"/>
      </w:pPr>
      <w:rPr>
        <w:rFonts w:ascii="Wingdings" w:hAnsi="Wingdings" w:hint="default"/>
      </w:rPr>
    </w:lvl>
    <w:lvl w:ilvl="3" w:tplc="A9024EAC">
      <w:start w:val="1"/>
      <w:numFmt w:val="bullet"/>
      <w:lvlText w:val=""/>
      <w:lvlJc w:val="left"/>
      <w:pPr>
        <w:ind w:left="2880" w:hanging="360"/>
      </w:pPr>
      <w:rPr>
        <w:rFonts w:ascii="Symbol" w:hAnsi="Symbol" w:hint="default"/>
      </w:rPr>
    </w:lvl>
    <w:lvl w:ilvl="4" w:tplc="B29EF328">
      <w:start w:val="1"/>
      <w:numFmt w:val="bullet"/>
      <w:lvlText w:val="o"/>
      <w:lvlJc w:val="left"/>
      <w:pPr>
        <w:ind w:left="3600" w:hanging="360"/>
      </w:pPr>
      <w:rPr>
        <w:rFonts w:ascii="Courier New" w:hAnsi="Courier New" w:hint="default"/>
      </w:rPr>
    </w:lvl>
    <w:lvl w:ilvl="5" w:tplc="E662CEA2">
      <w:start w:val="1"/>
      <w:numFmt w:val="bullet"/>
      <w:lvlText w:val=""/>
      <w:lvlJc w:val="left"/>
      <w:pPr>
        <w:ind w:left="4320" w:hanging="360"/>
      </w:pPr>
      <w:rPr>
        <w:rFonts w:ascii="Wingdings" w:hAnsi="Wingdings" w:hint="default"/>
      </w:rPr>
    </w:lvl>
    <w:lvl w:ilvl="6" w:tplc="B80878FE">
      <w:start w:val="1"/>
      <w:numFmt w:val="bullet"/>
      <w:lvlText w:val=""/>
      <w:lvlJc w:val="left"/>
      <w:pPr>
        <w:ind w:left="5040" w:hanging="360"/>
      </w:pPr>
      <w:rPr>
        <w:rFonts w:ascii="Symbol" w:hAnsi="Symbol" w:hint="default"/>
      </w:rPr>
    </w:lvl>
    <w:lvl w:ilvl="7" w:tplc="389879D4">
      <w:start w:val="1"/>
      <w:numFmt w:val="bullet"/>
      <w:lvlText w:val="o"/>
      <w:lvlJc w:val="left"/>
      <w:pPr>
        <w:ind w:left="5760" w:hanging="360"/>
      </w:pPr>
      <w:rPr>
        <w:rFonts w:ascii="Courier New" w:hAnsi="Courier New" w:hint="default"/>
      </w:rPr>
    </w:lvl>
    <w:lvl w:ilvl="8" w:tplc="164CAEF0">
      <w:start w:val="1"/>
      <w:numFmt w:val="bullet"/>
      <w:lvlText w:val=""/>
      <w:lvlJc w:val="left"/>
      <w:pPr>
        <w:ind w:left="6480" w:hanging="360"/>
      </w:pPr>
      <w:rPr>
        <w:rFonts w:ascii="Wingdings" w:hAnsi="Wingdings" w:hint="default"/>
      </w:rPr>
    </w:lvl>
  </w:abstractNum>
  <w:abstractNum w:abstractNumId="61" w15:restartNumberingAfterBreak="0">
    <w:nsid w:val="7F66349F"/>
    <w:multiLevelType w:val="hybridMultilevel"/>
    <w:tmpl w:val="0B1CB67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75284579">
    <w:abstractNumId w:val="34"/>
  </w:num>
  <w:num w:numId="2" w16cid:durableId="76171282">
    <w:abstractNumId w:val="56"/>
  </w:num>
  <w:num w:numId="3" w16cid:durableId="787355778">
    <w:abstractNumId w:val="5"/>
  </w:num>
  <w:num w:numId="4" w16cid:durableId="553735496">
    <w:abstractNumId w:val="3"/>
  </w:num>
  <w:num w:numId="5" w16cid:durableId="1377967879">
    <w:abstractNumId w:val="2"/>
  </w:num>
  <w:num w:numId="6" w16cid:durableId="1129396061">
    <w:abstractNumId w:val="1"/>
  </w:num>
  <w:num w:numId="7" w16cid:durableId="2102336460">
    <w:abstractNumId w:val="0"/>
  </w:num>
  <w:num w:numId="8" w16cid:durableId="1803890365">
    <w:abstractNumId w:val="4"/>
  </w:num>
  <w:num w:numId="9" w16cid:durableId="733551217">
    <w:abstractNumId w:val="36"/>
  </w:num>
  <w:num w:numId="10" w16cid:durableId="1490246918">
    <w:abstractNumId w:val="42"/>
  </w:num>
  <w:num w:numId="11" w16cid:durableId="1410613366">
    <w:abstractNumId w:val="32"/>
  </w:num>
  <w:num w:numId="12" w16cid:durableId="1715084456">
    <w:abstractNumId w:val="12"/>
  </w:num>
  <w:num w:numId="13" w16cid:durableId="1481771596">
    <w:abstractNumId w:val="47"/>
  </w:num>
  <w:num w:numId="14" w16cid:durableId="8335544">
    <w:abstractNumId w:val="25"/>
  </w:num>
  <w:num w:numId="15" w16cid:durableId="92895161">
    <w:abstractNumId w:val="7"/>
  </w:num>
  <w:num w:numId="16" w16cid:durableId="1500543378">
    <w:abstractNumId w:val="33"/>
  </w:num>
  <w:num w:numId="17" w16cid:durableId="675419713">
    <w:abstractNumId w:val="57"/>
  </w:num>
  <w:num w:numId="18" w16cid:durableId="2114471970">
    <w:abstractNumId w:val="58"/>
  </w:num>
  <w:num w:numId="19" w16cid:durableId="1263612999">
    <w:abstractNumId w:val="37"/>
  </w:num>
  <w:num w:numId="20" w16cid:durableId="1943030846">
    <w:abstractNumId w:val="31"/>
  </w:num>
  <w:num w:numId="21" w16cid:durableId="1647975340">
    <w:abstractNumId w:val="46"/>
  </w:num>
  <w:num w:numId="22" w16cid:durableId="604272017">
    <w:abstractNumId w:val="27"/>
  </w:num>
  <w:num w:numId="23" w16cid:durableId="1109357108">
    <w:abstractNumId w:val="61"/>
  </w:num>
  <w:num w:numId="24" w16cid:durableId="1907766000">
    <w:abstractNumId w:val="30"/>
  </w:num>
  <w:num w:numId="25" w16cid:durableId="1054549690">
    <w:abstractNumId w:val="24"/>
  </w:num>
  <w:num w:numId="26" w16cid:durableId="409742898">
    <w:abstractNumId w:val="52"/>
  </w:num>
  <w:num w:numId="27" w16cid:durableId="51539277">
    <w:abstractNumId w:val="6"/>
  </w:num>
  <w:num w:numId="28" w16cid:durableId="935676457">
    <w:abstractNumId w:val="45"/>
  </w:num>
  <w:num w:numId="29" w16cid:durableId="2015837010">
    <w:abstractNumId w:val="54"/>
  </w:num>
  <w:num w:numId="30" w16cid:durableId="478887853">
    <w:abstractNumId w:val="35"/>
  </w:num>
  <w:num w:numId="31" w16cid:durableId="635110013">
    <w:abstractNumId w:val="41"/>
  </w:num>
  <w:num w:numId="32" w16cid:durableId="1275406725">
    <w:abstractNumId w:val="11"/>
  </w:num>
  <w:num w:numId="33" w16cid:durableId="1470828536">
    <w:abstractNumId w:val="50"/>
  </w:num>
  <w:num w:numId="34" w16cid:durableId="248195231">
    <w:abstractNumId w:val="13"/>
  </w:num>
  <w:num w:numId="35" w16cid:durableId="643395654">
    <w:abstractNumId w:val="16"/>
  </w:num>
  <w:num w:numId="36" w16cid:durableId="2050758454">
    <w:abstractNumId w:val="53"/>
  </w:num>
  <w:num w:numId="37" w16cid:durableId="1805734560">
    <w:abstractNumId w:val="17"/>
  </w:num>
  <w:num w:numId="38" w16cid:durableId="1258365253">
    <w:abstractNumId w:val="5"/>
  </w:num>
  <w:num w:numId="39" w16cid:durableId="1223559880">
    <w:abstractNumId w:val="5"/>
  </w:num>
  <w:num w:numId="40" w16cid:durableId="532814847">
    <w:abstractNumId w:val="5"/>
  </w:num>
  <w:num w:numId="41" w16cid:durableId="1192108768">
    <w:abstractNumId w:val="22"/>
  </w:num>
  <w:num w:numId="42" w16cid:durableId="582177760">
    <w:abstractNumId w:val="23"/>
  </w:num>
  <w:num w:numId="43" w16cid:durableId="1749377818">
    <w:abstractNumId w:val="26"/>
  </w:num>
  <w:num w:numId="44" w16cid:durableId="469985040">
    <w:abstractNumId w:val="14"/>
  </w:num>
  <w:num w:numId="45" w16cid:durableId="787047237">
    <w:abstractNumId w:val="8"/>
  </w:num>
  <w:num w:numId="46" w16cid:durableId="1408265236">
    <w:abstractNumId w:val="19"/>
  </w:num>
  <w:num w:numId="47" w16cid:durableId="1954439986">
    <w:abstractNumId w:val="21"/>
  </w:num>
  <w:num w:numId="48" w16cid:durableId="1418939887">
    <w:abstractNumId w:val="28"/>
  </w:num>
  <w:num w:numId="49" w16cid:durableId="159855277">
    <w:abstractNumId w:val="44"/>
  </w:num>
  <w:num w:numId="50" w16cid:durableId="1827941179">
    <w:abstractNumId w:val="39"/>
  </w:num>
  <w:num w:numId="51" w16cid:durableId="1197307890">
    <w:abstractNumId w:val="60"/>
  </w:num>
  <w:num w:numId="52" w16cid:durableId="1184398158">
    <w:abstractNumId w:val="9"/>
  </w:num>
  <w:num w:numId="53" w16cid:durableId="1953635164">
    <w:abstractNumId w:val="15"/>
  </w:num>
  <w:num w:numId="54" w16cid:durableId="1056395481">
    <w:abstractNumId w:val="43"/>
  </w:num>
  <w:num w:numId="55" w16cid:durableId="48039987">
    <w:abstractNumId w:val="48"/>
  </w:num>
  <w:num w:numId="56" w16cid:durableId="1626539106">
    <w:abstractNumId w:val="38"/>
  </w:num>
  <w:num w:numId="57" w16cid:durableId="878128491">
    <w:abstractNumId w:val="51"/>
  </w:num>
  <w:num w:numId="58" w16cid:durableId="639727759">
    <w:abstractNumId w:val="10"/>
  </w:num>
  <w:num w:numId="59" w16cid:durableId="472213423">
    <w:abstractNumId w:val="20"/>
  </w:num>
  <w:num w:numId="60" w16cid:durableId="41028808">
    <w:abstractNumId w:val="55"/>
  </w:num>
  <w:num w:numId="61" w16cid:durableId="1808472232">
    <w:abstractNumId w:val="49"/>
  </w:num>
  <w:num w:numId="62" w16cid:durableId="773015251">
    <w:abstractNumId w:val="40"/>
  </w:num>
  <w:num w:numId="63" w16cid:durableId="2011565377">
    <w:abstractNumId w:val="29"/>
  </w:num>
  <w:num w:numId="64" w16cid:durableId="1632058471">
    <w:abstractNumId w:val="18"/>
  </w:num>
  <w:num w:numId="65" w16cid:durableId="1979800826">
    <w:abstractNumId w:val="59"/>
  </w:num>
  <w:numIdMacAtCleanup w:val="6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ee, Amy">
    <w15:presenceInfo w15:providerId="AD" w15:userId="S::alee3@imf.org::6942191a-ea20-4ae6-880d-28d4899c466e"/>
  </w15:person>
  <w15:person w15:author="Lee, Amy [2]">
    <w15:presenceInfo w15:providerId="AD" w15:userId="S::ALee3@imf.org::6942191a-ea20-4ae6-880d-28d4899c466e"/>
  </w15:person>
  <w15:person w15:author="Marek Petrus">
    <w15:presenceInfo w15:providerId="AD" w15:userId="S::marek.petrus@pedersenandpartners.com::567afa86-eb31-4086-a03a-56c8649f451e"/>
  </w15:person>
  <w15:person w15:author="Bulir, Ales">
    <w15:presenceInfo w15:providerId="AD" w15:userId="S::abulir@imf.org::d27dfaa2-7035-4cf8-bb28-3fe62663571d"/>
  </w15:person>
  <w15:person w15:author="Editor">
    <w15:presenceInfo w15:providerId="None" w15:userId="Edit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F0B"/>
    <w:rsid w:val="00000052"/>
    <w:rsid w:val="000000FD"/>
    <w:rsid w:val="000002AB"/>
    <w:rsid w:val="00000344"/>
    <w:rsid w:val="00000745"/>
    <w:rsid w:val="000011FA"/>
    <w:rsid w:val="00001387"/>
    <w:rsid w:val="0000145D"/>
    <w:rsid w:val="0000165B"/>
    <w:rsid w:val="00001A37"/>
    <w:rsid w:val="00001A63"/>
    <w:rsid w:val="00001A76"/>
    <w:rsid w:val="00001FA7"/>
    <w:rsid w:val="000026FA"/>
    <w:rsid w:val="00002945"/>
    <w:rsid w:val="00003312"/>
    <w:rsid w:val="000033EC"/>
    <w:rsid w:val="00003519"/>
    <w:rsid w:val="00003DCC"/>
    <w:rsid w:val="00004715"/>
    <w:rsid w:val="0000491F"/>
    <w:rsid w:val="00004C10"/>
    <w:rsid w:val="00004CEE"/>
    <w:rsid w:val="00005591"/>
    <w:rsid w:val="00006196"/>
    <w:rsid w:val="00006737"/>
    <w:rsid w:val="00006A17"/>
    <w:rsid w:val="00006E26"/>
    <w:rsid w:val="000070B9"/>
    <w:rsid w:val="0000771E"/>
    <w:rsid w:val="0000774F"/>
    <w:rsid w:val="00007F42"/>
    <w:rsid w:val="00010067"/>
    <w:rsid w:val="00010944"/>
    <w:rsid w:val="00010A2D"/>
    <w:rsid w:val="00010E87"/>
    <w:rsid w:val="00011270"/>
    <w:rsid w:val="00011FF1"/>
    <w:rsid w:val="00012134"/>
    <w:rsid w:val="0001225F"/>
    <w:rsid w:val="000128A7"/>
    <w:rsid w:val="00012C5E"/>
    <w:rsid w:val="00012E74"/>
    <w:rsid w:val="00013216"/>
    <w:rsid w:val="00013DD3"/>
    <w:rsid w:val="00014D0B"/>
    <w:rsid w:val="00014D15"/>
    <w:rsid w:val="00014E6D"/>
    <w:rsid w:val="00014F4B"/>
    <w:rsid w:val="00015404"/>
    <w:rsid w:val="00016275"/>
    <w:rsid w:val="000166E6"/>
    <w:rsid w:val="00016C6B"/>
    <w:rsid w:val="00016E23"/>
    <w:rsid w:val="00017464"/>
    <w:rsid w:val="00017C68"/>
    <w:rsid w:val="00020825"/>
    <w:rsid w:val="00020AA7"/>
    <w:rsid w:val="00020D26"/>
    <w:rsid w:val="00020DA5"/>
    <w:rsid w:val="000218BA"/>
    <w:rsid w:val="00021FE0"/>
    <w:rsid w:val="0002214E"/>
    <w:rsid w:val="000224BB"/>
    <w:rsid w:val="0002281A"/>
    <w:rsid w:val="0002285D"/>
    <w:rsid w:val="00023114"/>
    <w:rsid w:val="0002321A"/>
    <w:rsid w:val="000235AA"/>
    <w:rsid w:val="00023B0E"/>
    <w:rsid w:val="00023EF5"/>
    <w:rsid w:val="000245AF"/>
    <w:rsid w:val="00025144"/>
    <w:rsid w:val="00025A55"/>
    <w:rsid w:val="00025BEE"/>
    <w:rsid w:val="00026BB2"/>
    <w:rsid w:val="0002713D"/>
    <w:rsid w:val="0002793F"/>
    <w:rsid w:val="00027A66"/>
    <w:rsid w:val="00027BCC"/>
    <w:rsid w:val="00027BE1"/>
    <w:rsid w:val="00027D99"/>
    <w:rsid w:val="00030547"/>
    <w:rsid w:val="00030B03"/>
    <w:rsid w:val="00031CBB"/>
    <w:rsid w:val="00031E29"/>
    <w:rsid w:val="00032867"/>
    <w:rsid w:val="00032A44"/>
    <w:rsid w:val="00032D8F"/>
    <w:rsid w:val="00033178"/>
    <w:rsid w:val="0003340A"/>
    <w:rsid w:val="0003366F"/>
    <w:rsid w:val="00033968"/>
    <w:rsid w:val="00033B85"/>
    <w:rsid w:val="00033F0A"/>
    <w:rsid w:val="00034384"/>
    <w:rsid w:val="00034B77"/>
    <w:rsid w:val="00034E51"/>
    <w:rsid w:val="00034EA6"/>
    <w:rsid w:val="00035245"/>
    <w:rsid w:val="000353B5"/>
    <w:rsid w:val="00035488"/>
    <w:rsid w:val="00035B66"/>
    <w:rsid w:val="00035D02"/>
    <w:rsid w:val="0003613F"/>
    <w:rsid w:val="0003631F"/>
    <w:rsid w:val="0003668B"/>
    <w:rsid w:val="000370FD"/>
    <w:rsid w:val="0003732F"/>
    <w:rsid w:val="000374E8"/>
    <w:rsid w:val="00037810"/>
    <w:rsid w:val="00037BC9"/>
    <w:rsid w:val="00037EE9"/>
    <w:rsid w:val="000404E7"/>
    <w:rsid w:val="00040B85"/>
    <w:rsid w:val="000411C6"/>
    <w:rsid w:val="000411E9"/>
    <w:rsid w:val="00042045"/>
    <w:rsid w:val="00042ADF"/>
    <w:rsid w:val="00042C70"/>
    <w:rsid w:val="00042E17"/>
    <w:rsid w:val="00042EDE"/>
    <w:rsid w:val="000430DA"/>
    <w:rsid w:val="000437EE"/>
    <w:rsid w:val="0004381E"/>
    <w:rsid w:val="00043839"/>
    <w:rsid w:val="00043BAE"/>
    <w:rsid w:val="00043BDC"/>
    <w:rsid w:val="00043E1B"/>
    <w:rsid w:val="000445A3"/>
    <w:rsid w:val="000445B7"/>
    <w:rsid w:val="00044F4E"/>
    <w:rsid w:val="0004505A"/>
    <w:rsid w:val="000451D5"/>
    <w:rsid w:val="00045551"/>
    <w:rsid w:val="0004556D"/>
    <w:rsid w:val="000458AB"/>
    <w:rsid w:val="00046264"/>
    <w:rsid w:val="00046328"/>
    <w:rsid w:val="00046371"/>
    <w:rsid w:val="00046483"/>
    <w:rsid w:val="00046961"/>
    <w:rsid w:val="00046E0F"/>
    <w:rsid w:val="00047140"/>
    <w:rsid w:val="00047195"/>
    <w:rsid w:val="00047501"/>
    <w:rsid w:val="00047A6F"/>
    <w:rsid w:val="00047B48"/>
    <w:rsid w:val="00051F47"/>
    <w:rsid w:val="00052234"/>
    <w:rsid w:val="0005269E"/>
    <w:rsid w:val="00052763"/>
    <w:rsid w:val="00052F3D"/>
    <w:rsid w:val="00053F91"/>
    <w:rsid w:val="00054253"/>
    <w:rsid w:val="0005430F"/>
    <w:rsid w:val="000546C4"/>
    <w:rsid w:val="00055388"/>
    <w:rsid w:val="000557BC"/>
    <w:rsid w:val="00055CDB"/>
    <w:rsid w:val="00055DC6"/>
    <w:rsid w:val="00055E9A"/>
    <w:rsid w:val="00056A4E"/>
    <w:rsid w:val="00056AB9"/>
    <w:rsid w:val="00056C70"/>
    <w:rsid w:val="00056D57"/>
    <w:rsid w:val="000570E0"/>
    <w:rsid w:val="0005741A"/>
    <w:rsid w:val="000577BC"/>
    <w:rsid w:val="000601E0"/>
    <w:rsid w:val="00060BA6"/>
    <w:rsid w:val="00061BAB"/>
    <w:rsid w:val="0006236B"/>
    <w:rsid w:val="00062E23"/>
    <w:rsid w:val="00063352"/>
    <w:rsid w:val="00063A89"/>
    <w:rsid w:val="00063C94"/>
    <w:rsid w:val="00063CED"/>
    <w:rsid w:val="00063E99"/>
    <w:rsid w:val="00064001"/>
    <w:rsid w:val="00064640"/>
    <w:rsid w:val="000646BA"/>
    <w:rsid w:val="00064D03"/>
    <w:rsid w:val="00065400"/>
    <w:rsid w:val="0006595A"/>
    <w:rsid w:val="000659B7"/>
    <w:rsid w:val="00066222"/>
    <w:rsid w:val="000673D5"/>
    <w:rsid w:val="000676FD"/>
    <w:rsid w:val="000677F4"/>
    <w:rsid w:val="00070D04"/>
    <w:rsid w:val="00070E3D"/>
    <w:rsid w:val="000719CE"/>
    <w:rsid w:val="00071F78"/>
    <w:rsid w:val="00071F89"/>
    <w:rsid w:val="00072134"/>
    <w:rsid w:val="00072594"/>
    <w:rsid w:val="000726C9"/>
    <w:rsid w:val="00072836"/>
    <w:rsid w:val="000733DF"/>
    <w:rsid w:val="00073568"/>
    <w:rsid w:val="00073B04"/>
    <w:rsid w:val="00073C12"/>
    <w:rsid w:val="00073D6F"/>
    <w:rsid w:val="00073DDB"/>
    <w:rsid w:val="000742F2"/>
    <w:rsid w:val="0007440B"/>
    <w:rsid w:val="00074A45"/>
    <w:rsid w:val="00074C52"/>
    <w:rsid w:val="00075606"/>
    <w:rsid w:val="00075A86"/>
    <w:rsid w:val="00075A9C"/>
    <w:rsid w:val="000763C2"/>
    <w:rsid w:val="0007673A"/>
    <w:rsid w:val="00076A01"/>
    <w:rsid w:val="00077407"/>
    <w:rsid w:val="0007752F"/>
    <w:rsid w:val="00077A8A"/>
    <w:rsid w:val="00077EAB"/>
    <w:rsid w:val="00080060"/>
    <w:rsid w:val="000800F5"/>
    <w:rsid w:val="0008038F"/>
    <w:rsid w:val="0008115C"/>
    <w:rsid w:val="000812E7"/>
    <w:rsid w:val="000815A3"/>
    <w:rsid w:val="00081717"/>
    <w:rsid w:val="00081988"/>
    <w:rsid w:val="00081FC5"/>
    <w:rsid w:val="00082305"/>
    <w:rsid w:val="000831F4"/>
    <w:rsid w:val="00083286"/>
    <w:rsid w:val="00083D08"/>
    <w:rsid w:val="00083DEF"/>
    <w:rsid w:val="00083F61"/>
    <w:rsid w:val="000851A7"/>
    <w:rsid w:val="00085801"/>
    <w:rsid w:val="00085F7F"/>
    <w:rsid w:val="00086105"/>
    <w:rsid w:val="0008665D"/>
    <w:rsid w:val="000869A6"/>
    <w:rsid w:val="00087349"/>
    <w:rsid w:val="00087526"/>
    <w:rsid w:val="00087B5B"/>
    <w:rsid w:val="00087B83"/>
    <w:rsid w:val="00087D2B"/>
    <w:rsid w:val="00087EFD"/>
    <w:rsid w:val="00090662"/>
    <w:rsid w:val="0009068D"/>
    <w:rsid w:val="000906CC"/>
    <w:rsid w:val="00090C7A"/>
    <w:rsid w:val="000910F2"/>
    <w:rsid w:val="00091506"/>
    <w:rsid w:val="00091689"/>
    <w:rsid w:val="000918D9"/>
    <w:rsid w:val="00091DAC"/>
    <w:rsid w:val="0009298B"/>
    <w:rsid w:val="00092D84"/>
    <w:rsid w:val="000937DF"/>
    <w:rsid w:val="000938E0"/>
    <w:rsid w:val="00093A0D"/>
    <w:rsid w:val="00093BAD"/>
    <w:rsid w:val="00093F3C"/>
    <w:rsid w:val="00094551"/>
    <w:rsid w:val="0009545B"/>
    <w:rsid w:val="00095FC8"/>
    <w:rsid w:val="00096547"/>
    <w:rsid w:val="00096713"/>
    <w:rsid w:val="000969F0"/>
    <w:rsid w:val="00096F0C"/>
    <w:rsid w:val="00097650"/>
    <w:rsid w:val="0009769C"/>
    <w:rsid w:val="000A0620"/>
    <w:rsid w:val="000A0D70"/>
    <w:rsid w:val="000A0D8C"/>
    <w:rsid w:val="000A189E"/>
    <w:rsid w:val="000A1AEE"/>
    <w:rsid w:val="000A1BF1"/>
    <w:rsid w:val="000A2044"/>
    <w:rsid w:val="000A2086"/>
    <w:rsid w:val="000A279B"/>
    <w:rsid w:val="000A2BF3"/>
    <w:rsid w:val="000A2F86"/>
    <w:rsid w:val="000A3957"/>
    <w:rsid w:val="000A45A3"/>
    <w:rsid w:val="000A47CF"/>
    <w:rsid w:val="000A48E6"/>
    <w:rsid w:val="000A579A"/>
    <w:rsid w:val="000A5AC6"/>
    <w:rsid w:val="000A6157"/>
    <w:rsid w:val="000A6953"/>
    <w:rsid w:val="000A6A72"/>
    <w:rsid w:val="000A6B8E"/>
    <w:rsid w:val="000A70AF"/>
    <w:rsid w:val="000A7F44"/>
    <w:rsid w:val="000B051D"/>
    <w:rsid w:val="000B12B8"/>
    <w:rsid w:val="000B13D3"/>
    <w:rsid w:val="000B1545"/>
    <w:rsid w:val="000B19DE"/>
    <w:rsid w:val="000B19FA"/>
    <w:rsid w:val="000B1A40"/>
    <w:rsid w:val="000B1BB5"/>
    <w:rsid w:val="000B23B3"/>
    <w:rsid w:val="000B27D3"/>
    <w:rsid w:val="000B2CDE"/>
    <w:rsid w:val="000B2F7C"/>
    <w:rsid w:val="000B3014"/>
    <w:rsid w:val="000B3214"/>
    <w:rsid w:val="000B3355"/>
    <w:rsid w:val="000B46D3"/>
    <w:rsid w:val="000B4F50"/>
    <w:rsid w:val="000B4F80"/>
    <w:rsid w:val="000B532C"/>
    <w:rsid w:val="000B541F"/>
    <w:rsid w:val="000B55DE"/>
    <w:rsid w:val="000B57E5"/>
    <w:rsid w:val="000B5CBC"/>
    <w:rsid w:val="000B6168"/>
    <w:rsid w:val="000B6A54"/>
    <w:rsid w:val="000B7010"/>
    <w:rsid w:val="000B7444"/>
    <w:rsid w:val="000B7F4B"/>
    <w:rsid w:val="000C0A7F"/>
    <w:rsid w:val="000C0AD4"/>
    <w:rsid w:val="000C10C9"/>
    <w:rsid w:val="000C110B"/>
    <w:rsid w:val="000C11B4"/>
    <w:rsid w:val="000C12BD"/>
    <w:rsid w:val="000C13E9"/>
    <w:rsid w:val="000C15DF"/>
    <w:rsid w:val="000C1AA4"/>
    <w:rsid w:val="000C1BA8"/>
    <w:rsid w:val="000C1BCF"/>
    <w:rsid w:val="000C22E0"/>
    <w:rsid w:val="000C2383"/>
    <w:rsid w:val="000C24B2"/>
    <w:rsid w:val="000C2571"/>
    <w:rsid w:val="000C2580"/>
    <w:rsid w:val="000C260E"/>
    <w:rsid w:val="000C2D1E"/>
    <w:rsid w:val="000C2FBF"/>
    <w:rsid w:val="000C319C"/>
    <w:rsid w:val="000C3636"/>
    <w:rsid w:val="000C3E20"/>
    <w:rsid w:val="000C40A1"/>
    <w:rsid w:val="000C43A6"/>
    <w:rsid w:val="000C4902"/>
    <w:rsid w:val="000C49DD"/>
    <w:rsid w:val="000C4AC9"/>
    <w:rsid w:val="000C52FA"/>
    <w:rsid w:val="000C546E"/>
    <w:rsid w:val="000C5477"/>
    <w:rsid w:val="000C5A0B"/>
    <w:rsid w:val="000C6142"/>
    <w:rsid w:val="000C63A2"/>
    <w:rsid w:val="000C65F0"/>
    <w:rsid w:val="000C66CA"/>
    <w:rsid w:val="000C687E"/>
    <w:rsid w:val="000C6D48"/>
    <w:rsid w:val="000C6D8C"/>
    <w:rsid w:val="000C6E7D"/>
    <w:rsid w:val="000D0B78"/>
    <w:rsid w:val="000D1011"/>
    <w:rsid w:val="000D105A"/>
    <w:rsid w:val="000D14CD"/>
    <w:rsid w:val="000D1920"/>
    <w:rsid w:val="000D2029"/>
    <w:rsid w:val="000D2B2A"/>
    <w:rsid w:val="000D2F79"/>
    <w:rsid w:val="000D319C"/>
    <w:rsid w:val="000D381C"/>
    <w:rsid w:val="000D3B0F"/>
    <w:rsid w:val="000D3C6C"/>
    <w:rsid w:val="000D3E28"/>
    <w:rsid w:val="000D418A"/>
    <w:rsid w:val="000D4580"/>
    <w:rsid w:val="000D496A"/>
    <w:rsid w:val="000D57A9"/>
    <w:rsid w:val="000D5921"/>
    <w:rsid w:val="000D5A99"/>
    <w:rsid w:val="000D664F"/>
    <w:rsid w:val="000D6773"/>
    <w:rsid w:val="000D69DC"/>
    <w:rsid w:val="000D6C5E"/>
    <w:rsid w:val="000D6E31"/>
    <w:rsid w:val="000D7385"/>
    <w:rsid w:val="000D772A"/>
    <w:rsid w:val="000D7AE0"/>
    <w:rsid w:val="000D7BBD"/>
    <w:rsid w:val="000D7E6B"/>
    <w:rsid w:val="000DA086"/>
    <w:rsid w:val="000E02F9"/>
    <w:rsid w:val="000E07F8"/>
    <w:rsid w:val="000E106B"/>
    <w:rsid w:val="000E1557"/>
    <w:rsid w:val="000E1659"/>
    <w:rsid w:val="000E1B04"/>
    <w:rsid w:val="000E291C"/>
    <w:rsid w:val="000E2F19"/>
    <w:rsid w:val="000E2F88"/>
    <w:rsid w:val="000E3350"/>
    <w:rsid w:val="000E344C"/>
    <w:rsid w:val="000E356C"/>
    <w:rsid w:val="000E3A8C"/>
    <w:rsid w:val="000E41CF"/>
    <w:rsid w:val="000E4387"/>
    <w:rsid w:val="000E445D"/>
    <w:rsid w:val="000E459F"/>
    <w:rsid w:val="000E46FB"/>
    <w:rsid w:val="000E4D84"/>
    <w:rsid w:val="000E516A"/>
    <w:rsid w:val="000E52CC"/>
    <w:rsid w:val="000E5372"/>
    <w:rsid w:val="000E5632"/>
    <w:rsid w:val="000E5926"/>
    <w:rsid w:val="000E5E42"/>
    <w:rsid w:val="000E614D"/>
    <w:rsid w:val="000E6226"/>
    <w:rsid w:val="000E784D"/>
    <w:rsid w:val="000F0055"/>
    <w:rsid w:val="000F0268"/>
    <w:rsid w:val="000F0478"/>
    <w:rsid w:val="000F0930"/>
    <w:rsid w:val="000F0986"/>
    <w:rsid w:val="000F0CC4"/>
    <w:rsid w:val="000F199A"/>
    <w:rsid w:val="000F1D05"/>
    <w:rsid w:val="000F21BA"/>
    <w:rsid w:val="000F26B3"/>
    <w:rsid w:val="000F2752"/>
    <w:rsid w:val="000F294B"/>
    <w:rsid w:val="000F2F44"/>
    <w:rsid w:val="000F33A8"/>
    <w:rsid w:val="000F340C"/>
    <w:rsid w:val="000F377B"/>
    <w:rsid w:val="000F3B1B"/>
    <w:rsid w:val="000F3B50"/>
    <w:rsid w:val="000F4441"/>
    <w:rsid w:val="000F494A"/>
    <w:rsid w:val="000F4956"/>
    <w:rsid w:val="000F4987"/>
    <w:rsid w:val="000F4D09"/>
    <w:rsid w:val="000F4D89"/>
    <w:rsid w:val="000F5013"/>
    <w:rsid w:val="000F5EE2"/>
    <w:rsid w:val="000F5F30"/>
    <w:rsid w:val="000F607C"/>
    <w:rsid w:val="000F67EA"/>
    <w:rsid w:val="000F6841"/>
    <w:rsid w:val="000F6844"/>
    <w:rsid w:val="000F6BB9"/>
    <w:rsid w:val="000F7AE9"/>
    <w:rsid w:val="000F7CF8"/>
    <w:rsid w:val="000F7E32"/>
    <w:rsid w:val="000F7E8E"/>
    <w:rsid w:val="0010091D"/>
    <w:rsid w:val="00101759"/>
    <w:rsid w:val="00101AE8"/>
    <w:rsid w:val="00101C0E"/>
    <w:rsid w:val="00101D56"/>
    <w:rsid w:val="00102532"/>
    <w:rsid w:val="0010281B"/>
    <w:rsid w:val="00103FF8"/>
    <w:rsid w:val="0010431D"/>
    <w:rsid w:val="00104D83"/>
    <w:rsid w:val="00105C32"/>
    <w:rsid w:val="001060BC"/>
    <w:rsid w:val="00106396"/>
    <w:rsid w:val="001070C1"/>
    <w:rsid w:val="001071EA"/>
    <w:rsid w:val="001078C6"/>
    <w:rsid w:val="00107B0A"/>
    <w:rsid w:val="00107D21"/>
    <w:rsid w:val="001103E0"/>
    <w:rsid w:val="00110675"/>
    <w:rsid w:val="0011070C"/>
    <w:rsid w:val="0011086E"/>
    <w:rsid w:val="00110A39"/>
    <w:rsid w:val="00110D60"/>
    <w:rsid w:val="001112BE"/>
    <w:rsid w:val="001116B5"/>
    <w:rsid w:val="001116E5"/>
    <w:rsid w:val="001117DF"/>
    <w:rsid w:val="00111ABE"/>
    <w:rsid w:val="00111B66"/>
    <w:rsid w:val="00111C01"/>
    <w:rsid w:val="00112358"/>
    <w:rsid w:val="0011286F"/>
    <w:rsid w:val="00112999"/>
    <w:rsid w:val="00112A54"/>
    <w:rsid w:val="00112BDE"/>
    <w:rsid w:val="00112ECB"/>
    <w:rsid w:val="001131E6"/>
    <w:rsid w:val="00113A94"/>
    <w:rsid w:val="00113B27"/>
    <w:rsid w:val="00114562"/>
    <w:rsid w:val="00114AB5"/>
    <w:rsid w:val="00114B0B"/>
    <w:rsid w:val="00114FC4"/>
    <w:rsid w:val="00115041"/>
    <w:rsid w:val="001151CA"/>
    <w:rsid w:val="0011580F"/>
    <w:rsid w:val="001158E0"/>
    <w:rsid w:val="00115B55"/>
    <w:rsid w:val="00115CA7"/>
    <w:rsid w:val="001160F3"/>
    <w:rsid w:val="0011666E"/>
    <w:rsid w:val="00116AE4"/>
    <w:rsid w:val="001172C8"/>
    <w:rsid w:val="001177CA"/>
    <w:rsid w:val="00117D17"/>
    <w:rsid w:val="001202C5"/>
    <w:rsid w:val="00120891"/>
    <w:rsid w:val="00120B82"/>
    <w:rsid w:val="00120EC0"/>
    <w:rsid w:val="001210E5"/>
    <w:rsid w:val="0012113A"/>
    <w:rsid w:val="00121F64"/>
    <w:rsid w:val="00122D5B"/>
    <w:rsid w:val="00123885"/>
    <w:rsid w:val="001243B4"/>
    <w:rsid w:val="0012490A"/>
    <w:rsid w:val="00124A3A"/>
    <w:rsid w:val="00124BB2"/>
    <w:rsid w:val="00124F74"/>
    <w:rsid w:val="001256EE"/>
    <w:rsid w:val="0012598D"/>
    <w:rsid w:val="00126645"/>
    <w:rsid w:val="001272BC"/>
    <w:rsid w:val="0012786D"/>
    <w:rsid w:val="00127974"/>
    <w:rsid w:val="001279F2"/>
    <w:rsid w:val="00127D58"/>
    <w:rsid w:val="00130FD6"/>
    <w:rsid w:val="001311D8"/>
    <w:rsid w:val="00131512"/>
    <w:rsid w:val="001318BC"/>
    <w:rsid w:val="0013197F"/>
    <w:rsid w:val="00131AB7"/>
    <w:rsid w:val="00131BE6"/>
    <w:rsid w:val="00131FE6"/>
    <w:rsid w:val="001320CF"/>
    <w:rsid w:val="0013269A"/>
    <w:rsid w:val="00132714"/>
    <w:rsid w:val="001327F6"/>
    <w:rsid w:val="00132C95"/>
    <w:rsid w:val="00132D32"/>
    <w:rsid w:val="00133093"/>
    <w:rsid w:val="001331BD"/>
    <w:rsid w:val="0013368B"/>
    <w:rsid w:val="00133AA6"/>
    <w:rsid w:val="00133CDF"/>
    <w:rsid w:val="00133D4D"/>
    <w:rsid w:val="00133D72"/>
    <w:rsid w:val="0013433F"/>
    <w:rsid w:val="00134C17"/>
    <w:rsid w:val="00134EA8"/>
    <w:rsid w:val="00135CD2"/>
    <w:rsid w:val="00135DCB"/>
    <w:rsid w:val="00135F78"/>
    <w:rsid w:val="00135FA2"/>
    <w:rsid w:val="00136285"/>
    <w:rsid w:val="0013628E"/>
    <w:rsid w:val="00136304"/>
    <w:rsid w:val="00136404"/>
    <w:rsid w:val="001368E7"/>
    <w:rsid w:val="001374A7"/>
    <w:rsid w:val="00137C39"/>
    <w:rsid w:val="00137D03"/>
    <w:rsid w:val="00137E20"/>
    <w:rsid w:val="00140290"/>
    <w:rsid w:val="00140915"/>
    <w:rsid w:val="00140C1D"/>
    <w:rsid w:val="00140CE7"/>
    <w:rsid w:val="00140EE9"/>
    <w:rsid w:val="001411C2"/>
    <w:rsid w:val="0014152D"/>
    <w:rsid w:val="00142392"/>
    <w:rsid w:val="0014242D"/>
    <w:rsid w:val="0014331B"/>
    <w:rsid w:val="001437FA"/>
    <w:rsid w:val="001438DE"/>
    <w:rsid w:val="00143EA1"/>
    <w:rsid w:val="00143FD8"/>
    <w:rsid w:val="0014410F"/>
    <w:rsid w:val="00144423"/>
    <w:rsid w:val="0014457B"/>
    <w:rsid w:val="00145612"/>
    <w:rsid w:val="0014583D"/>
    <w:rsid w:val="001459DD"/>
    <w:rsid w:val="00145DCB"/>
    <w:rsid w:val="00145E93"/>
    <w:rsid w:val="001460B5"/>
    <w:rsid w:val="00146222"/>
    <w:rsid w:val="001463A2"/>
    <w:rsid w:val="0014662F"/>
    <w:rsid w:val="001473D7"/>
    <w:rsid w:val="001503E9"/>
    <w:rsid w:val="00150937"/>
    <w:rsid w:val="00150E16"/>
    <w:rsid w:val="001515F3"/>
    <w:rsid w:val="00151807"/>
    <w:rsid w:val="00153065"/>
    <w:rsid w:val="00153829"/>
    <w:rsid w:val="0015423E"/>
    <w:rsid w:val="00154675"/>
    <w:rsid w:val="001548E8"/>
    <w:rsid w:val="00154C05"/>
    <w:rsid w:val="00154E2E"/>
    <w:rsid w:val="00155140"/>
    <w:rsid w:val="0015581A"/>
    <w:rsid w:val="00155BC9"/>
    <w:rsid w:val="00155EEF"/>
    <w:rsid w:val="001570ED"/>
    <w:rsid w:val="001574E0"/>
    <w:rsid w:val="00157B03"/>
    <w:rsid w:val="00157CD8"/>
    <w:rsid w:val="001602EF"/>
    <w:rsid w:val="00160390"/>
    <w:rsid w:val="0016044C"/>
    <w:rsid w:val="00160949"/>
    <w:rsid w:val="001609F6"/>
    <w:rsid w:val="00160F0F"/>
    <w:rsid w:val="0016104E"/>
    <w:rsid w:val="001611C1"/>
    <w:rsid w:val="001613FD"/>
    <w:rsid w:val="00161746"/>
    <w:rsid w:val="00161996"/>
    <w:rsid w:val="001619DF"/>
    <w:rsid w:val="00161B63"/>
    <w:rsid w:val="00161BEB"/>
    <w:rsid w:val="00162DB4"/>
    <w:rsid w:val="00162EAC"/>
    <w:rsid w:val="00163281"/>
    <w:rsid w:val="00163C4C"/>
    <w:rsid w:val="00163D84"/>
    <w:rsid w:val="00164385"/>
    <w:rsid w:val="0016492A"/>
    <w:rsid w:val="00164C6A"/>
    <w:rsid w:val="001650BD"/>
    <w:rsid w:val="001668E1"/>
    <w:rsid w:val="0016692B"/>
    <w:rsid w:val="00166F75"/>
    <w:rsid w:val="00167780"/>
    <w:rsid w:val="00167A8F"/>
    <w:rsid w:val="00167B9C"/>
    <w:rsid w:val="001702AA"/>
    <w:rsid w:val="0017033E"/>
    <w:rsid w:val="00170DE4"/>
    <w:rsid w:val="00170F85"/>
    <w:rsid w:val="00171B26"/>
    <w:rsid w:val="00171DC9"/>
    <w:rsid w:val="0017267E"/>
    <w:rsid w:val="00172B62"/>
    <w:rsid w:val="00172C54"/>
    <w:rsid w:val="001738C4"/>
    <w:rsid w:val="001746EA"/>
    <w:rsid w:val="00174D41"/>
    <w:rsid w:val="001750A2"/>
    <w:rsid w:val="001750F6"/>
    <w:rsid w:val="001753FA"/>
    <w:rsid w:val="00175470"/>
    <w:rsid w:val="001759A6"/>
    <w:rsid w:val="00175A63"/>
    <w:rsid w:val="00175BC9"/>
    <w:rsid w:val="00175FC5"/>
    <w:rsid w:val="00176132"/>
    <w:rsid w:val="00176291"/>
    <w:rsid w:val="00176B71"/>
    <w:rsid w:val="00176DC4"/>
    <w:rsid w:val="0017750E"/>
    <w:rsid w:val="00177525"/>
    <w:rsid w:val="00177727"/>
    <w:rsid w:val="00177E81"/>
    <w:rsid w:val="00180874"/>
    <w:rsid w:val="001808F6"/>
    <w:rsid w:val="001810A0"/>
    <w:rsid w:val="00181342"/>
    <w:rsid w:val="0018199C"/>
    <w:rsid w:val="00181BCA"/>
    <w:rsid w:val="00181ED4"/>
    <w:rsid w:val="001822B9"/>
    <w:rsid w:val="00182856"/>
    <w:rsid w:val="0018296B"/>
    <w:rsid w:val="00182B98"/>
    <w:rsid w:val="00182F4C"/>
    <w:rsid w:val="00183037"/>
    <w:rsid w:val="00183C29"/>
    <w:rsid w:val="0018477C"/>
    <w:rsid w:val="001849C6"/>
    <w:rsid w:val="00184D5A"/>
    <w:rsid w:val="00185017"/>
    <w:rsid w:val="001851C6"/>
    <w:rsid w:val="001860B8"/>
    <w:rsid w:val="0018633B"/>
    <w:rsid w:val="00186475"/>
    <w:rsid w:val="001872C7"/>
    <w:rsid w:val="00187402"/>
    <w:rsid w:val="00187B16"/>
    <w:rsid w:val="00187DCA"/>
    <w:rsid w:val="00190B94"/>
    <w:rsid w:val="00190DAC"/>
    <w:rsid w:val="00191133"/>
    <w:rsid w:val="001917EC"/>
    <w:rsid w:val="00192313"/>
    <w:rsid w:val="00192744"/>
    <w:rsid w:val="00192E91"/>
    <w:rsid w:val="001936CA"/>
    <w:rsid w:val="00193787"/>
    <w:rsid w:val="00193CF9"/>
    <w:rsid w:val="00194090"/>
    <w:rsid w:val="0019420C"/>
    <w:rsid w:val="0019482B"/>
    <w:rsid w:val="00194903"/>
    <w:rsid w:val="00194946"/>
    <w:rsid w:val="0019567A"/>
    <w:rsid w:val="00195BF4"/>
    <w:rsid w:val="001964EC"/>
    <w:rsid w:val="00196FB2"/>
    <w:rsid w:val="0019733E"/>
    <w:rsid w:val="0019A4D5"/>
    <w:rsid w:val="001A0350"/>
    <w:rsid w:val="001A03DA"/>
    <w:rsid w:val="001A0EF3"/>
    <w:rsid w:val="001A1A5C"/>
    <w:rsid w:val="001A213C"/>
    <w:rsid w:val="001A234C"/>
    <w:rsid w:val="001A27DB"/>
    <w:rsid w:val="001A2A1A"/>
    <w:rsid w:val="001A31AA"/>
    <w:rsid w:val="001A3F44"/>
    <w:rsid w:val="001A404D"/>
    <w:rsid w:val="001A4807"/>
    <w:rsid w:val="001A49BD"/>
    <w:rsid w:val="001A4C28"/>
    <w:rsid w:val="001A4D3F"/>
    <w:rsid w:val="001A4F28"/>
    <w:rsid w:val="001A5D95"/>
    <w:rsid w:val="001A5F64"/>
    <w:rsid w:val="001A5F7F"/>
    <w:rsid w:val="001A6899"/>
    <w:rsid w:val="001A6D27"/>
    <w:rsid w:val="001A7317"/>
    <w:rsid w:val="001A7E86"/>
    <w:rsid w:val="001A7F0E"/>
    <w:rsid w:val="001B0443"/>
    <w:rsid w:val="001B08A4"/>
    <w:rsid w:val="001B19E4"/>
    <w:rsid w:val="001B1B50"/>
    <w:rsid w:val="001B1C03"/>
    <w:rsid w:val="001B2E35"/>
    <w:rsid w:val="001B2EFE"/>
    <w:rsid w:val="001B3A5C"/>
    <w:rsid w:val="001B4282"/>
    <w:rsid w:val="001B46F1"/>
    <w:rsid w:val="001B522B"/>
    <w:rsid w:val="001B56ED"/>
    <w:rsid w:val="001B6150"/>
    <w:rsid w:val="001B6D44"/>
    <w:rsid w:val="001B6DD6"/>
    <w:rsid w:val="001B72A2"/>
    <w:rsid w:val="001B74C4"/>
    <w:rsid w:val="001C02F8"/>
    <w:rsid w:val="001C031C"/>
    <w:rsid w:val="001C0686"/>
    <w:rsid w:val="001C0E85"/>
    <w:rsid w:val="001C12DD"/>
    <w:rsid w:val="001C130A"/>
    <w:rsid w:val="001C1636"/>
    <w:rsid w:val="001C16F7"/>
    <w:rsid w:val="001C1E97"/>
    <w:rsid w:val="001C1EBE"/>
    <w:rsid w:val="001C20E6"/>
    <w:rsid w:val="001C2168"/>
    <w:rsid w:val="001C2C2B"/>
    <w:rsid w:val="001C3852"/>
    <w:rsid w:val="001C38ED"/>
    <w:rsid w:val="001C3912"/>
    <w:rsid w:val="001C3A24"/>
    <w:rsid w:val="001C4FF8"/>
    <w:rsid w:val="001C51F6"/>
    <w:rsid w:val="001C5617"/>
    <w:rsid w:val="001C6121"/>
    <w:rsid w:val="001C652A"/>
    <w:rsid w:val="001C7165"/>
    <w:rsid w:val="001C7EFA"/>
    <w:rsid w:val="001D0730"/>
    <w:rsid w:val="001D081E"/>
    <w:rsid w:val="001D0F83"/>
    <w:rsid w:val="001D160C"/>
    <w:rsid w:val="001D1E1C"/>
    <w:rsid w:val="001D24EA"/>
    <w:rsid w:val="001D28B5"/>
    <w:rsid w:val="001D3169"/>
    <w:rsid w:val="001D3901"/>
    <w:rsid w:val="001D3DA8"/>
    <w:rsid w:val="001D3F8C"/>
    <w:rsid w:val="001D4510"/>
    <w:rsid w:val="001D46CD"/>
    <w:rsid w:val="001D495F"/>
    <w:rsid w:val="001D59B3"/>
    <w:rsid w:val="001D6B82"/>
    <w:rsid w:val="001D7085"/>
    <w:rsid w:val="001D7661"/>
    <w:rsid w:val="001D7A11"/>
    <w:rsid w:val="001D7A85"/>
    <w:rsid w:val="001E060D"/>
    <w:rsid w:val="001E0648"/>
    <w:rsid w:val="001E1A6A"/>
    <w:rsid w:val="001E1D63"/>
    <w:rsid w:val="001E2002"/>
    <w:rsid w:val="001E2402"/>
    <w:rsid w:val="001E2BE7"/>
    <w:rsid w:val="001E2F7E"/>
    <w:rsid w:val="001E309D"/>
    <w:rsid w:val="001E3130"/>
    <w:rsid w:val="001E3951"/>
    <w:rsid w:val="001E3A38"/>
    <w:rsid w:val="001E3E27"/>
    <w:rsid w:val="001E4158"/>
    <w:rsid w:val="001E52BA"/>
    <w:rsid w:val="001E5443"/>
    <w:rsid w:val="001E5659"/>
    <w:rsid w:val="001E5E3B"/>
    <w:rsid w:val="001E6549"/>
    <w:rsid w:val="001E7766"/>
    <w:rsid w:val="001E7852"/>
    <w:rsid w:val="001E7BB2"/>
    <w:rsid w:val="001E7C7C"/>
    <w:rsid w:val="001F0025"/>
    <w:rsid w:val="001F059F"/>
    <w:rsid w:val="001F0AEF"/>
    <w:rsid w:val="001F0AF8"/>
    <w:rsid w:val="001F0CE3"/>
    <w:rsid w:val="001F0D20"/>
    <w:rsid w:val="001F140D"/>
    <w:rsid w:val="001F19C0"/>
    <w:rsid w:val="001F366C"/>
    <w:rsid w:val="001F3750"/>
    <w:rsid w:val="001F39E2"/>
    <w:rsid w:val="001F3AEA"/>
    <w:rsid w:val="001F4426"/>
    <w:rsid w:val="001F481F"/>
    <w:rsid w:val="001F5593"/>
    <w:rsid w:val="001F61A6"/>
    <w:rsid w:val="001F68DE"/>
    <w:rsid w:val="00200AF2"/>
    <w:rsid w:val="00201113"/>
    <w:rsid w:val="00201573"/>
    <w:rsid w:val="00201897"/>
    <w:rsid w:val="00201BAE"/>
    <w:rsid w:val="00201E97"/>
    <w:rsid w:val="00202A34"/>
    <w:rsid w:val="00203EF5"/>
    <w:rsid w:val="0020424C"/>
    <w:rsid w:val="00204937"/>
    <w:rsid w:val="00205A45"/>
    <w:rsid w:val="00206071"/>
    <w:rsid w:val="00206087"/>
    <w:rsid w:val="00206093"/>
    <w:rsid w:val="00206E80"/>
    <w:rsid w:val="0020775D"/>
    <w:rsid w:val="00207BFD"/>
    <w:rsid w:val="00207D9A"/>
    <w:rsid w:val="00207F85"/>
    <w:rsid w:val="00210420"/>
    <w:rsid w:val="00210D45"/>
    <w:rsid w:val="00210F4F"/>
    <w:rsid w:val="0021103A"/>
    <w:rsid w:val="0021125E"/>
    <w:rsid w:val="00211938"/>
    <w:rsid w:val="00211E12"/>
    <w:rsid w:val="0021224D"/>
    <w:rsid w:val="0021231A"/>
    <w:rsid w:val="002123FE"/>
    <w:rsid w:val="00212577"/>
    <w:rsid w:val="00212A1C"/>
    <w:rsid w:val="00213779"/>
    <w:rsid w:val="002137C2"/>
    <w:rsid w:val="00213BF8"/>
    <w:rsid w:val="002142B9"/>
    <w:rsid w:val="00214337"/>
    <w:rsid w:val="002143FB"/>
    <w:rsid w:val="0021442F"/>
    <w:rsid w:val="00214935"/>
    <w:rsid w:val="00215601"/>
    <w:rsid w:val="00215B79"/>
    <w:rsid w:val="002160CF"/>
    <w:rsid w:val="00216B96"/>
    <w:rsid w:val="00216BDA"/>
    <w:rsid w:val="00216CD9"/>
    <w:rsid w:val="0021745B"/>
    <w:rsid w:val="00220514"/>
    <w:rsid w:val="00220861"/>
    <w:rsid w:val="0022161C"/>
    <w:rsid w:val="00221B4A"/>
    <w:rsid w:val="00221D9E"/>
    <w:rsid w:val="0022253E"/>
    <w:rsid w:val="00223749"/>
    <w:rsid w:val="00223DC4"/>
    <w:rsid w:val="0022447A"/>
    <w:rsid w:val="0022462B"/>
    <w:rsid w:val="00224947"/>
    <w:rsid w:val="00224B68"/>
    <w:rsid w:val="00224DE0"/>
    <w:rsid w:val="00225C39"/>
    <w:rsid w:val="00225C86"/>
    <w:rsid w:val="00225DC6"/>
    <w:rsid w:val="00227036"/>
    <w:rsid w:val="00227300"/>
    <w:rsid w:val="00227AFF"/>
    <w:rsid w:val="00227B78"/>
    <w:rsid w:val="0023007F"/>
    <w:rsid w:val="00230683"/>
    <w:rsid w:val="00230BD9"/>
    <w:rsid w:val="00230C1C"/>
    <w:rsid w:val="00230D4D"/>
    <w:rsid w:val="00230DBD"/>
    <w:rsid w:val="00230E44"/>
    <w:rsid w:val="00231757"/>
    <w:rsid w:val="00231D74"/>
    <w:rsid w:val="002323D0"/>
    <w:rsid w:val="00232494"/>
    <w:rsid w:val="002324E3"/>
    <w:rsid w:val="0023285A"/>
    <w:rsid w:val="00232FB2"/>
    <w:rsid w:val="00233270"/>
    <w:rsid w:val="002344DD"/>
    <w:rsid w:val="00234667"/>
    <w:rsid w:val="00234B07"/>
    <w:rsid w:val="00235188"/>
    <w:rsid w:val="00235A23"/>
    <w:rsid w:val="00235AE9"/>
    <w:rsid w:val="00235CE1"/>
    <w:rsid w:val="00235D02"/>
    <w:rsid w:val="00235F2A"/>
    <w:rsid w:val="0023601F"/>
    <w:rsid w:val="0023627B"/>
    <w:rsid w:val="00236962"/>
    <w:rsid w:val="00236B9B"/>
    <w:rsid w:val="00236E41"/>
    <w:rsid w:val="00236EA3"/>
    <w:rsid w:val="00236EEB"/>
    <w:rsid w:val="0023714C"/>
    <w:rsid w:val="00237A27"/>
    <w:rsid w:val="002404A0"/>
    <w:rsid w:val="00240807"/>
    <w:rsid w:val="00241C71"/>
    <w:rsid w:val="002422D6"/>
    <w:rsid w:val="00243656"/>
    <w:rsid w:val="002437D8"/>
    <w:rsid w:val="00244D3D"/>
    <w:rsid w:val="00245203"/>
    <w:rsid w:val="002454ED"/>
    <w:rsid w:val="0024590D"/>
    <w:rsid w:val="00245CBA"/>
    <w:rsid w:val="00246429"/>
    <w:rsid w:val="0024643F"/>
    <w:rsid w:val="0024671C"/>
    <w:rsid w:val="002471E6"/>
    <w:rsid w:val="00247379"/>
    <w:rsid w:val="002474CD"/>
    <w:rsid w:val="0024790B"/>
    <w:rsid w:val="00247A62"/>
    <w:rsid w:val="00247DF1"/>
    <w:rsid w:val="00250593"/>
    <w:rsid w:val="00250857"/>
    <w:rsid w:val="00250980"/>
    <w:rsid w:val="00250C68"/>
    <w:rsid w:val="0025167F"/>
    <w:rsid w:val="002518F9"/>
    <w:rsid w:val="002523A0"/>
    <w:rsid w:val="002523D5"/>
    <w:rsid w:val="00252479"/>
    <w:rsid w:val="002525B1"/>
    <w:rsid w:val="002527E7"/>
    <w:rsid w:val="00252B59"/>
    <w:rsid w:val="0025327C"/>
    <w:rsid w:val="002537D7"/>
    <w:rsid w:val="00253BCD"/>
    <w:rsid w:val="00253C28"/>
    <w:rsid w:val="0025412E"/>
    <w:rsid w:val="002547D9"/>
    <w:rsid w:val="00254898"/>
    <w:rsid w:val="002553EE"/>
    <w:rsid w:val="00255634"/>
    <w:rsid w:val="0025676B"/>
    <w:rsid w:val="002568F8"/>
    <w:rsid w:val="0025696A"/>
    <w:rsid w:val="0025705A"/>
    <w:rsid w:val="002571F3"/>
    <w:rsid w:val="00260416"/>
    <w:rsid w:val="0026094F"/>
    <w:rsid w:val="00260BAE"/>
    <w:rsid w:val="00260C46"/>
    <w:rsid w:val="00260CD2"/>
    <w:rsid w:val="00261748"/>
    <w:rsid w:val="00261CBB"/>
    <w:rsid w:val="002620DA"/>
    <w:rsid w:val="00262963"/>
    <w:rsid w:val="00262AB6"/>
    <w:rsid w:val="00262C79"/>
    <w:rsid w:val="002630CD"/>
    <w:rsid w:val="002633A3"/>
    <w:rsid w:val="00263768"/>
    <w:rsid w:val="00263792"/>
    <w:rsid w:val="00263C8F"/>
    <w:rsid w:val="00264097"/>
    <w:rsid w:val="0026461F"/>
    <w:rsid w:val="0026549A"/>
    <w:rsid w:val="00265F4D"/>
    <w:rsid w:val="002661A0"/>
    <w:rsid w:val="002661F5"/>
    <w:rsid w:val="00266322"/>
    <w:rsid w:val="00266338"/>
    <w:rsid w:val="002669C4"/>
    <w:rsid w:val="00266E14"/>
    <w:rsid w:val="00266FEB"/>
    <w:rsid w:val="00267392"/>
    <w:rsid w:val="00267488"/>
    <w:rsid w:val="002677E2"/>
    <w:rsid w:val="0027004D"/>
    <w:rsid w:val="00270128"/>
    <w:rsid w:val="002705CD"/>
    <w:rsid w:val="0027067D"/>
    <w:rsid w:val="00270C2A"/>
    <w:rsid w:val="00272151"/>
    <w:rsid w:val="00272BDE"/>
    <w:rsid w:val="0027358A"/>
    <w:rsid w:val="00273726"/>
    <w:rsid w:val="0027405A"/>
    <w:rsid w:val="0027477D"/>
    <w:rsid w:val="002754DB"/>
    <w:rsid w:val="002755BD"/>
    <w:rsid w:val="002776BD"/>
    <w:rsid w:val="002809C3"/>
    <w:rsid w:val="00280D67"/>
    <w:rsid w:val="00280F84"/>
    <w:rsid w:val="002815DA"/>
    <w:rsid w:val="00281761"/>
    <w:rsid w:val="00282648"/>
    <w:rsid w:val="00282961"/>
    <w:rsid w:val="00282D3A"/>
    <w:rsid w:val="002830AD"/>
    <w:rsid w:val="002830B3"/>
    <w:rsid w:val="00283AAF"/>
    <w:rsid w:val="00283BAF"/>
    <w:rsid w:val="00283C98"/>
    <w:rsid w:val="00283F88"/>
    <w:rsid w:val="00284387"/>
    <w:rsid w:val="00284F14"/>
    <w:rsid w:val="00285083"/>
    <w:rsid w:val="002851B1"/>
    <w:rsid w:val="00285B19"/>
    <w:rsid w:val="00286103"/>
    <w:rsid w:val="002863B1"/>
    <w:rsid w:val="002869F4"/>
    <w:rsid w:val="00286C98"/>
    <w:rsid w:val="00286CDC"/>
    <w:rsid w:val="00286FB5"/>
    <w:rsid w:val="002879B2"/>
    <w:rsid w:val="00290244"/>
    <w:rsid w:val="002907DC"/>
    <w:rsid w:val="002907F8"/>
    <w:rsid w:val="0029087A"/>
    <w:rsid w:val="00290C37"/>
    <w:rsid w:val="00290F22"/>
    <w:rsid w:val="00291063"/>
    <w:rsid w:val="00291385"/>
    <w:rsid w:val="00291395"/>
    <w:rsid w:val="00291B8C"/>
    <w:rsid w:val="00292065"/>
    <w:rsid w:val="00292558"/>
    <w:rsid w:val="002930D4"/>
    <w:rsid w:val="00294129"/>
    <w:rsid w:val="002948E6"/>
    <w:rsid w:val="00294DE1"/>
    <w:rsid w:val="00295585"/>
    <w:rsid w:val="00295AA0"/>
    <w:rsid w:val="002960C6"/>
    <w:rsid w:val="002960C8"/>
    <w:rsid w:val="00296704"/>
    <w:rsid w:val="00296D95"/>
    <w:rsid w:val="00296FAC"/>
    <w:rsid w:val="00296FC3"/>
    <w:rsid w:val="00297383"/>
    <w:rsid w:val="00297617"/>
    <w:rsid w:val="0029764B"/>
    <w:rsid w:val="00297B85"/>
    <w:rsid w:val="00297BAA"/>
    <w:rsid w:val="00297D43"/>
    <w:rsid w:val="002A06A6"/>
    <w:rsid w:val="002A146A"/>
    <w:rsid w:val="002A1AA4"/>
    <w:rsid w:val="002A27D4"/>
    <w:rsid w:val="002A2E3B"/>
    <w:rsid w:val="002A319D"/>
    <w:rsid w:val="002A3C64"/>
    <w:rsid w:val="002A4019"/>
    <w:rsid w:val="002A4470"/>
    <w:rsid w:val="002A4567"/>
    <w:rsid w:val="002A4569"/>
    <w:rsid w:val="002A4795"/>
    <w:rsid w:val="002A5558"/>
    <w:rsid w:val="002A5F95"/>
    <w:rsid w:val="002A62A7"/>
    <w:rsid w:val="002A68B3"/>
    <w:rsid w:val="002A6DE7"/>
    <w:rsid w:val="002A6E9B"/>
    <w:rsid w:val="002A6EA4"/>
    <w:rsid w:val="002A7AEC"/>
    <w:rsid w:val="002B0495"/>
    <w:rsid w:val="002B061E"/>
    <w:rsid w:val="002B088B"/>
    <w:rsid w:val="002B0C97"/>
    <w:rsid w:val="002B105A"/>
    <w:rsid w:val="002B1133"/>
    <w:rsid w:val="002B11E0"/>
    <w:rsid w:val="002B18E8"/>
    <w:rsid w:val="002B1BAF"/>
    <w:rsid w:val="002B1C2E"/>
    <w:rsid w:val="002B1C7F"/>
    <w:rsid w:val="002B20A0"/>
    <w:rsid w:val="002B2179"/>
    <w:rsid w:val="002B230D"/>
    <w:rsid w:val="002B25D7"/>
    <w:rsid w:val="002B26C5"/>
    <w:rsid w:val="002B294F"/>
    <w:rsid w:val="002B2D94"/>
    <w:rsid w:val="002B31A7"/>
    <w:rsid w:val="002B35FC"/>
    <w:rsid w:val="002B508F"/>
    <w:rsid w:val="002B54ED"/>
    <w:rsid w:val="002B6152"/>
    <w:rsid w:val="002B6BD8"/>
    <w:rsid w:val="002B6EFE"/>
    <w:rsid w:val="002B712D"/>
    <w:rsid w:val="002B7487"/>
    <w:rsid w:val="002B7F8A"/>
    <w:rsid w:val="002C00AD"/>
    <w:rsid w:val="002C012E"/>
    <w:rsid w:val="002C0C3B"/>
    <w:rsid w:val="002C103A"/>
    <w:rsid w:val="002C1899"/>
    <w:rsid w:val="002C2282"/>
    <w:rsid w:val="002C2857"/>
    <w:rsid w:val="002C2D9D"/>
    <w:rsid w:val="002C337F"/>
    <w:rsid w:val="002C4C45"/>
    <w:rsid w:val="002C605C"/>
    <w:rsid w:val="002C6713"/>
    <w:rsid w:val="002C6A9A"/>
    <w:rsid w:val="002C7818"/>
    <w:rsid w:val="002C7CD2"/>
    <w:rsid w:val="002C7CDE"/>
    <w:rsid w:val="002C7F89"/>
    <w:rsid w:val="002D01D3"/>
    <w:rsid w:val="002D0830"/>
    <w:rsid w:val="002D0A1D"/>
    <w:rsid w:val="002D0FCE"/>
    <w:rsid w:val="002D15DE"/>
    <w:rsid w:val="002D1710"/>
    <w:rsid w:val="002D1B86"/>
    <w:rsid w:val="002D1CC6"/>
    <w:rsid w:val="002D1E22"/>
    <w:rsid w:val="002D28AB"/>
    <w:rsid w:val="002D2C2C"/>
    <w:rsid w:val="002D2CF4"/>
    <w:rsid w:val="002D375A"/>
    <w:rsid w:val="002D38F3"/>
    <w:rsid w:val="002D3C26"/>
    <w:rsid w:val="002D4251"/>
    <w:rsid w:val="002D440C"/>
    <w:rsid w:val="002D4557"/>
    <w:rsid w:val="002D520B"/>
    <w:rsid w:val="002D5627"/>
    <w:rsid w:val="002D67C2"/>
    <w:rsid w:val="002D7715"/>
    <w:rsid w:val="002E022F"/>
    <w:rsid w:val="002E0281"/>
    <w:rsid w:val="002E0534"/>
    <w:rsid w:val="002E0659"/>
    <w:rsid w:val="002E09BC"/>
    <w:rsid w:val="002E0DBC"/>
    <w:rsid w:val="002E1AB2"/>
    <w:rsid w:val="002E1C34"/>
    <w:rsid w:val="002E1F3A"/>
    <w:rsid w:val="002E20CB"/>
    <w:rsid w:val="002E25B4"/>
    <w:rsid w:val="002E28C7"/>
    <w:rsid w:val="002E2AEA"/>
    <w:rsid w:val="002E2CF2"/>
    <w:rsid w:val="002E3694"/>
    <w:rsid w:val="002E3723"/>
    <w:rsid w:val="002E3924"/>
    <w:rsid w:val="002E4D4F"/>
    <w:rsid w:val="002E4F90"/>
    <w:rsid w:val="002E54ED"/>
    <w:rsid w:val="002E56BC"/>
    <w:rsid w:val="002E57FB"/>
    <w:rsid w:val="002E6C37"/>
    <w:rsid w:val="002E723C"/>
    <w:rsid w:val="002E78B7"/>
    <w:rsid w:val="002F02DE"/>
    <w:rsid w:val="002F0421"/>
    <w:rsid w:val="002F04D7"/>
    <w:rsid w:val="002F075D"/>
    <w:rsid w:val="002F1055"/>
    <w:rsid w:val="002F1952"/>
    <w:rsid w:val="002F1CEA"/>
    <w:rsid w:val="002F1D56"/>
    <w:rsid w:val="002F2BBF"/>
    <w:rsid w:val="002F3590"/>
    <w:rsid w:val="002F360C"/>
    <w:rsid w:val="002F3805"/>
    <w:rsid w:val="002F39D1"/>
    <w:rsid w:val="002F45DA"/>
    <w:rsid w:val="002F52AA"/>
    <w:rsid w:val="002F58D6"/>
    <w:rsid w:val="002F5AC2"/>
    <w:rsid w:val="002F6100"/>
    <w:rsid w:val="002F6413"/>
    <w:rsid w:val="002F64AE"/>
    <w:rsid w:val="002F6500"/>
    <w:rsid w:val="002F66EF"/>
    <w:rsid w:val="002F66F9"/>
    <w:rsid w:val="002F6D7B"/>
    <w:rsid w:val="002F71FD"/>
    <w:rsid w:val="002F7C67"/>
    <w:rsid w:val="00300507"/>
    <w:rsid w:val="003007CE"/>
    <w:rsid w:val="0030134F"/>
    <w:rsid w:val="00301BF7"/>
    <w:rsid w:val="00301D6A"/>
    <w:rsid w:val="00302AB7"/>
    <w:rsid w:val="00302D1A"/>
    <w:rsid w:val="00304407"/>
    <w:rsid w:val="003048F6"/>
    <w:rsid w:val="00304A97"/>
    <w:rsid w:val="00304BB4"/>
    <w:rsid w:val="003055B9"/>
    <w:rsid w:val="00305DF7"/>
    <w:rsid w:val="00305F84"/>
    <w:rsid w:val="0030616D"/>
    <w:rsid w:val="0030692B"/>
    <w:rsid w:val="00307AA8"/>
    <w:rsid w:val="00307E58"/>
    <w:rsid w:val="00307F70"/>
    <w:rsid w:val="00307F85"/>
    <w:rsid w:val="003108E2"/>
    <w:rsid w:val="00310C7F"/>
    <w:rsid w:val="00310D26"/>
    <w:rsid w:val="00310DE9"/>
    <w:rsid w:val="00310F36"/>
    <w:rsid w:val="0031172A"/>
    <w:rsid w:val="00311DC0"/>
    <w:rsid w:val="00312524"/>
    <w:rsid w:val="0031255B"/>
    <w:rsid w:val="00312DF6"/>
    <w:rsid w:val="00313254"/>
    <w:rsid w:val="00313679"/>
    <w:rsid w:val="003136EC"/>
    <w:rsid w:val="00314417"/>
    <w:rsid w:val="0031445C"/>
    <w:rsid w:val="003144D2"/>
    <w:rsid w:val="0031491F"/>
    <w:rsid w:val="0031547E"/>
    <w:rsid w:val="003154BF"/>
    <w:rsid w:val="0031554B"/>
    <w:rsid w:val="003155F0"/>
    <w:rsid w:val="0031586F"/>
    <w:rsid w:val="00315FE7"/>
    <w:rsid w:val="00316C4E"/>
    <w:rsid w:val="00316EA7"/>
    <w:rsid w:val="00317192"/>
    <w:rsid w:val="00317414"/>
    <w:rsid w:val="003174F1"/>
    <w:rsid w:val="003205AC"/>
    <w:rsid w:val="00320EC2"/>
    <w:rsid w:val="0032197E"/>
    <w:rsid w:val="00321C71"/>
    <w:rsid w:val="00321E1B"/>
    <w:rsid w:val="00321E9D"/>
    <w:rsid w:val="00322532"/>
    <w:rsid w:val="003238F3"/>
    <w:rsid w:val="00323BE5"/>
    <w:rsid w:val="00323BFD"/>
    <w:rsid w:val="00323F08"/>
    <w:rsid w:val="00323F63"/>
    <w:rsid w:val="00324281"/>
    <w:rsid w:val="00324C48"/>
    <w:rsid w:val="00324CF0"/>
    <w:rsid w:val="003251E6"/>
    <w:rsid w:val="003254F1"/>
    <w:rsid w:val="003254F7"/>
    <w:rsid w:val="00325E95"/>
    <w:rsid w:val="0032624A"/>
    <w:rsid w:val="003268FB"/>
    <w:rsid w:val="00326BBB"/>
    <w:rsid w:val="00326E28"/>
    <w:rsid w:val="00327F1E"/>
    <w:rsid w:val="003301B7"/>
    <w:rsid w:val="00330975"/>
    <w:rsid w:val="00330D31"/>
    <w:rsid w:val="00330E8A"/>
    <w:rsid w:val="00330EB3"/>
    <w:rsid w:val="00330F37"/>
    <w:rsid w:val="00331728"/>
    <w:rsid w:val="00332BE1"/>
    <w:rsid w:val="00333208"/>
    <w:rsid w:val="003332A0"/>
    <w:rsid w:val="003332E0"/>
    <w:rsid w:val="003333C4"/>
    <w:rsid w:val="003335B4"/>
    <w:rsid w:val="003335FD"/>
    <w:rsid w:val="00333917"/>
    <w:rsid w:val="003348BC"/>
    <w:rsid w:val="0033539E"/>
    <w:rsid w:val="00336295"/>
    <w:rsid w:val="003362E6"/>
    <w:rsid w:val="003363B7"/>
    <w:rsid w:val="00336984"/>
    <w:rsid w:val="00336E44"/>
    <w:rsid w:val="003379A7"/>
    <w:rsid w:val="00337C2E"/>
    <w:rsid w:val="00337F30"/>
    <w:rsid w:val="003402E9"/>
    <w:rsid w:val="003403FE"/>
    <w:rsid w:val="0034065C"/>
    <w:rsid w:val="003406DF"/>
    <w:rsid w:val="00340C4B"/>
    <w:rsid w:val="00340E17"/>
    <w:rsid w:val="00340E6E"/>
    <w:rsid w:val="00341024"/>
    <w:rsid w:val="0034124F"/>
    <w:rsid w:val="003417C8"/>
    <w:rsid w:val="00342663"/>
    <w:rsid w:val="00342C84"/>
    <w:rsid w:val="00343BBE"/>
    <w:rsid w:val="00343C45"/>
    <w:rsid w:val="00343E93"/>
    <w:rsid w:val="00343EBE"/>
    <w:rsid w:val="00344484"/>
    <w:rsid w:val="0034467E"/>
    <w:rsid w:val="00344721"/>
    <w:rsid w:val="0034482C"/>
    <w:rsid w:val="00345C0A"/>
    <w:rsid w:val="00346211"/>
    <w:rsid w:val="00346D02"/>
    <w:rsid w:val="00347588"/>
    <w:rsid w:val="00347B6B"/>
    <w:rsid w:val="00347B7B"/>
    <w:rsid w:val="00350397"/>
    <w:rsid w:val="003505E8"/>
    <w:rsid w:val="0035063C"/>
    <w:rsid w:val="003508D4"/>
    <w:rsid w:val="003508FF"/>
    <w:rsid w:val="0035103A"/>
    <w:rsid w:val="0035118C"/>
    <w:rsid w:val="003513F0"/>
    <w:rsid w:val="00352421"/>
    <w:rsid w:val="00352837"/>
    <w:rsid w:val="00352DA6"/>
    <w:rsid w:val="00353B35"/>
    <w:rsid w:val="00353CE7"/>
    <w:rsid w:val="0035432B"/>
    <w:rsid w:val="0035441A"/>
    <w:rsid w:val="003548C1"/>
    <w:rsid w:val="003556C4"/>
    <w:rsid w:val="00355AB0"/>
    <w:rsid w:val="00355BCF"/>
    <w:rsid w:val="00355C86"/>
    <w:rsid w:val="0035629D"/>
    <w:rsid w:val="00356307"/>
    <w:rsid w:val="00360004"/>
    <w:rsid w:val="003602A2"/>
    <w:rsid w:val="00360800"/>
    <w:rsid w:val="00361F81"/>
    <w:rsid w:val="00362245"/>
    <w:rsid w:val="003622DC"/>
    <w:rsid w:val="00362F8D"/>
    <w:rsid w:val="00363278"/>
    <w:rsid w:val="0036361B"/>
    <w:rsid w:val="00363EBC"/>
    <w:rsid w:val="00363F4F"/>
    <w:rsid w:val="00363F50"/>
    <w:rsid w:val="00364275"/>
    <w:rsid w:val="0036433E"/>
    <w:rsid w:val="0036441C"/>
    <w:rsid w:val="00364FC1"/>
    <w:rsid w:val="003652CD"/>
    <w:rsid w:val="00365CCA"/>
    <w:rsid w:val="00366116"/>
    <w:rsid w:val="00367DA6"/>
    <w:rsid w:val="0036CFF0"/>
    <w:rsid w:val="00370A70"/>
    <w:rsid w:val="003711CE"/>
    <w:rsid w:val="003712A7"/>
    <w:rsid w:val="00371B20"/>
    <w:rsid w:val="00371DEB"/>
    <w:rsid w:val="00371E29"/>
    <w:rsid w:val="0037271A"/>
    <w:rsid w:val="003732BB"/>
    <w:rsid w:val="0037378E"/>
    <w:rsid w:val="00373AA8"/>
    <w:rsid w:val="0037432E"/>
    <w:rsid w:val="00374452"/>
    <w:rsid w:val="003744DC"/>
    <w:rsid w:val="00374F9B"/>
    <w:rsid w:val="003753E5"/>
    <w:rsid w:val="00375689"/>
    <w:rsid w:val="003759D5"/>
    <w:rsid w:val="00375FB9"/>
    <w:rsid w:val="003761C9"/>
    <w:rsid w:val="003761FB"/>
    <w:rsid w:val="0037676B"/>
    <w:rsid w:val="00376773"/>
    <w:rsid w:val="00376FFB"/>
    <w:rsid w:val="003773FA"/>
    <w:rsid w:val="00377A3E"/>
    <w:rsid w:val="00377FC8"/>
    <w:rsid w:val="0038013B"/>
    <w:rsid w:val="003802BA"/>
    <w:rsid w:val="0038030D"/>
    <w:rsid w:val="003803B2"/>
    <w:rsid w:val="00380763"/>
    <w:rsid w:val="003807C9"/>
    <w:rsid w:val="003819BB"/>
    <w:rsid w:val="00381C89"/>
    <w:rsid w:val="00381FD5"/>
    <w:rsid w:val="00382201"/>
    <w:rsid w:val="00382232"/>
    <w:rsid w:val="00382261"/>
    <w:rsid w:val="0038260F"/>
    <w:rsid w:val="00382713"/>
    <w:rsid w:val="003827E7"/>
    <w:rsid w:val="00382B67"/>
    <w:rsid w:val="00382D54"/>
    <w:rsid w:val="0038433E"/>
    <w:rsid w:val="00384453"/>
    <w:rsid w:val="00384B1F"/>
    <w:rsid w:val="00384C8F"/>
    <w:rsid w:val="00384EDC"/>
    <w:rsid w:val="00385E27"/>
    <w:rsid w:val="00386318"/>
    <w:rsid w:val="00387447"/>
    <w:rsid w:val="00387A87"/>
    <w:rsid w:val="00387CBE"/>
    <w:rsid w:val="00387FB5"/>
    <w:rsid w:val="003903D2"/>
    <w:rsid w:val="00390453"/>
    <w:rsid w:val="00390897"/>
    <w:rsid w:val="00390ADF"/>
    <w:rsid w:val="00391182"/>
    <w:rsid w:val="003916AF"/>
    <w:rsid w:val="00391C91"/>
    <w:rsid w:val="003923AF"/>
    <w:rsid w:val="003926AB"/>
    <w:rsid w:val="00392FF7"/>
    <w:rsid w:val="003937C5"/>
    <w:rsid w:val="00393E71"/>
    <w:rsid w:val="00393F42"/>
    <w:rsid w:val="003943A4"/>
    <w:rsid w:val="00394639"/>
    <w:rsid w:val="0039463D"/>
    <w:rsid w:val="00394875"/>
    <w:rsid w:val="0039568D"/>
    <w:rsid w:val="003959AC"/>
    <w:rsid w:val="00395D7E"/>
    <w:rsid w:val="00395E94"/>
    <w:rsid w:val="0039643E"/>
    <w:rsid w:val="003968A9"/>
    <w:rsid w:val="00396EBB"/>
    <w:rsid w:val="00397942"/>
    <w:rsid w:val="003A01B9"/>
    <w:rsid w:val="003A0875"/>
    <w:rsid w:val="003A1105"/>
    <w:rsid w:val="003A1C4E"/>
    <w:rsid w:val="003A24F3"/>
    <w:rsid w:val="003A263D"/>
    <w:rsid w:val="003A2870"/>
    <w:rsid w:val="003A2895"/>
    <w:rsid w:val="003A28F7"/>
    <w:rsid w:val="003A2A8E"/>
    <w:rsid w:val="003A2B4A"/>
    <w:rsid w:val="003A2C68"/>
    <w:rsid w:val="003A39F1"/>
    <w:rsid w:val="003A3D1B"/>
    <w:rsid w:val="003A3DE6"/>
    <w:rsid w:val="003A3EA2"/>
    <w:rsid w:val="003A467F"/>
    <w:rsid w:val="003A4871"/>
    <w:rsid w:val="003A4934"/>
    <w:rsid w:val="003A4C4E"/>
    <w:rsid w:val="003A4C53"/>
    <w:rsid w:val="003A4E7F"/>
    <w:rsid w:val="003A4F61"/>
    <w:rsid w:val="003A5049"/>
    <w:rsid w:val="003A5473"/>
    <w:rsid w:val="003A5BFB"/>
    <w:rsid w:val="003A60F2"/>
    <w:rsid w:val="003A6C07"/>
    <w:rsid w:val="003A71AD"/>
    <w:rsid w:val="003A75F0"/>
    <w:rsid w:val="003A7689"/>
    <w:rsid w:val="003A7A88"/>
    <w:rsid w:val="003B04B1"/>
    <w:rsid w:val="003B09F8"/>
    <w:rsid w:val="003B1210"/>
    <w:rsid w:val="003B1235"/>
    <w:rsid w:val="003B15F1"/>
    <w:rsid w:val="003B1B69"/>
    <w:rsid w:val="003B21AB"/>
    <w:rsid w:val="003B2C8F"/>
    <w:rsid w:val="003B318C"/>
    <w:rsid w:val="003B34BB"/>
    <w:rsid w:val="003B39F8"/>
    <w:rsid w:val="003B3D16"/>
    <w:rsid w:val="003B4219"/>
    <w:rsid w:val="003B423B"/>
    <w:rsid w:val="003B5BD2"/>
    <w:rsid w:val="003B6124"/>
    <w:rsid w:val="003B6917"/>
    <w:rsid w:val="003B6B57"/>
    <w:rsid w:val="003B7B12"/>
    <w:rsid w:val="003B7D6F"/>
    <w:rsid w:val="003B7ED8"/>
    <w:rsid w:val="003C03B6"/>
    <w:rsid w:val="003C0F91"/>
    <w:rsid w:val="003C13E4"/>
    <w:rsid w:val="003C1479"/>
    <w:rsid w:val="003C15E1"/>
    <w:rsid w:val="003C1782"/>
    <w:rsid w:val="003C1927"/>
    <w:rsid w:val="003C1B56"/>
    <w:rsid w:val="003C1E9F"/>
    <w:rsid w:val="003C2584"/>
    <w:rsid w:val="003C2C8A"/>
    <w:rsid w:val="003C327F"/>
    <w:rsid w:val="003C331A"/>
    <w:rsid w:val="003C3762"/>
    <w:rsid w:val="003C3897"/>
    <w:rsid w:val="003C3CA5"/>
    <w:rsid w:val="003C3DF2"/>
    <w:rsid w:val="003C40B1"/>
    <w:rsid w:val="003C420B"/>
    <w:rsid w:val="003C422C"/>
    <w:rsid w:val="003C4765"/>
    <w:rsid w:val="003C4C61"/>
    <w:rsid w:val="003C4C98"/>
    <w:rsid w:val="003C533F"/>
    <w:rsid w:val="003C5588"/>
    <w:rsid w:val="003C5BFC"/>
    <w:rsid w:val="003C69A5"/>
    <w:rsid w:val="003C7032"/>
    <w:rsid w:val="003C715B"/>
    <w:rsid w:val="003C7682"/>
    <w:rsid w:val="003C7ECE"/>
    <w:rsid w:val="003D02BD"/>
    <w:rsid w:val="003D03CA"/>
    <w:rsid w:val="003D053A"/>
    <w:rsid w:val="003D094B"/>
    <w:rsid w:val="003D0C12"/>
    <w:rsid w:val="003D1225"/>
    <w:rsid w:val="003D1454"/>
    <w:rsid w:val="003D1586"/>
    <w:rsid w:val="003D175B"/>
    <w:rsid w:val="003D1AF9"/>
    <w:rsid w:val="003D1F6A"/>
    <w:rsid w:val="003D2443"/>
    <w:rsid w:val="003D2AAC"/>
    <w:rsid w:val="003D3169"/>
    <w:rsid w:val="003D36AD"/>
    <w:rsid w:val="003D4AD4"/>
    <w:rsid w:val="003D4B36"/>
    <w:rsid w:val="003D56D9"/>
    <w:rsid w:val="003D59C1"/>
    <w:rsid w:val="003D59DA"/>
    <w:rsid w:val="003D5C65"/>
    <w:rsid w:val="003D6481"/>
    <w:rsid w:val="003D6555"/>
    <w:rsid w:val="003D6822"/>
    <w:rsid w:val="003D694F"/>
    <w:rsid w:val="003D6D64"/>
    <w:rsid w:val="003D78BC"/>
    <w:rsid w:val="003E0241"/>
    <w:rsid w:val="003E0722"/>
    <w:rsid w:val="003E1247"/>
    <w:rsid w:val="003E1279"/>
    <w:rsid w:val="003E2327"/>
    <w:rsid w:val="003E288A"/>
    <w:rsid w:val="003E2B11"/>
    <w:rsid w:val="003E2CB9"/>
    <w:rsid w:val="003E3179"/>
    <w:rsid w:val="003E384A"/>
    <w:rsid w:val="003E470E"/>
    <w:rsid w:val="003E5B41"/>
    <w:rsid w:val="003E6200"/>
    <w:rsid w:val="003E7009"/>
    <w:rsid w:val="003E72CC"/>
    <w:rsid w:val="003E7BED"/>
    <w:rsid w:val="003E7FF0"/>
    <w:rsid w:val="003F0113"/>
    <w:rsid w:val="003F0B86"/>
    <w:rsid w:val="003F231D"/>
    <w:rsid w:val="003F24B7"/>
    <w:rsid w:val="003F25FD"/>
    <w:rsid w:val="003F2CFE"/>
    <w:rsid w:val="003F3194"/>
    <w:rsid w:val="003F335C"/>
    <w:rsid w:val="003F33AC"/>
    <w:rsid w:val="003F3550"/>
    <w:rsid w:val="003F3A46"/>
    <w:rsid w:val="003F3CAF"/>
    <w:rsid w:val="003F495E"/>
    <w:rsid w:val="003F4DBE"/>
    <w:rsid w:val="003F5307"/>
    <w:rsid w:val="003F54BB"/>
    <w:rsid w:val="003F5553"/>
    <w:rsid w:val="003F589C"/>
    <w:rsid w:val="003F5A73"/>
    <w:rsid w:val="003F5B91"/>
    <w:rsid w:val="003F5BE3"/>
    <w:rsid w:val="003F652C"/>
    <w:rsid w:val="003F670C"/>
    <w:rsid w:val="003F6CDB"/>
    <w:rsid w:val="003F7C17"/>
    <w:rsid w:val="003F7D22"/>
    <w:rsid w:val="003F7E48"/>
    <w:rsid w:val="003F7F59"/>
    <w:rsid w:val="003F7F9E"/>
    <w:rsid w:val="00400683"/>
    <w:rsid w:val="00400853"/>
    <w:rsid w:val="00400980"/>
    <w:rsid w:val="00400A48"/>
    <w:rsid w:val="00400AD4"/>
    <w:rsid w:val="00401132"/>
    <w:rsid w:val="00401990"/>
    <w:rsid w:val="00401D72"/>
    <w:rsid w:val="00401E99"/>
    <w:rsid w:val="00403465"/>
    <w:rsid w:val="00403540"/>
    <w:rsid w:val="00403673"/>
    <w:rsid w:val="004039F0"/>
    <w:rsid w:val="00404072"/>
    <w:rsid w:val="004046BF"/>
    <w:rsid w:val="004051BB"/>
    <w:rsid w:val="00406033"/>
    <w:rsid w:val="00406762"/>
    <w:rsid w:val="00407B42"/>
    <w:rsid w:val="00407BD9"/>
    <w:rsid w:val="00407D9A"/>
    <w:rsid w:val="00407F7F"/>
    <w:rsid w:val="00410040"/>
    <w:rsid w:val="0041026E"/>
    <w:rsid w:val="004107A2"/>
    <w:rsid w:val="00410B6A"/>
    <w:rsid w:val="00411125"/>
    <w:rsid w:val="00411765"/>
    <w:rsid w:val="00412132"/>
    <w:rsid w:val="004127B4"/>
    <w:rsid w:val="00412884"/>
    <w:rsid w:val="00412A35"/>
    <w:rsid w:val="00412F08"/>
    <w:rsid w:val="004131D3"/>
    <w:rsid w:val="00413715"/>
    <w:rsid w:val="0041476B"/>
    <w:rsid w:val="00414774"/>
    <w:rsid w:val="00414926"/>
    <w:rsid w:val="00414C81"/>
    <w:rsid w:val="004159A1"/>
    <w:rsid w:val="00415A37"/>
    <w:rsid w:val="00415ABE"/>
    <w:rsid w:val="004162B1"/>
    <w:rsid w:val="004164F1"/>
    <w:rsid w:val="004168BC"/>
    <w:rsid w:val="00416A4D"/>
    <w:rsid w:val="00416B70"/>
    <w:rsid w:val="00416E05"/>
    <w:rsid w:val="00417C8A"/>
    <w:rsid w:val="00417D61"/>
    <w:rsid w:val="00420711"/>
    <w:rsid w:val="004208B3"/>
    <w:rsid w:val="00420A42"/>
    <w:rsid w:val="00420B3C"/>
    <w:rsid w:val="00421362"/>
    <w:rsid w:val="004215A1"/>
    <w:rsid w:val="0042180D"/>
    <w:rsid w:val="004219C0"/>
    <w:rsid w:val="00422207"/>
    <w:rsid w:val="004228F0"/>
    <w:rsid w:val="0042296F"/>
    <w:rsid w:val="00422E9C"/>
    <w:rsid w:val="00423623"/>
    <w:rsid w:val="0042453F"/>
    <w:rsid w:val="00424C50"/>
    <w:rsid w:val="00424EA2"/>
    <w:rsid w:val="00425421"/>
    <w:rsid w:val="0042548C"/>
    <w:rsid w:val="0042567C"/>
    <w:rsid w:val="004267F1"/>
    <w:rsid w:val="0042687F"/>
    <w:rsid w:val="00426CB2"/>
    <w:rsid w:val="00427DA6"/>
    <w:rsid w:val="0043044D"/>
    <w:rsid w:val="00430C69"/>
    <w:rsid w:val="00430DBF"/>
    <w:rsid w:val="004310F9"/>
    <w:rsid w:val="00431CED"/>
    <w:rsid w:val="00431D08"/>
    <w:rsid w:val="004321DD"/>
    <w:rsid w:val="00432238"/>
    <w:rsid w:val="00432477"/>
    <w:rsid w:val="004325E1"/>
    <w:rsid w:val="00432897"/>
    <w:rsid w:val="00432EE6"/>
    <w:rsid w:val="004337B7"/>
    <w:rsid w:val="00433D1A"/>
    <w:rsid w:val="00433F78"/>
    <w:rsid w:val="0043432B"/>
    <w:rsid w:val="0043446D"/>
    <w:rsid w:val="00434A0A"/>
    <w:rsid w:val="00434BD9"/>
    <w:rsid w:val="00435269"/>
    <w:rsid w:val="004353EF"/>
    <w:rsid w:val="004356F8"/>
    <w:rsid w:val="00435D67"/>
    <w:rsid w:val="00435DEE"/>
    <w:rsid w:val="00436155"/>
    <w:rsid w:val="004361EA"/>
    <w:rsid w:val="00436606"/>
    <w:rsid w:val="00436CDC"/>
    <w:rsid w:val="004373D5"/>
    <w:rsid w:val="0043746B"/>
    <w:rsid w:val="0043B775"/>
    <w:rsid w:val="00440B6D"/>
    <w:rsid w:val="00440DC0"/>
    <w:rsid w:val="00440DC1"/>
    <w:rsid w:val="004410A4"/>
    <w:rsid w:val="004413FE"/>
    <w:rsid w:val="00441580"/>
    <w:rsid w:val="00441A80"/>
    <w:rsid w:val="00441D41"/>
    <w:rsid w:val="00441EB1"/>
    <w:rsid w:val="004421A8"/>
    <w:rsid w:val="0044246C"/>
    <w:rsid w:val="00442D4D"/>
    <w:rsid w:val="00443361"/>
    <w:rsid w:val="004434C4"/>
    <w:rsid w:val="00443825"/>
    <w:rsid w:val="00443B2F"/>
    <w:rsid w:val="00444603"/>
    <w:rsid w:val="0044506F"/>
    <w:rsid w:val="00445162"/>
    <w:rsid w:val="004451AA"/>
    <w:rsid w:val="00445925"/>
    <w:rsid w:val="00447079"/>
    <w:rsid w:val="004470CD"/>
    <w:rsid w:val="00447581"/>
    <w:rsid w:val="00447F18"/>
    <w:rsid w:val="00447F9F"/>
    <w:rsid w:val="00450AE9"/>
    <w:rsid w:val="00451261"/>
    <w:rsid w:val="0045154F"/>
    <w:rsid w:val="00451762"/>
    <w:rsid w:val="00451C7E"/>
    <w:rsid w:val="00451FF7"/>
    <w:rsid w:val="00452049"/>
    <w:rsid w:val="00452091"/>
    <w:rsid w:val="0045277F"/>
    <w:rsid w:val="00452DA9"/>
    <w:rsid w:val="00453095"/>
    <w:rsid w:val="0045345F"/>
    <w:rsid w:val="0045397D"/>
    <w:rsid w:val="00453B2C"/>
    <w:rsid w:val="00453EEB"/>
    <w:rsid w:val="0045407D"/>
    <w:rsid w:val="004550C1"/>
    <w:rsid w:val="0045529B"/>
    <w:rsid w:val="00455331"/>
    <w:rsid w:val="00455696"/>
    <w:rsid w:val="004558F1"/>
    <w:rsid w:val="00455C1C"/>
    <w:rsid w:val="0045629A"/>
    <w:rsid w:val="004565BA"/>
    <w:rsid w:val="00456DEA"/>
    <w:rsid w:val="004574EB"/>
    <w:rsid w:val="00457720"/>
    <w:rsid w:val="00457782"/>
    <w:rsid w:val="00457EE5"/>
    <w:rsid w:val="004607BA"/>
    <w:rsid w:val="00460AD3"/>
    <w:rsid w:val="00460B2B"/>
    <w:rsid w:val="00460CA2"/>
    <w:rsid w:val="0046141D"/>
    <w:rsid w:val="0046174B"/>
    <w:rsid w:val="004618A6"/>
    <w:rsid w:val="004619BF"/>
    <w:rsid w:val="00462141"/>
    <w:rsid w:val="004622FD"/>
    <w:rsid w:val="00462506"/>
    <w:rsid w:val="004627BE"/>
    <w:rsid w:val="00462846"/>
    <w:rsid w:val="0046373B"/>
    <w:rsid w:val="00463FAC"/>
    <w:rsid w:val="00463FCA"/>
    <w:rsid w:val="004648ED"/>
    <w:rsid w:val="00464A05"/>
    <w:rsid w:val="00464B44"/>
    <w:rsid w:val="00464C76"/>
    <w:rsid w:val="00464D53"/>
    <w:rsid w:val="00465160"/>
    <w:rsid w:val="004654E6"/>
    <w:rsid w:val="00465973"/>
    <w:rsid w:val="00465A87"/>
    <w:rsid w:val="00465D48"/>
    <w:rsid w:val="00466440"/>
    <w:rsid w:val="00466603"/>
    <w:rsid w:val="004667C3"/>
    <w:rsid w:val="00466A35"/>
    <w:rsid w:val="004670C4"/>
    <w:rsid w:val="00467FD4"/>
    <w:rsid w:val="0047005D"/>
    <w:rsid w:val="0047021F"/>
    <w:rsid w:val="00470623"/>
    <w:rsid w:val="004708B7"/>
    <w:rsid w:val="00471269"/>
    <w:rsid w:val="0047156A"/>
    <w:rsid w:val="00471975"/>
    <w:rsid w:val="004719B9"/>
    <w:rsid w:val="00471B24"/>
    <w:rsid w:val="00471C6F"/>
    <w:rsid w:val="0047220E"/>
    <w:rsid w:val="00472682"/>
    <w:rsid w:val="00472847"/>
    <w:rsid w:val="004728D0"/>
    <w:rsid w:val="00473050"/>
    <w:rsid w:val="0047324D"/>
    <w:rsid w:val="00473A0D"/>
    <w:rsid w:val="00473EF9"/>
    <w:rsid w:val="00473FC1"/>
    <w:rsid w:val="00475708"/>
    <w:rsid w:val="004757F0"/>
    <w:rsid w:val="004767E2"/>
    <w:rsid w:val="00476AE1"/>
    <w:rsid w:val="00477040"/>
    <w:rsid w:val="0047746F"/>
    <w:rsid w:val="004774E9"/>
    <w:rsid w:val="0047760B"/>
    <w:rsid w:val="00480324"/>
    <w:rsid w:val="0048041C"/>
    <w:rsid w:val="0048060A"/>
    <w:rsid w:val="00481197"/>
    <w:rsid w:val="004812F3"/>
    <w:rsid w:val="00481D5F"/>
    <w:rsid w:val="00482382"/>
    <w:rsid w:val="004823D5"/>
    <w:rsid w:val="00482874"/>
    <w:rsid w:val="0048322E"/>
    <w:rsid w:val="0048342C"/>
    <w:rsid w:val="004837E0"/>
    <w:rsid w:val="00483E47"/>
    <w:rsid w:val="004845AA"/>
    <w:rsid w:val="00484667"/>
    <w:rsid w:val="00484700"/>
    <w:rsid w:val="00484ACE"/>
    <w:rsid w:val="00484E48"/>
    <w:rsid w:val="00485BDD"/>
    <w:rsid w:val="00485E2A"/>
    <w:rsid w:val="0048679D"/>
    <w:rsid w:val="00487552"/>
    <w:rsid w:val="0048759D"/>
    <w:rsid w:val="00487BA5"/>
    <w:rsid w:val="0048D89C"/>
    <w:rsid w:val="004905B3"/>
    <w:rsid w:val="00490E2D"/>
    <w:rsid w:val="0049102C"/>
    <w:rsid w:val="00491281"/>
    <w:rsid w:val="00491C44"/>
    <w:rsid w:val="00491D32"/>
    <w:rsid w:val="00491DC0"/>
    <w:rsid w:val="004921DC"/>
    <w:rsid w:val="0049229B"/>
    <w:rsid w:val="00492823"/>
    <w:rsid w:val="00492A7F"/>
    <w:rsid w:val="00492F42"/>
    <w:rsid w:val="0049311C"/>
    <w:rsid w:val="0049356C"/>
    <w:rsid w:val="00493CFF"/>
    <w:rsid w:val="00493F9F"/>
    <w:rsid w:val="00494339"/>
    <w:rsid w:val="00494407"/>
    <w:rsid w:val="00494695"/>
    <w:rsid w:val="004947E7"/>
    <w:rsid w:val="00494A52"/>
    <w:rsid w:val="00494E8B"/>
    <w:rsid w:val="00495586"/>
    <w:rsid w:val="004957CC"/>
    <w:rsid w:val="00496213"/>
    <w:rsid w:val="004967A8"/>
    <w:rsid w:val="00496AFE"/>
    <w:rsid w:val="00496E1D"/>
    <w:rsid w:val="00496EB2"/>
    <w:rsid w:val="0049710B"/>
    <w:rsid w:val="00497387"/>
    <w:rsid w:val="0049756A"/>
    <w:rsid w:val="004976C1"/>
    <w:rsid w:val="00497823"/>
    <w:rsid w:val="00497E5A"/>
    <w:rsid w:val="004A015A"/>
    <w:rsid w:val="004A0CE5"/>
    <w:rsid w:val="004A0DCD"/>
    <w:rsid w:val="004A0E37"/>
    <w:rsid w:val="004A1EC7"/>
    <w:rsid w:val="004A264C"/>
    <w:rsid w:val="004A2EAA"/>
    <w:rsid w:val="004A31FF"/>
    <w:rsid w:val="004A35FD"/>
    <w:rsid w:val="004A44D0"/>
    <w:rsid w:val="004A4747"/>
    <w:rsid w:val="004A49DF"/>
    <w:rsid w:val="004A4B2D"/>
    <w:rsid w:val="004A52C7"/>
    <w:rsid w:val="004A5518"/>
    <w:rsid w:val="004A5548"/>
    <w:rsid w:val="004A5E57"/>
    <w:rsid w:val="004A61FB"/>
    <w:rsid w:val="004A6942"/>
    <w:rsid w:val="004A6BC3"/>
    <w:rsid w:val="004A7234"/>
    <w:rsid w:val="004B06A5"/>
    <w:rsid w:val="004B150D"/>
    <w:rsid w:val="004B17DD"/>
    <w:rsid w:val="004B17FB"/>
    <w:rsid w:val="004B189D"/>
    <w:rsid w:val="004B1FDD"/>
    <w:rsid w:val="004B1FE2"/>
    <w:rsid w:val="004B2CC4"/>
    <w:rsid w:val="004B3564"/>
    <w:rsid w:val="004B3875"/>
    <w:rsid w:val="004B3AA7"/>
    <w:rsid w:val="004B3D07"/>
    <w:rsid w:val="004B4217"/>
    <w:rsid w:val="004B4336"/>
    <w:rsid w:val="004B4939"/>
    <w:rsid w:val="004B539C"/>
    <w:rsid w:val="004B5B89"/>
    <w:rsid w:val="004B6650"/>
    <w:rsid w:val="004B683F"/>
    <w:rsid w:val="004B7272"/>
    <w:rsid w:val="004B752B"/>
    <w:rsid w:val="004B7559"/>
    <w:rsid w:val="004B77E8"/>
    <w:rsid w:val="004B7FB1"/>
    <w:rsid w:val="004C03D5"/>
    <w:rsid w:val="004C0876"/>
    <w:rsid w:val="004C0B04"/>
    <w:rsid w:val="004C105C"/>
    <w:rsid w:val="004C18BA"/>
    <w:rsid w:val="004C22D2"/>
    <w:rsid w:val="004C2E24"/>
    <w:rsid w:val="004C2F9E"/>
    <w:rsid w:val="004C35F7"/>
    <w:rsid w:val="004C3605"/>
    <w:rsid w:val="004C3857"/>
    <w:rsid w:val="004C3A43"/>
    <w:rsid w:val="004C422B"/>
    <w:rsid w:val="004C5E50"/>
    <w:rsid w:val="004C5F46"/>
    <w:rsid w:val="004C5FB3"/>
    <w:rsid w:val="004C690F"/>
    <w:rsid w:val="004C6DE4"/>
    <w:rsid w:val="004C70EA"/>
    <w:rsid w:val="004C7961"/>
    <w:rsid w:val="004C7E5E"/>
    <w:rsid w:val="004D11C2"/>
    <w:rsid w:val="004D1200"/>
    <w:rsid w:val="004D2586"/>
    <w:rsid w:val="004D2A21"/>
    <w:rsid w:val="004D2C5E"/>
    <w:rsid w:val="004D3179"/>
    <w:rsid w:val="004D3297"/>
    <w:rsid w:val="004D34A4"/>
    <w:rsid w:val="004D3679"/>
    <w:rsid w:val="004D38C9"/>
    <w:rsid w:val="004D3F00"/>
    <w:rsid w:val="004D4CB0"/>
    <w:rsid w:val="004D517D"/>
    <w:rsid w:val="004D5EF0"/>
    <w:rsid w:val="004D5F47"/>
    <w:rsid w:val="004D616F"/>
    <w:rsid w:val="004D62E1"/>
    <w:rsid w:val="004D68CB"/>
    <w:rsid w:val="004D7CA1"/>
    <w:rsid w:val="004D7F52"/>
    <w:rsid w:val="004E033C"/>
    <w:rsid w:val="004E0BD3"/>
    <w:rsid w:val="004E0E1E"/>
    <w:rsid w:val="004E11CD"/>
    <w:rsid w:val="004E14C3"/>
    <w:rsid w:val="004E16B1"/>
    <w:rsid w:val="004E17CD"/>
    <w:rsid w:val="004E1CB7"/>
    <w:rsid w:val="004E2417"/>
    <w:rsid w:val="004E2A6E"/>
    <w:rsid w:val="004E326B"/>
    <w:rsid w:val="004E3574"/>
    <w:rsid w:val="004E392E"/>
    <w:rsid w:val="004E3AD3"/>
    <w:rsid w:val="004E45C8"/>
    <w:rsid w:val="004E47CF"/>
    <w:rsid w:val="004E483B"/>
    <w:rsid w:val="004E4F18"/>
    <w:rsid w:val="004E5126"/>
    <w:rsid w:val="004E513E"/>
    <w:rsid w:val="004E533D"/>
    <w:rsid w:val="004E5840"/>
    <w:rsid w:val="004E624D"/>
    <w:rsid w:val="004E63A8"/>
    <w:rsid w:val="004E6479"/>
    <w:rsid w:val="004E6D2C"/>
    <w:rsid w:val="004E6ED8"/>
    <w:rsid w:val="004E75BB"/>
    <w:rsid w:val="004E7DDD"/>
    <w:rsid w:val="004F080C"/>
    <w:rsid w:val="004F0FF6"/>
    <w:rsid w:val="004F10D4"/>
    <w:rsid w:val="004F1394"/>
    <w:rsid w:val="004F1A73"/>
    <w:rsid w:val="004F1BA0"/>
    <w:rsid w:val="004F1E6A"/>
    <w:rsid w:val="004F1F06"/>
    <w:rsid w:val="004F2616"/>
    <w:rsid w:val="004F26AD"/>
    <w:rsid w:val="004F2C26"/>
    <w:rsid w:val="004F35D7"/>
    <w:rsid w:val="004F36A0"/>
    <w:rsid w:val="004F3AEA"/>
    <w:rsid w:val="004F3B5E"/>
    <w:rsid w:val="004F3E02"/>
    <w:rsid w:val="004F3E57"/>
    <w:rsid w:val="004F3FBA"/>
    <w:rsid w:val="004F440F"/>
    <w:rsid w:val="004F4493"/>
    <w:rsid w:val="004F4714"/>
    <w:rsid w:val="004F4723"/>
    <w:rsid w:val="004F47E8"/>
    <w:rsid w:val="004F48B9"/>
    <w:rsid w:val="004F5028"/>
    <w:rsid w:val="004F53F0"/>
    <w:rsid w:val="004F5D49"/>
    <w:rsid w:val="004F64EA"/>
    <w:rsid w:val="004F6C43"/>
    <w:rsid w:val="004F6CD8"/>
    <w:rsid w:val="004F76B0"/>
    <w:rsid w:val="004F83F2"/>
    <w:rsid w:val="005001FC"/>
    <w:rsid w:val="00500817"/>
    <w:rsid w:val="00500850"/>
    <w:rsid w:val="005008AB"/>
    <w:rsid w:val="005009CB"/>
    <w:rsid w:val="00500AC2"/>
    <w:rsid w:val="00501E0B"/>
    <w:rsid w:val="00501E13"/>
    <w:rsid w:val="00502455"/>
    <w:rsid w:val="00502F56"/>
    <w:rsid w:val="00503403"/>
    <w:rsid w:val="00504067"/>
    <w:rsid w:val="00505868"/>
    <w:rsid w:val="00505F08"/>
    <w:rsid w:val="0050627B"/>
    <w:rsid w:val="00506BC8"/>
    <w:rsid w:val="00507777"/>
    <w:rsid w:val="005100B8"/>
    <w:rsid w:val="0051076F"/>
    <w:rsid w:val="00510CFE"/>
    <w:rsid w:val="00511327"/>
    <w:rsid w:val="0051168E"/>
    <w:rsid w:val="00511719"/>
    <w:rsid w:val="00511D01"/>
    <w:rsid w:val="005123CF"/>
    <w:rsid w:val="0051240D"/>
    <w:rsid w:val="005129D9"/>
    <w:rsid w:val="00512B40"/>
    <w:rsid w:val="00512FB2"/>
    <w:rsid w:val="005137EE"/>
    <w:rsid w:val="00513D45"/>
    <w:rsid w:val="00513E23"/>
    <w:rsid w:val="00514523"/>
    <w:rsid w:val="005148A7"/>
    <w:rsid w:val="00514BCD"/>
    <w:rsid w:val="00514D1A"/>
    <w:rsid w:val="00514EA5"/>
    <w:rsid w:val="00514FE8"/>
    <w:rsid w:val="0051508C"/>
    <w:rsid w:val="005153BD"/>
    <w:rsid w:val="0051547F"/>
    <w:rsid w:val="00515567"/>
    <w:rsid w:val="00515B10"/>
    <w:rsid w:val="00515E4D"/>
    <w:rsid w:val="00515FB7"/>
    <w:rsid w:val="00515FC7"/>
    <w:rsid w:val="0051628A"/>
    <w:rsid w:val="00516AD1"/>
    <w:rsid w:val="00516EAC"/>
    <w:rsid w:val="005171D2"/>
    <w:rsid w:val="005174A0"/>
    <w:rsid w:val="00517924"/>
    <w:rsid w:val="00521519"/>
    <w:rsid w:val="005219E6"/>
    <w:rsid w:val="00521E89"/>
    <w:rsid w:val="005222AB"/>
    <w:rsid w:val="00522506"/>
    <w:rsid w:val="00522F42"/>
    <w:rsid w:val="00522FB9"/>
    <w:rsid w:val="00523976"/>
    <w:rsid w:val="00524D41"/>
    <w:rsid w:val="00525C13"/>
    <w:rsid w:val="00526340"/>
    <w:rsid w:val="005265D3"/>
    <w:rsid w:val="005267BE"/>
    <w:rsid w:val="005267DD"/>
    <w:rsid w:val="00526AD0"/>
    <w:rsid w:val="0052734B"/>
    <w:rsid w:val="005273E6"/>
    <w:rsid w:val="0052767A"/>
    <w:rsid w:val="00527762"/>
    <w:rsid w:val="00527960"/>
    <w:rsid w:val="005279B0"/>
    <w:rsid w:val="00527A24"/>
    <w:rsid w:val="00527B01"/>
    <w:rsid w:val="00527DC1"/>
    <w:rsid w:val="00527EAF"/>
    <w:rsid w:val="0053038B"/>
    <w:rsid w:val="005305D7"/>
    <w:rsid w:val="00530AF5"/>
    <w:rsid w:val="00530B7D"/>
    <w:rsid w:val="00531040"/>
    <w:rsid w:val="00531621"/>
    <w:rsid w:val="0053219B"/>
    <w:rsid w:val="00532423"/>
    <w:rsid w:val="0053260E"/>
    <w:rsid w:val="0053281D"/>
    <w:rsid w:val="00532C6F"/>
    <w:rsid w:val="005336A4"/>
    <w:rsid w:val="00533B36"/>
    <w:rsid w:val="0053416C"/>
    <w:rsid w:val="00534F52"/>
    <w:rsid w:val="00535983"/>
    <w:rsid w:val="0053667E"/>
    <w:rsid w:val="00536B25"/>
    <w:rsid w:val="00537036"/>
    <w:rsid w:val="0053724B"/>
    <w:rsid w:val="0053754C"/>
    <w:rsid w:val="0053786F"/>
    <w:rsid w:val="00537CEE"/>
    <w:rsid w:val="00540687"/>
    <w:rsid w:val="005406CD"/>
    <w:rsid w:val="00541189"/>
    <w:rsid w:val="005414DB"/>
    <w:rsid w:val="0054185B"/>
    <w:rsid w:val="00541DE3"/>
    <w:rsid w:val="005420AB"/>
    <w:rsid w:val="005422CA"/>
    <w:rsid w:val="0054259D"/>
    <w:rsid w:val="00542EF6"/>
    <w:rsid w:val="005443B2"/>
    <w:rsid w:val="005444BF"/>
    <w:rsid w:val="00545440"/>
    <w:rsid w:val="00545A82"/>
    <w:rsid w:val="00545C8A"/>
    <w:rsid w:val="0054629A"/>
    <w:rsid w:val="00546470"/>
    <w:rsid w:val="005465ED"/>
    <w:rsid w:val="005465F7"/>
    <w:rsid w:val="00546B82"/>
    <w:rsid w:val="00546C10"/>
    <w:rsid w:val="00546F8B"/>
    <w:rsid w:val="00550475"/>
    <w:rsid w:val="005505AD"/>
    <w:rsid w:val="005508E9"/>
    <w:rsid w:val="00550C5F"/>
    <w:rsid w:val="00552C5A"/>
    <w:rsid w:val="0055327A"/>
    <w:rsid w:val="0055406B"/>
    <w:rsid w:val="00554510"/>
    <w:rsid w:val="005548A7"/>
    <w:rsid w:val="005551F1"/>
    <w:rsid w:val="0055523D"/>
    <w:rsid w:val="00555930"/>
    <w:rsid w:val="00556027"/>
    <w:rsid w:val="005564C9"/>
    <w:rsid w:val="00556B22"/>
    <w:rsid w:val="005571DA"/>
    <w:rsid w:val="00557B17"/>
    <w:rsid w:val="00557BD3"/>
    <w:rsid w:val="00557CDE"/>
    <w:rsid w:val="00557D09"/>
    <w:rsid w:val="00557EC8"/>
    <w:rsid w:val="00559A88"/>
    <w:rsid w:val="00560275"/>
    <w:rsid w:val="00560BA4"/>
    <w:rsid w:val="00561B99"/>
    <w:rsid w:val="005624FB"/>
    <w:rsid w:val="00562911"/>
    <w:rsid w:val="00562B23"/>
    <w:rsid w:val="00562D2D"/>
    <w:rsid w:val="00563290"/>
    <w:rsid w:val="005634A7"/>
    <w:rsid w:val="00563C80"/>
    <w:rsid w:val="005649EF"/>
    <w:rsid w:val="00564B10"/>
    <w:rsid w:val="00564E38"/>
    <w:rsid w:val="00565716"/>
    <w:rsid w:val="00565F85"/>
    <w:rsid w:val="0056623C"/>
    <w:rsid w:val="00566493"/>
    <w:rsid w:val="0056672D"/>
    <w:rsid w:val="00566CEE"/>
    <w:rsid w:val="00566D6D"/>
    <w:rsid w:val="005671CE"/>
    <w:rsid w:val="00567455"/>
    <w:rsid w:val="005677C9"/>
    <w:rsid w:val="00567FB1"/>
    <w:rsid w:val="0057035E"/>
    <w:rsid w:val="00570437"/>
    <w:rsid w:val="00570527"/>
    <w:rsid w:val="00570686"/>
    <w:rsid w:val="005706FC"/>
    <w:rsid w:val="00570AAE"/>
    <w:rsid w:val="00570B0E"/>
    <w:rsid w:val="00571189"/>
    <w:rsid w:val="00571B49"/>
    <w:rsid w:val="00571C2E"/>
    <w:rsid w:val="00572361"/>
    <w:rsid w:val="0057341D"/>
    <w:rsid w:val="00573C24"/>
    <w:rsid w:val="00573D8F"/>
    <w:rsid w:val="0057401A"/>
    <w:rsid w:val="005740CE"/>
    <w:rsid w:val="0057427F"/>
    <w:rsid w:val="00574E05"/>
    <w:rsid w:val="005757BD"/>
    <w:rsid w:val="005765C3"/>
    <w:rsid w:val="0057668C"/>
    <w:rsid w:val="00576CA1"/>
    <w:rsid w:val="005772C6"/>
    <w:rsid w:val="00577403"/>
    <w:rsid w:val="005775ED"/>
    <w:rsid w:val="0057A4F2"/>
    <w:rsid w:val="00580138"/>
    <w:rsid w:val="005801E0"/>
    <w:rsid w:val="005802BB"/>
    <w:rsid w:val="0058031C"/>
    <w:rsid w:val="00580620"/>
    <w:rsid w:val="0058076E"/>
    <w:rsid w:val="00580B5C"/>
    <w:rsid w:val="00581110"/>
    <w:rsid w:val="00581F81"/>
    <w:rsid w:val="00581FCD"/>
    <w:rsid w:val="00582548"/>
    <w:rsid w:val="005825DF"/>
    <w:rsid w:val="00582E5B"/>
    <w:rsid w:val="00583179"/>
    <w:rsid w:val="00583906"/>
    <w:rsid w:val="00583D0D"/>
    <w:rsid w:val="00584599"/>
    <w:rsid w:val="00584A72"/>
    <w:rsid w:val="00584B97"/>
    <w:rsid w:val="00584D92"/>
    <w:rsid w:val="005850D6"/>
    <w:rsid w:val="00585303"/>
    <w:rsid w:val="0058534B"/>
    <w:rsid w:val="0058570B"/>
    <w:rsid w:val="00585C2A"/>
    <w:rsid w:val="00586279"/>
    <w:rsid w:val="005867D6"/>
    <w:rsid w:val="00587604"/>
    <w:rsid w:val="00587AB4"/>
    <w:rsid w:val="00587BBA"/>
    <w:rsid w:val="0058E179"/>
    <w:rsid w:val="00590662"/>
    <w:rsid w:val="00590874"/>
    <w:rsid w:val="00590C1A"/>
    <w:rsid w:val="00591409"/>
    <w:rsid w:val="0059166C"/>
    <w:rsid w:val="005925A0"/>
    <w:rsid w:val="00592C6A"/>
    <w:rsid w:val="00592F48"/>
    <w:rsid w:val="0059331C"/>
    <w:rsid w:val="005933C6"/>
    <w:rsid w:val="00593670"/>
    <w:rsid w:val="0059376F"/>
    <w:rsid w:val="00593777"/>
    <w:rsid w:val="00593E9F"/>
    <w:rsid w:val="00594339"/>
    <w:rsid w:val="00594A57"/>
    <w:rsid w:val="00595793"/>
    <w:rsid w:val="00596897"/>
    <w:rsid w:val="005A0357"/>
    <w:rsid w:val="005A04FA"/>
    <w:rsid w:val="005A0B37"/>
    <w:rsid w:val="005A1217"/>
    <w:rsid w:val="005A1ACA"/>
    <w:rsid w:val="005A39B8"/>
    <w:rsid w:val="005A3BF7"/>
    <w:rsid w:val="005A44B5"/>
    <w:rsid w:val="005A45BA"/>
    <w:rsid w:val="005A491A"/>
    <w:rsid w:val="005A613A"/>
    <w:rsid w:val="005A64AA"/>
    <w:rsid w:val="005A659A"/>
    <w:rsid w:val="005A65EA"/>
    <w:rsid w:val="005A6827"/>
    <w:rsid w:val="005A6F4F"/>
    <w:rsid w:val="005A71FD"/>
    <w:rsid w:val="005A7777"/>
    <w:rsid w:val="005B017E"/>
    <w:rsid w:val="005B0CC1"/>
    <w:rsid w:val="005B0D8E"/>
    <w:rsid w:val="005B0E67"/>
    <w:rsid w:val="005B11D4"/>
    <w:rsid w:val="005B2BE2"/>
    <w:rsid w:val="005B32CA"/>
    <w:rsid w:val="005B33F2"/>
    <w:rsid w:val="005B39DC"/>
    <w:rsid w:val="005B3B54"/>
    <w:rsid w:val="005B4175"/>
    <w:rsid w:val="005B4765"/>
    <w:rsid w:val="005B4F70"/>
    <w:rsid w:val="005B51B7"/>
    <w:rsid w:val="005B5A0D"/>
    <w:rsid w:val="005B5B90"/>
    <w:rsid w:val="005B64B2"/>
    <w:rsid w:val="005B6A1E"/>
    <w:rsid w:val="005B7954"/>
    <w:rsid w:val="005B7AAB"/>
    <w:rsid w:val="005B7E42"/>
    <w:rsid w:val="005B7F32"/>
    <w:rsid w:val="005C0042"/>
    <w:rsid w:val="005C0460"/>
    <w:rsid w:val="005C05C4"/>
    <w:rsid w:val="005C0C8D"/>
    <w:rsid w:val="005C0EF8"/>
    <w:rsid w:val="005C12FB"/>
    <w:rsid w:val="005C1B49"/>
    <w:rsid w:val="005C22E7"/>
    <w:rsid w:val="005C22FB"/>
    <w:rsid w:val="005C2621"/>
    <w:rsid w:val="005C2B77"/>
    <w:rsid w:val="005C3E96"/>
    <w:rsid w:val="005C484B"/>
    <w:rsid w:val="005C4C5F"/>
    <w:rsid w:val="005C4F57"/>
    <w:rsid w:val="005C50C7"/>
    <w:rsid w:val="005C54AD"/>
    <w:rsid w:val="005C588A"/>
    <w:rsid w:val="005C5A78"/>
    <w:rsid w:val="005C5F19"/>
    <w:rsid w:val="005C69BE"/>
    <w:rsid w:val="005C6F67"/>
    <w:rsid w:val="005C705B"/>
    <w:rsid w:val="005C7EAF"/>
    <w:rsid w:val="005D0D47"/>
    <w:rsid w:val="005D0E6E"/>
    <w:rsid w:val="005D0F6A"/>
    <w:rsid w:val="005D1599"/>
    <w:rsid w:val="005D1866"/>
    <w:rsid w:val="005D26CF"/>
    <w:rsid w:val="005D2FE4"/>
    <w:rsid w:val="005D34D6"/>
    <w:rsid w:val="005D35CE"/>
    <w:rsid w:val="005D510A"/>
    <w:rsid w:val="005D563E"/>
    <w:rsid w:val="005D566B"/>
    <w:rsid w:val="005D59A0"/>
    <w:rsid w:val="005D616A"/>
    <w:rsid w:val="005D626F"/>
    <w:rsid w:val="005D629C"/>
    <w:rsid w:val="005D687F"/>
    <w:rsid w:val="005D6898"/>
    <w:rsid w:val="005D6A12"/>
    <w:rsid w:val="005D6D93"/>
    <w:rsid w:val="005D6FE3"/>
    <w:rsid w:val="005D76D6"/>
    <w:rsid w:val="005D7A21"/>
    <w:rsid w:val="005D7DC3"/>
    <w:rsid w:val="005E02C5"/>
    <w:rsid w:val="005E1184"/>
    <w:rsid w:val="005E11B6"/>
    <w:rsid w:val="005E1E26"/>
    <w:rsid w:val="005E2049"/>
    <w:rsid w:val="005E2B7B"/>
    <w:rsid w:val="005E33A1"/>
    <w:rsid w:val="005E35CB"/>
    <w:rsid w:val="005E395E"/>
    <w:rsid w:val="005E406E"/>
    <w:rsid w:val="005E4411"/>
    <w:rsid w:val="005E47B8"/>
    <w:rsid w:val="005E5D40"/>
    <w:rsid w:val="005E61D9"/>
    <w:rsid w:val="005E61E0"/>
    <w:rsid w:val="005E63CA"/>
    <w:rsid w:val="005E69D7"/>
    <w:rsid w:val="005E6E3E"/>
    <w:rsid w:val="005E7635"/>
    <w:rsid w:val="005E788C"/>
    <w:rsid w:val="005F02D2"/>
    <w:rsid w:val="005F246D"/>
    <w:rsid w:val="005F2D3D"/>
    <w:rsid w:val="005F33D4"/>
    <w:rsid w:val="005F3962"/>
    <w:rsid w:val="005F3990"/>
    <w:rsid w:val="005F3CA9"/>
    <w:rsid w:val="005F3DA4"/>
    <w:rsid w:val="005F42FA"/>
    <w:rsid w:val="005F4C89"/>
    <w:rsid w:val="005F51EC"/>
    <w:rsid w:val="005F5F2C"/>
    <w:rsid w:val="005F5F34"/>
    <w:rsid w:val="005F71F8"/>
    <w:rsid w:val="005F722E"/>
    <w:rsid w:val="005F74C1"/>
    <w:rsid w:val="005F77FD"/>
    <w:rsid w:val="005F791A"/>
    <w:rsid w:val="005F79F2"/>
    <w:rsid w:val="005F7EB5"/>
    <w:rsid w:val="00600DFD"/>
    <w:rsid w:val="00600E2D"/>
    <w:rsid w:val="00601532"/>
    <w:rsid w:val="006025E1"/>
    <w:rsid w:val="00602BE3"/>
    <w:rsid w:val="00602DF5"/>
    <w:rsid w:val="00603227"/>
    <w:rsid w:val="006034C9"/>
    <w:rsid w:val="006034E8"/>
    <w:rsid w:val="0060374F"/>
    <w:rsid w:val="006038F1"/>
    <w:rsid w:val="006041D7"/>
    <w:rsid w:val="00604456"/>
    <w:rsid w:val="00604651"/>
    <w:rsid w:val="00604BA3"/>
    <w:rsid w:val="0060524A"/>
    <w:rsid w:val="00605384"/>
    <w:rsid w:val="00605435"/>
    <w:rsid w:val="006054F0"/>
    <w:rsid w:val="00605AB8"/>
    <w:rsid w:val="00606174"/>
    <w:rsid w:val="00606A22"/>
    <w:rsid w:val="00606F40"/>
    <w:rsid w:val="00606F7A"/>
    <w:rsid w:val="00607586"/>
    <w:rsid w:val="0060791F"/>
    <w:rsid w:val="00607C85"/>
    <w:rsid w:val="00610543"/>
    <w:rsid w:val="00610572"/>
    <w:rsid w:val="0061074B"/>
    <w:rsid w:val="00610819"/>
    <w:rsid w:val="006108C3"/>
    <w:rsid w:val="00610D15"/>
    <w:rsid w:val="00611439"/>
    <w:rsid w:val="00611800"/>
    <w:rsid w:val="00611DDF"/>
    <w:rsid w:val="006121D0"/>
    <w:rsid w:val="00612808"/>
    <w:rsid w:val="00612B03"/>
    <w:rsid w:val="0061368F"/>
    <w:rsid w:val="006139A0"/>
    <w:rsid w:val="00613A8B"/>
    <w:rsid w:val="00613DF5"/>
    <w:rsid w:val="00614107"/>
    <w:rsid w:val="0061433C"/>
    <w:rsid w:val="0061487B"/>
    <w:rsid w:val="00614CA4"/>
    <w:rsid w:val="00615203"/>
    <w:rsid w:val="006152EA"/>
    <w:rsid w:val="006153F2"/>
    <w:rsid w:val="0061550F"/>
    <w:rsid w:val="00615D44"/>
    <w:rsid w:val="00616146"/>
    <w:rsid w:val="0061626A"/>
    <w:rsid w:val="006165FD"/>
    <w:rsid w:val="00616C6E"/>
    <w:rsid w:val="00616DFF"/>
    <w:rsid w:val="00616F32"/>
    <w:rsid w:val="00617279"/>
    <w:rsid w:val="00617473"/>
    <w:rsid w:val="006179E1"/>
    <w:rsid w:val="006200F5"/>
    <w:rsid w:val="00620260"/>
    <w:rsid w:val="006205FF"/>
    <w:rsid w:val="006208A2"/>
    <w:rsid w:val="00620917"/>
    <w:rsid w:val="00620D56"/>
    <w:rsid w:val="00621660"/>
    <w:rsid w:val="00621F2A"/>
    <w:rsid w:val="00621FB4"/>
    <w:rsid w:val="00622047"/>
    <w:rsid w:val="006222EF"/>
    <w:rsid w:val="00622DB5"/>
    <w:rsid w:val="00623447"/>
    <w:rsid w:val="00623451"/>
    <w:rsid w:val="00623C08"/>
    <w:rsid w:val="00624539"/>
    <w:rsid w:val="00624E38"/>
    <w:rsid w:val="00625536"/>
    <w:rsid w:val="006256A6"/>
    <w:rsid w:val="0062612D"/>
    <w:rsid w:val="00626534"/>
    <w:rsid w:val="0062670A"/>
    <w:rsid w:val="006267ED"/>
    <w:rsid w:val="006267F3"/>
    <w:rsid w:val="00626AA7"/>
    <w:rsid w:val="00627B7C"/>
    <w:rsid w:val="00627E09"/>
    <w:rsid w:val="00630683"/>
    <w:rsid w:val="00631253"/>
    <w:rsid w:val="006317AE"/>
    <w:rsid w:val="00631ECB"/>
    <w:rsid w:val="00631F1D"/>
    <w:rsid w:val="00632D58"/>
    <w:rsid w:val="00632E2A"/>
    <w:rsid w:val="0063364B"/>
    <w:rsid w:val="00634298"/>
    <w:rsid w:val="00634753"/>
    <w:rsid w:val="00634CBE"/>
    <w:rsid w:val="00635D00"/>
    <w:rsid w:val="00635D5E"/>
    <w:rsid w:val="0063605A"/>
    <w:rsid w:val="0063623D"/>
    <w:rsid w:val="00637177"/>
    <w:rsid w:val="00637475"/>
    <w:rsid w:val="00637D02"/>
    <w:rsid w:val="00637D79"/>
    <w:rsid w:val="00640614"/>
    <w:rsid w:val="00640815"/>
    <w:rsid w:val="006409BC"/>
    <w:rsid w:val="006412B8"/>
    <w:rsid w:val="00641754"/>
    <w:rsid w:val="00641B2B"/>
    <w:rsid w:val="006420E8"/>
    <w:rsid w:val="006429DE"/>
    <w:rsid w:val="00642EDC"/>
    <w:rsid w:val="00642EF2"/>
    <w:rsid w:val="00643AD3"/>
    <w:rsid w:val="006447DC"/>
    <w:rsid w:val="00644889"/>
    <w:rsid w:val="00644AA6"/>
    <w:rsid w:val="00644D6A"/>
    <w:rsid w:val="006452A9"/>
    <w:rsid w:val="00645424"/>
    <w:rsid w:val="00645459"/>
    <w:rsid w:val="006457E8"/>
    <w:rsid w:val="006457F9"/>
    <w:rsid w:val="00646304"/>
    <w:rsid w:val="0064664F"/>
    <w:rsid w:val="00646F60"/>
    <w:rsid w:val="006473FA"/>
    <w:rsid w:val="0065085B"/>
    <w:rsid w:val="00650B58"/>
    <w:rsid w:val="00650E0D"/>
    <w:rsid w:val="00650E42"/>
    <w:rsid w:val="00651570"/>
    <w:rsid w:val="0065167A"/>
    <w:rsid w:val="0065171E"/>
    <w:rsid w:val="00651F0C"/>
    <w:rsid w:val="00652A25"/>
    <w:rsid w:val="00652B73"/>
    <w:rsid w:val="00652EC3"/>
    <w:rsid w:val="006532C4"/>
    <w:rsid w:val="0065343E"/>
    <w:rsid w:val="006535D8"/>
    <w:rsid w:val="00653F66"/>
    <w:rsid w:val="006541AC"/>
    <w:rsid w:val="0065457F"/>
    <w:rsid w:val="00654B50"/>
    <w:rsid w:val="00654B56"/>
    <w:rsid w:val="00654C9F"/>
    <w:rsid w:val="0065501E"/>
    <w:rsid w:val="006554B6"/>
    <w:rsid w:val="0065579C"/>
    <w:rsid w:val="00656732"/>
    <w:rsid w:val="00656742"/>
    <w:rsid w:val="00656D21"/>
    <w:rsid w:val="0065722A"/>
    <w:rsid w:val="00657D76"/>
    <w:rsid w:val="006607EB"/>
    <w:rsid w:val="00660989"/>
    <w:rsid w:val="00661A6F"/>
    <w:rsid w:val="00661B89"/>
    <w:rsid w:val="006620B2"/>
    <w:rsid w:val="00662387"/>
    <w:rsid w:val="00662975"/>
    <w:rsid w:val="00664397"/>
    <w:rsid w:val="00664755"/>
    <w:rsid w:val="006655AE"/>
    <w:rsid w:val="00666714"/>
    <w:rsid w:val="00666B03"/>
    <w:rsid w:val="00666B70"/>
    <w:rsid w:val="00667221"/>
    <w:rsid w:val="006673C0"/>
    <w:rsid w:val="006673C3"/>
    <w:rsid w:val="006674F9"/>
    <w:rsid w:val="006678FF"/>
    <w:rsid w:val="00667943"/>
    <w:rsid w:val="0067115B"/>
    <w:rsid w:val="006720EE"/>
    <w:rsid w:val="0067270A"/>
    <w:rsid w:val="00672BF6"/>
    <w:rsid w:val="00672C0F"/>
    <w:rsid w:val="00672C81"/>
    <w:rsid w:val="006750AF"/>
    <w:rsid w:val="00675424"/>
    <w:rsid w:val="00675982"/>
    <w:rsid w:val="00675CD1"/>
    <w:rsid w:val="00675E6B"/>
    <w:rsid w:val="006765BE"/>
    <w:rsid w:val="0067671B"/>
    <w:rsid w:val="00676B97"/>
    <w:rsid w:val="00676CC8"/>
    <w:rsid w:val="006773B6"/>
    <w:rsid w:val="00677471"/>
    <w:rsid w:val="0067768C"/>
    <w:rsid w:val="006776B8"/>
    <w:rsid w:val="00677BA9"/>
    <w:rsid w:val="00677E65"/>
    <w:rsid w:val="006808DC"/>
    <w:rsid w:val="00680B80"/>
    <w:rsid w:val="006814D7"/>
    <w:rsid w:val="006819FE"/>
    <w:rsid w:val="00681A64"/>
    <w:rsid w:val="00681AD7"/>
    <w:rsid w:val="00681B43"/>
    <w:rsid w:val="00681BEC"/>
    <w:rsid w:val="0068314F"/>
    <w:rsid w:val="00684477"/>
    <w:rsid w:val="006845BC"/>
    <w:rsid w:val="00684626"/>
    <w:rsid w:val="006846BD"/>
    <w:rsid w:val="00685754"/>
    <w:rsid w:val="00685854"/>
    <w:rsid w:val="00685909"/>
    <w:rsid w:val="00685E14"/>
    <w:rsid w:val="0068614A"/>
    <w:rsid w:val="006861FE"/>
    <w:rsid w:val="006862E4"/>
    <w:rsid w:val="0068664A"/>
    <w:rsid w:val="0068778A"/>
    <w:rsid w:val="00687B32"/>
    <w:rsid w:val="00690DF2"/>
    <w:rsid w:val="00691CDF"/>
    <w:rsid w:val="006922E4"/>
    <w:rsid w:val="00692335"/>
    <w:rsid w:val="00692698"/>
    <w:rsid w:val="006928EB"/>
    <w:rsid w:val="00692914"/>
    <w:rsid w:val="00692B15"/>
    <w:rsid w:val="0069316F"/>
    <w:rsid w:val="006933C0"/>
    <w:rsid w:val="006936EB"/>
    <w:rsid w:val="006937F4"/>
    <w:rsid w:val="006939AA"/>
    <w:rsid w:val="00693A96"/>
    <w:rsid w:val="00693B97"/>
    <w:rsid w:val="00694159"/>
    <w:rsid w:val="006943C6"/>
    <w:rsid w:val="00694FCB"/>
    <w:rsid w:val="00695A43"/>
    <w:rsid w:val="00695ADA"/>
    <w:rsid w:val="00695CDF"/>
    <w:rsid w:val="00695D24"/>
    <w:rsid w:val="006961B7"/>
    <w:rsid w:val="006963D5"/>
    <w:rsid w:val="00696497"/>
    <w:rsid w:val="00697FDB"/>
    <w:rsid w:val="00697FF0"/>
    <w:rsid w:val="006A02E8"/>
    <w:rsid w:val="006A0CEB"/>
    <w:rsid w:val="006A0F99"/>
    <w:rsid w:val="006A1A60"/>
    <w:rsid w:val="006A1CB2"/>
    <w:rsid w:val="006A2251"/>
    <w:rsid w:val="006A2C50"/>
    <w:rsid w:val="006A2D95"/>
    <w:rsid w:val="006A3685"/>
    <w:rsid w:val="006A36D9"/>
    <w:rsid w:val="006A4917"/>
    <w:rsid w:val="006A4E53"/>
    <w:rsid w:val="006A4F74"/>
    <w:rsid w:val="006A5143"/>
    <w:rsid w:val="006A58FD"/>
    <w:rsid w:val="006A5F23"/>
    <w:rsid w:val="006A6C3D"/>
    <w:rsid w:val="006A6D4C"/>
    <w:rsid w:val="006A75EF"/>
    <w:rsid w:val="006A7CE2"/>
    <w:rsid w:val="006A7DD8"/>
    <w:rsid w:val="006B0C5A"/>
    <w:rsid w:val="006B0CD6"/>
    <w:rsid w:val="006B0D9F"/>
    <w:rsid w:val="006B0DCA"/>
    <w:rsid w:val="006B100D"/>
    <w:rsid w:val="006B1358"/>
    <w:rsid w:val="006B1416"/>
    <w:rsid w:val="006B1750"/>
    <w:rsid w:val="006B229D"/>
    <w:rsid w:val="006B22FA"/>
    <w:rsid w:val="006B2E39"/>
    <w:rsid w:val="006B3048"/>
    <w:rsid w:val="006B3051"/>
    <w:rsid w:val="006B306A"/>
    <w:rsid w:val="006B400C"/>
    <w:rsid w:val="006B4729"/>
    <w:rsid w:val="006B4BDF"/>
    <w:rsid w:val="006B5131"/>
    <w:rsid w:val="006B53ED"/>
    <w:rsid w:val="006B5DB4"/>
    <w:rsid w:val="006B5F95"/>
    <w:rsid w:val="006B600B"/>
    <w:rsid w:val="006B6071"/>
    <w:rsid w:val="006B60C7"/>
    <w:rsid w:val="006B6A3A"/>
    <w:rsid w:val="006B6A70"/>
    <w:rsid w:val="006B7153"/>
    <w:rsid w:val="006B79EA"/>
    <w:rsid w:val="006B7E01"/>
    <w:rsid w:val="006B7E52"/>
    <w:rsid w:val="006B7EAE"/>
    <w:rsid w:val="006C0005"/>
    <w:rsid w:val="006C029C"/>
    <w:rsid w:val="006C11A3"/>
    <w:rsid w:val="006C1874"/>
    <w:rsid w:val="006C1E74"/>
    <w:rsid w:val="006C1EBD"/>
    <w:rsid w:val="006C27B1"/>
    <w:rsid w:val="006C28C5"/>
    <w:rsid w:val="006C2992"/>
    <w:rsid w:val="006C2ED5"/>
    <w:rsid w:val="006C33C9"/>
    <w:rsid w:val="006C3D3A"/>
    <w:rsid w:val="006C472C"/>
    <w:rsid w:val="006C4C94"/>
    <w:rsid w:val="006C50E5"/>
    <w:rsid w:val="006C54F7"/>
    <w:rsid w:val="006C5D92"/>
    <w:rsid w:val="006C60FC"/>
    <w:rsid w:val="006C69D1"/>
    <w:rsid w:val="006C71FC"/>
    <w:rsid w:val="006C733D"/>
    <w:rsid w:val="006C74BC"/>
    <w:rsid w:val="006C75B9"/>
    <w:rsid w:val="006C7CBA"/>
    <w:rsid w:val="006C7E1E"/>
    <w:rsid w:val="006D0210"/>
    <w:rsid w:val="006D0A83"/>
    <w:rsid w:val="006D14F4"/>
    <w:rsid w:val="006D156A"/>
    <w:rsid w:val="006D1FD5"/>
    <w:rsid w:val="006D22A6"/>
    <w:rsid w:val="006D2ADC"/>
    <w:rsid w:val="006D2BFB"/>
    <w:rsid w:val="006D3D32"/>
    <w:rsid w:val="006D3DDE"/>
    <w:rsid w:val="006D40CB"/>
    <w:rsid w:val="006D4320"/>
    <w:rsid w:val="006D464C"/>
    <w:rsid w:val="006D4D64"/>
    <w:rsid w:val="006D4DAA"/>
    <w:rsid w:val="006D4E2E"/>
    <w:rsid w:val="006D4FE0"/>
    <w:rsid w:val="006D52BA"/>
    <w:rsid w:val="006D5D68"/>
    <w:rsid w:val="006D61A4"/>
    <w:rsid w:val="006D63BF"/>
    <w:rsid w:val="006D6518"/>
    <w:rsid w:val="006D67A0"/>
    <w:rsid w:val="006D6D40"/>
    <w:rsid w:val="006D6DFE"/>
    <w:rsid w:val="006D77E1"/>
    <w:rsid w:val="006E006E"/>
    <w:rsid w:val="006E0743"/>
    <w:rsid w:val="006E0F3B"/>
    <w:rsid w:val="006E188D"/>
    <w:rsid w:val="006E18CD"/>
    <w:rsid w:val="006E1C7B"/>
    <w:rsid w:val="006E222C"/>
    <w:rsid w:val="006E2C7B"/>
    <w:rsid w:val="006E325E"/>
    <w:rsid w:val="006E37B5"/>
    <w:rsid w:val="006E39A6"/>
    <w:rsid w:val="006E4221"/>
    <w:rsid w:val="006E47B9"/>
    <w:rsid w:val="006E53B3"/>
    <w:rsid w:val="006E558E"/>
    <w:rsid w:val="006E55F5"/>
    <w:rsid w:val="006E652A"/>
    <w:rsid w:val="006E6ACA"/>
    <w:rsid w:val="006E6FD3"/>
    <w:rsid w:val="006E72CF"/>
    <w:rsid w:val="006E7486"/>
    <w:rsid w:val="006E7B0A"/>
    <w:rsid w:val="006F0A64"/>
    <w:rsid w:val="006F0F4D"/>
    <w:rsid w:val="006F1204"/>
    <w:rsid w:val="006F15D9"/>
    <w:rsid w:val="006F1D5C"/>
    <w:rsid w:val="006F36F9"/>
    <w:rsid w:val="006F4547"/>
    <w:rsid w:val="006F4933"/>
    <w:rsid w:val="006F49ED"/>
    <w:rsid w:val="006F4A95"/>
    <w:rsid w:val="006F4DB4"/>
    <w:rsid w:val="006F5014"/>
    <w:rsid w:val="006F5ABB"/>
    <w:rsid w:val="006F5DF6"/>
    <w:rsid w:val="006F658C"/>
    <w:rsid w:val="006F6848"/>
    <w:rsid w:val="00700296"/>
    <w:rsid w:val="0070053B"/>
    <w:rsid w:val="00701B31"/>
    <w:rsid w:val="00702534"/>
    <w:rsid w:val="007026C5"/>
    <w:rsid w:val="007028AD"/>
    <w:rsid w:val="00702B77"/>
    <w:rsid w:val="00702EF1"/>
    <w:rsid w:val="00703421"/>
    <w:rsid w:val="00703660"/>
    <w:rsid w:val="00703D19"/>
    <w:rsid w:val="007046BB"/>
    <w:rsid w:val="00704770"/>
    <w:rsid w:val="00705590"/>
    <w:rsid w:val="007057C4"/>
    <w:rsid w:val="00705AD2"/>
    <w:rsid w:val="00705CFA"/>
    <w:rsid w:val="007060C2"/>
    <w:rsid w:val="0070692F"/>
    <w:rsid w:val="007071FE"/>
    <w:rsid w:val="00707E20"/>
    <w:rsid w:val="0071006C"/>
    <w:rsid w:val="00710188"/>
    <w:rsid w:val="00711145"/>
    <w:rsid w:val="007123C0"/>
    <w:rsid w:val="00713470"/>
    <w:rsid w:val="00713623"/>
    <w:rsid w:val="0071367A"/>
    <w:rsid w:val="00713E17"/>
    <w:rsid w:val="00713ED4"/>
    <w:rsid w:val="007147C7"/>
    <w:rsid w:val="00714BA0"/>
    <w:rsid w:val="00714BC6"/>
    <w:rsid w:val="00714C7C"/>
    <w:rsid w:val="00714F2B"/>
    <w:rsid w:val="0071559B"/>
    <w:rsid w:val="00715665"/>
    <w:rsid w:val="00715E62"/>
    <w:rsid w:val="00715FFE"/>
    <w:rsid w:val="007162F7"/>
    <w:rsid w:val="0071676C"/>
    <w:rsid w:val="00716B01"/>
    <w:rsid w:val="00717750"/>
    <w:rsid w:val="00717A5C"/>
    <w:rsid w:val="00717BD0"/>
    <w:rsid w:val="00717D09"/>
    <w:rsid w:val="0072023E"/>
    <w:rsid w:val="00720345"/>
    <w:rsid w:val="00720EEB"/>
    <w:rsid w:val="007216E2"/>
    <w:rsid w:val="0072173B"/>
    <w:rsid w:val="00722059"/>
    <w:rsid w:val="007227A2"/>
    <w:rsid w:val="00722906"/>
    <w:rsid w:val="00722EE9"/>
    <w:rsid w:val="00723737"/>
    <w:rsid w:val="00723B3A"/>
    <w:rsid w:val="00723C7B"/>
    <w:rsid w:val="00725151"/>
    <w:rsid w:val="00725336"/>
    <w:rsid w:val="0072640E"/>
    <w:rsid w:val="007268F7"/>
    <w:rsid w:val="007278A9"/>
    <w:rsid w:val="00727E3B"/>
    <w:rsid w:val="0072C2A1"/>
    <w:rsid w:val="00730AEB"/>
    <w:rsid w:val="00731632"/>
    <w:rsid w:val="00731F30"/>
    <w:rsid w:val="007329FB"/>
    <w:rsid w:val="00732A5B"/>
    <w:rsid w:val="00732A75"/>
    <w:rsid w:val="00732B31"/>
    <w:rsid w:val="00733BEC"/>
    <w:rsid w:val="00734323"/>
    <w:rsid w:val="00735025"/>
    <w:rsid w:val="00735968"/>
    <w:rsid w:val="0073599F"/>
    <w:rsid w:val="00735B2C"/>
    <w:rsid w:val="007364D4"/>
    <w:rsid w:val="007367A9"/>
    <w:rsid w:val="00736C58"/>
    <w:rsid w:val="00737420"/>
    <w:rsid w:val="0073783F"/>
    <w:rsid w:val="0073787B"/>
    <w:rsid w:val="007378D9"/>
    <w:rsid w:val="00737ECC"/>
    <w:rsid w:val="007409D1"/>
    <w:rsid w:val="00741384"/>
    <w:rsid w:val="00741640"/>
    <w:rsid w:val="00741837"/>
    <w:rsid w:val="007418BC"/>
    <w:rsid w:val="00741B7C"/>
    <w:rsid w:val="0074422B"/>
    <w:rsid w:val="0074433D"/>
    <w:rsid w:val="007449E6"/>
    <w:rsid w:val="00744FEC"/>
    <w:rsid w:val="00745307"/>
    <w:rsid w:val="00745485"/>
    <w:rsid w:val="00746026"/>
    <w:rsid w:val="0074607E"/>
    <w:rsid w:val="00746229"/>
    <w:rsid w:val="00746E00"/>
    <w:rsid w:val="00746FA5"/>
    <w:rsid w:val="007473CE"/>
    <w:rsid w:val="007475CC"/>
    <w:rsid w:val="00750322"/>
    <w:rsid w:val="007506A9"/>
    <w:rsid w:val="00750E9F"/>
    <w:rsid w:val="00751106"/>
    <w:rsid w:val="00752C14"/>
    <w:rsid w:val="00753012"/>
    <w:rsid w:val="007533A8"/>
    <w:rsid w:val="00753E97"/>
    <w:rsid w:val="00753EFF"/>
    <w:rsid w:val="00754789"/>
    <w:rsid w:val="0075529D"/>
    <w:rsid w:val="00755443"/>
    <w:rsid w:val="0075566F"/>
    <w:rsid w:val="007571A1"/>
    <w:rsid w:val="007600F1"/>
    <w:rsid w:val="00760549"/>
    <w:rsid w:val="00760610"/>
    <w:rsid w:val="00760D5B"/>
    <w:rsid w:val="00761EAF"/>
    <w:rsid w:val="00762AE6"/>
    <w:rsid w:val="0076337A"/>
    <w:rsid w:val="007635A0"/>
    <w:rsid w:val="00763C00"/>
    <w:rsid w:val="0076454D"/>
    <w:rsid w:val="00764BB1"/>
    <w:rsid w:val="00764EB8"/>
    <w:rsid w:val="00764F2A"/>
    <w:rsid w:val="00764F9B"/>
    <w:rsid w:val="00765167"/>
    <w:rsid w:val="007654B6"/>
    <w:rsid w:val="0076596D"/>
    <w:rsid w:val="00765B52"/>
    <w:rsid w:val="00765E64"/>
    <w:rsid w:val="00766111"/>
    <w:rsid w:val="00766703"/>
    <w:rsid w:val="00766AE4"/>
    <w:rsid w:val="00766B4D"/>
    <w:rsid w:val="00766FA6"/>
    <w:rsid w:val="0076713A"/>
    <w:rsid w:val="0077069B"/>
    <w:rsid w:val="007708E9"/>
    <w:rsid w:val="00771B39"/>
    <w:rsid w:val="00771E27"/>
    <w:rsid w:val="0077230A"/>
    <w:rsid w:val="007725A7"/>
    <w:rsid w:val="00772B85"/>
    <w:rsid w:val="00773307"/>
    <w:rsid w:val="00773947"/>
    <w:rsid w:val="00773D0A"/>
    <w:rsid w:val="0077420E"/>
    <w:rsid w:val="00774575"/>
    <w:rsid w:val="0077463C"/>
    <w:rsid w:val="00774983"/>
    <w:rsid w:val="00774B74"/>
    <w:rsid w:val="00774C63"/>
    <w:rsid w:val="0077571F"/>
    <w:rsid w:val="00775780"/>
    <w:rsid w:val="00775DA4"/>
    <w:rsid w:val="00776A58"/>
    <w:rsid w:val="00776AE3"/>
    <w:rsid w:val="00776F46"/>
    <w:rsid w:val="007770EA"/>
    <w:rsid w:val="00777243"/>
    <w:rsid w:val="00777A9B"/>
    <w:rsid w:val="0078023F"/>
    <w:rsid w:val="00780306"/>
    <w:rsid w:val="0078035A"/>
    <w:rsid w:val="007804B7"/>
    <w:rsid w:val="007805B8"/>
    <w:rsid w:val="007809BC"/>
    <w:rsid w:val="007812D1"/>
    <w:rsid w:val="007812F8"/>
    <w:rsid w:val="00781376"/>
    <w:rsid w:val="007813D8"/>
    <w:rsid w:val="00781450"/>
    <w:rsid w:val="00781F5D"/>
    <w:rsid w:val="00782227"/>
    <w:rsid w:val="007829E9"/>
    <w:rsid w:val="00782DA9"/>
    <w:rsid w:val="00782E21"/>
    <w:rsid w:val="00783004"/>
    <w:rsid w:val="00784323"/>
    <w:rsid w:val="00784659"/>
    <w:rsid w:val="0078482D"/>
    <w:rsid w:val="0078516E"/>
    <w:rsid w:val="00786913"/>
    <w:rsid w:val="00786F76"/>
    <w:rsid w:val="00790160"/>
    <w:rsid w:val="00790480"/>
    <w:rsid w:val="00790CCC"/>
    <w:rsid w:val="00791255"/>
    <w:rsid w:val="00792458"/>
    <w:rsid w:val="00792955"/>
    <w:rsid w:val="0079391C"/>
    <w:rsid w:val="007944DE"/>
    <w:rsid w:val="007947DE"/>
    <w:rsid w:val="00794E68"/>
    <w:rsid w:val="00795097"/>
    <w:rsid w:val="0079528E"/>
    <w:rsid w:val="007953CD"/>
    <w:rsid w:val="00795A63"/>
    <w:rsid w:val="00796991"/>
    <w:rsid w:val="007969B4"/>
    <w:rsid w:val="00796C64"/>
    <w:rsid w:val="00796DAF"/>
    <w:rsid w:val="007976A7"/>
    <w:rsid w:val="00797D98"/>
    <w:rsid w:val="007A0521"/>
    <w:rsid w:val="007A0B54"/>
    <w:rsid w:val="007A1173"/>
    <w:rsid w:val="007A1581"/>
    <w:rsid w:val="007A1587"/>
    <w:rsid w:val="007A1AE8"/>
    <w:rsid w:val="007A2337"/>
    <w:rsid w:val="007A2449"/>
    <w:rsid w:val="007A27EB"/>
    <w:rsid w:val="007A2AB1"/>
    <w:rsid w:val="007A2D2C"/>
    <w:rsid w:val="007A3840"/>
    <w:rsid w:val="007A3889"/>
    <w:rsid w:val="007A3EB8"/>
    <w:rsid w:val="007A4394"/>
    <w:rsid w:val="007A4A09"/>
    <w:rsid w:val="007A4D10"/>
    <w:rsid w:val="007A5365"/>
    <w:rsid w:val="007A5710"/>
    <w:rsid w:val="007A5919"/>
    <w:rsid w:val="007A5F05"/>
    <w:rsid w:val="007A61B0"/>
    <w:rsid w:val="007A68B1"/>
    <w:rsid w:val="007A6B9E"/>
    <w:rsid w:val="007A6DA3"/>
    <w:rsid w:val="007A6E20"/>
    <w:rsid w:val="007A70EB"/>
    <w:rsid w:val="007A7239"/>
    <w:rsid w:val="007A723F"/>
    <w:rsid w:val="007A796E"/>
    <w:rsid w:val="007B037B"/>
    <w:rsid w:val="007B11C8"/>
    <w:rsid w:val="007B124E"/>
    <w:rsid w:val="007B1410"/>
    <w:rsid w:val="007B15D2"/>
    <w:rsid w:val="007B1871"/>
    <w:rsid w:val="007B22C7"/>
    <w:rsid w:val="007B2B26"/>
    <w:rsid w:val="007B2C0A"/>
    <w:rsid w:val="007B2CA4"/>
    <w:rsid w:val="007B3197"/>
    <w:rsid w:val="007B319B"/>
    <w:rsid w:val="007B329A"/>
    <w:rsid w:val="007B3DA9"/>
    <w:rsid w:val="007B43AC"/>
    <w:rsid w:val="007B454B"/>
    <w:rsid w:val="007B5981"/>
    <w:rsid w:val="007B5F9C"/>
    <w:rsid w:val="007B63A3"/>
    <w:rsid w:val="007B63D6"/>
    <w:rsid w:val="007B63F1"/>
    <w:rsid w:val="007B6750"/>
    <w:rsid w:val="007B6947"/>
    <w:rsid w:val="007B7551"/>
    <w:rsid w:val="007B7A87"/>
    <w:rsid w:val="007C0E90"/>
    <w:rsid w:val="007C0FAA"/>
    <w:rsid w:val="007C10DA"/>
    <w:rsid w:val="007C1152"/>
    <w:rsid w:val="007C1691"/>
    <w:rsid w:val="007C17AE"/>
    <w:rsid w:val="007C17E2"/>
    <w:rsid w:val="007C17FC"/>
    <w:rsid w:val="007C231B"/>
    <w:rsid w:val="007C378E"/>
    <w:rsid w:val="007C3B09"/>
    <w:rsid w:val="007C3EF3"/>
    <w:rsid w:val="007C40B5"/>
    <w:rsid w:val="007C4503"/>
    <w:rsid w:val="007C4565"/>
    <w:rsid w:val="007C4800"/>
    <w:rsid w:val="007C4D2F"/>
    <w:rsid w:val="007C5A81"/>
    <w:rsid w:val="007C5B53"/>
    <w:rsid w:val="007C5C4F"/>
    <w:rsid w:val="007C6706"/>
    <w:rsid w:val="007C72CC"/>
    <w:rsid w:val="007C78A3"/>
    <w:rsid w:val="007C7A69"/>
    <w:rsid w:val="007D00C9"/>
    <w:rsid w:val="007D05BD"/>
    <w:rsid w:val="007D0B23"/>
    <w:rsid w:val="007D0C73"/>
    <w:rsid w:val="007D149C"/>
    <w:rsid w:val="007D1FCB"/>
    <w:rsid w:val="007D2306"/>
    <w:rsid w:val="007D2337"/>
    <w:rsid w:val="007D277F"/>
    <w:rsid w:val="007D27E7"/>
    <w:rsid w:val="007D3098"/>
    <w:rsid w:val="007D31FD"/>
    <w:rsid w:val="007D32BB"/>
    <w:rsid w:val="007D3798"/>
    <w:rsid w:val="007D3A7D"/>
    <w:rsid w:val="007D3D9C"/>
    <w:rsid w:val="007D3DD4"/>
    <w:rsid w:val="007D4C39"/>
    <w:rsid w:val="007D501F"/>
    <w:rsid w:val="007D5315"/>
    <w:rsid w:val="007D557F"/>
    <w:rsid w:val="007D5721"/>
    <w:rsid w:val="007D5839"/>
    <w:rsid w:val="007D5FA5"/>
    <w:rsid w:val="007D6175"/>
    <w:rsid w:val="007D6721"/>
    <w:rsid w:val="007D733B"/>
    <w:rsid w:val="007D78D3"/>
    <w:rsid w:val="007E0003"/>
    <w:rsid w:val="007E0BB1"/>
    <w:rsid w:val="007E0CB3"/>
    <w:rsid w:val="007E0D7D"/>
    <w:rsid w:val="007E1220"/>
    <w:rsid w:val="007E147C"/>
    <w:rsid w:val="007E18E0"/>
    <w:rsid w:val="007E1F21"/>
    <w:rsid w:val="007E2343"/>
    <w:rsid w:val="007E2477"/>
    <w:rsid w:val="007E266C"/>
    <w:rsid w:val="007E2676"/>
    <w:rsid w:val="007E27D1"/>
    <w:rsid w:val="007E2CF0"/>
    <w:rsid w:val="007E31FA"/>
    <w:rsid w:val="007E34C5"/>
    <w:rsid w:val="007E3A3E"/>
    <w:rsid w:val="007E3B3C"/>
    <w:rsid w:val="007E3F7C"/>
    <w:rsid w:val="007E4264"/>
    <w:rsid w:val="007E4294"/>
    <w:rsid w:val="007E45ED"/>
    <w:rsid w:val="007E55B1"/>
    <w:rsid w:val="007E610C"/>
    <w:rsid w:val="007E65BD"/>
    <w:rsid w:val="007E66C6"/>
    <w:rsid w:val="007E693F"/>
    <w:rsid w:val="007E73C7"/>
    <w:rsid w:val="007EEB8E"/>
    <w:rsid w:val="007F0114"/>
    <w:rsid w:val="007F0580"/>
    <w:rsid w:val="007F085D"/>
    <w:rsid w:val="007F1A15"/>
    <w:rsid w:val="007F1C50"/>
    <w:rsid w:val="007F2E75"/>
    <w:rsid w:val="007F3B44"/>
    <w:rsid w:val="007F3C3D"/>
    <w:rsid w:val="007F4104"/>
    <w:rsid w:val="007F46EE"/>
    <w:rsid w:val="007F474D"/>
    <w:rsid w:val="007F47D3"/>
    <w:rsid w:val="007F4966"/>
    <w:rsid w:val="007F5375"/>
    <w:rsid w:val="007F5727"/>
    <w:rsid w:val="007F5C56"/>
    <w:rsid w:val="007F61A7"/>
    <w:rsid w:val="007F718D"/>
    <w:rsid w:val="007F72A6"/>
    <w:rsid w:val="007F7421"/>
    <w:rsid w:val="007F7597"/>
    <w:rsid w:val="007F77E5"/>
    <w:rsid w:val="007F7C41"/>
    <w:rsid w:val="007F7FCA"/>
    <w:rsid w:val="00800424"/>
    <w:rsid w:val="00800580"/>
    <w:rsid w:val="00801611"/>
    <w:rsid w:val="00801E86"/>
    <w:rsid w:val="00801FF3"/>
    <w:rsid w:val="00802175"/>
    <w:rsid w:val="00802308"/>
    <w:rsid w:val="0080268E"/>
    <w:rsid w:val="00802FED"/>
    <w:rsid w:val="0080308B"/>
    <w:rsid w:val="00803687"/>
    <w:rsid w:val="00803AEE"/>
    <w:rsid w:val="00803C38"/>
    <w:rsid w:val="00804442"/>
    <w:rsid w:val="008044A4"/>
    <w:rsid w:val="0080466F"/>
    <w:rsid w:val="00804A16"/>
    <w:rsid w:val="00804AC6"/>
    <w:rsid w:val="00804C0E"/>
    <w:rsid w:val="00804C95"/>
    <w:rsid w:val="0080537C"/>
    <w:rsid w:val="00805757"/>
    <w:rsid w:val="008068F6"/>
    <w:rsid w:val="00806AF3"/>
    <w:rsid w:val="00806F53"/>
    <w:rsid w:val="00810557"/>
    <w:rsid w:val="0081075A"/>
    <w:rsid w:val="008109DB"/>
    <w:rsid w:val="00810F9B"/>
    <w:rsid w:val="008119F9"/>
    <w:rsid w:val="00811AAD"/>
    <w:rsid w:val="00811ECE"/>
    <w:rsid w:val="00811FB0"/>
    <w:rsid w:val="0081219F"/>
    <w:rsid w:val="00812378"/>
    <w:rsid w:val="00812785"/>
    <w:rsid w:val="00812812"/>
    <w:rsid w:val="00812884"/>
    <w:rsid w:val="008148E9"/>
    <w:rsid w:val="0081539D"/>
    <w:rsid w:val="008165EA"/>
    <w:rsid w:val="00816615"/>
    <w:rsid w:val="00816688"/>
    <w:rsid w:val="00816AA0"/>
    <w:rsid w:val="0081796F"/>
    <w:rsid w:val="0082167D"/>
    <w:rsid w:val="008217D8"/>
    <w:rsid w:val="008218FA"/>
    <w:rsid w:val="00821A54"/>
    <w:rsid w:val="0082201E"/>
    <w:rsid w:val="0082237A"/>
    <w:rsid w:val="00822639"/>
    <w:rsid w:val="0082368A"/>
    <w:rsid w:val="00823A84"/>
    <w:rsid w:val="008245C5"/>
    <w:rsid w:val="00824F10"/>
    <w:rsid w:val="00825128"/>
    <w:rsid w:val="008252C2"/>
    <w:rsid w:val="00825742"/>
    <w:rsid w:val="00825A15"/>
    <w:rsid w:val="00825DAB"/>
    <w:rsid w:val="00826300"/>
    <w:rsid w:val="008265D6"/>
    <w:rsid w:val="00826D6B"/>
    <w:rsid w:val="0082720B"/>
    <w:rsid w:val="00827356"/>
    <w:rsid w:val="008279D4"/>
    <w:rsid w:val="00827B02"/>
    <w:rsid w:val="00830BEE"/>
    <w:rsid w:val="00830D40"/>
    <w:rsid w:val="00830F72"/>
    <w:rsid w:val="0083143F"/>
    <w:rsid w:val="00831663"/>
    <w:rsid w:val="00831A57"/>
    <w:rsid w:val="00831C17"/>
    <w:rsid w:val="00831D42"/>
    <w:rsid w:val="00832313"/>
    <w:rsid w:val="00832774"/>
    <w:rsid w:val="008329F1"/>
    <w:rsid w:val="00832A25"/>
    <w:rsid w:val="00832A90"/>
    <w:rsid w:val="00832CDB"/>
    <w:rsid w:val="008331BB"/>
    <w:rsid w:val="0083327F"/>
    <w:rsid w:val="00833304"/>
    <w:rsid w:val="0083342C"/>
    <w:rsid w:val="00833900"/>
    <w:rsid w:val="00833D16"/>
    <w:rsid w:val="00833E8C"/>
    <w:rsid w:val="0083478E"/>
    <w:rsid w:val="008347AE"/>
    <w:rsid w:val="00834BBC"/>
    <w:rsid w:val="0083516C"/>
    <w:rsid w:val="00835AFD"/>
    <w:rsid w:val="008366E4"/>
    <w:rsid w:val="00836C6C"/>
    <w:rsid w:val="008370F8"/>
    <w:rsid w:val="00837377"/>
    <w:rsid w:val="008377A3"/>
    <w:rsid w:val="00837DC5"/>
    <w:rsid w:val="008400D8"/>
    <w:rsid w:val="008402D5"/>
    <w:rsid w:val="0084085A"/>
    <w:rsid w:val="00840927"/>
    <w:rsid w:val="0084151F"/>
    <w:rsid w:val="00841AFA"/>
    <w:rsid w:val="00841CF7"/>
    <w:rsid w:val="00841E57"/>
    <w:rsid w:val="008423F5"/>
    <w:rsid w:val="00842454"/>
    <w:rsid w:val="008429A1"/>
    <w:rsid w:val="00843A20"/>
    <w:rsid w:val="00844040"/>
    <w:rsid w:val="008442A2"/>
    <w:rsid w:val="00844363"/>
    <w:rsid w:val="0084450A"/>
    <w:rsid w:val="00845148"/>
    <w:rsid w:val="00845235"/>
    <w:rsid w:val="00845246"/>
    <w:rsid w:val="008452C0"/>
    <w:rsid w:val="00845A7B"/>
    <w:rsid w:val="00845AD0"/>
    <w:rsid w:val="00845C8D"/>
    <w:rsid w:val="00845D87"/>
    <w:rsid w:val="00845F49"/>
    <w:rsid w:val="0084643D"/>
    <w:rsid w:val="00846491"/>
    <w:rsid w:val="00846D8A"/>
    <w:rsid w:val="00846F89"/>
    <w:rsid w:val="0084700A"/>
    <w:rsid w:val="0084749A"/>
    <w:rsid w:val="00847614"/>
    <w:rsid w:val="008478D6"/>
    <w:rsid w:val="00847BEE"/>
    <w:rsid w:val="00847DC5"/>
    <w:rsid w:val="008501F1"/>
    <w:rsid w:val="00850AE5"/>
    <w:rsid w:val="00851229"/>
    <w:rsid w:val="0085136A"/>
    <w:rsid w:val="00851767"/>
    <w:rsid w:val="008519F3"/>
    <w:rsid w:val="00851A94"/>
    <w:rsid w:val="00851AAE"/>
    <w:rsid w:val="00851BFC"/>
    <w:rsid w:val="00852665"/>
    <w:rsid w:val="0085323C"/>
    <w:rsid w:val="008536B1"/>
    <w:rsid w:val="00853CEE"/>
    <w:rsid w:val="00853D6B"/>
    <w:rsid w:val="0085436E"/>
    <w:rsid w:val="00854A33"/>
    <w:rsid w:val="00854DE4"/>
    <w:rsid w:val="008559B1"/>
    <w:rsid w:val="00855C38"/>
    <w:rsid w:val="00856027"/>
    <w:rsid w:val="00856B0E"/>
    <w:rsid w:val="0085703B"/>
    <w:rsid w:val="00857074"/>
    <w:rsid w:val="008575A1"/>
    <w:rsid w:val="00857D11"/>
    <w:rsid w:val="008602D1"/>
    <w:rsid w:val="00860656"/>
    <w:rsid w:val="00860A0D"/>
    <w:rsid w:val="00861E98"/>
    <w:rsid w:val="00861FCF"/>
    <w:rsid w:val="0086246C"/>
    <w:rsid w:val="008624CD"/>
    <w:rsid w:val="008625A0"/>
    <w:rsid w:val="00862758"/>
    <w:rsid w:val="008629E1"/>
    <w:rsid w:val="00862C1F"/>
    <w:rsid w:val="00862C91"/>
    <w:rsid w:val="00863620"/>
    <w:rsid w:val="00863CAB"/>
    <w:rsid w:val="00863CD9"/>
    <w:rsid w:val="008642C7"/>
    <w:rsid w:val="00864A01"/>
    <w:rsid w:val="00864FE1"/>
    <w:rsid w:val="008656AE"/>
    <w:rsid w:val="008656F4"/>
    <w:rsid w:val="008658DA"/>
    <w:rsid w:val="008660E5"/>
    <w:rsid w:val="008663E0"/>
    <w:rsid w:val="00866A71"/>
    <w:rsid w:val="0086706E"/>
    <w:rsid w:val="00870016"/>
    <w:rsid w:val="00870A46"/>
    <w:rsid w:val="008710BB"/>
    <w:rsid w:val="00871766"/>
    <w:rsid w:val="00872C98"/>
    <w:rsid w:val="00872CFB"/>
    <w:rsid w:val="008732EF"/>
    <w:rsid w:val="0087334F"/>
    <w:rsid w:val="00873556"/>
    <w:rsid w:val="00873B11"/>
    <w:rsid w:val="00873DA9"/>
    <w:rsid w:val="008743C2"/>
    <w:rsid w:val="00874500"/>
    <w:rsid w:val="008750F9"/>
    <w:rsid w:val="008752A8"/>
    <w:rsid w:val="008760AF"/>
    <w:rsid w:val="008763FC"/>
    <w:rsid w:val="008764CA"/>
    <w:rsid w:val="00877BF3"/>
    <w:rsid w:val="00877C1E"/>
    <w:rsid w:val="00880476"/>
    <w:rsid w:val="00880E85"/>
    <w:rsid w:val="0088117C"/>
    <w:rsid w:val="008814CA"/>
    <w:rsid w:val="00883B40"/>
    <w:rsid w:val="00883D5D"/>
    <w:rsid w:val="008844E4"/>
    <w:rsid w:val="00884A2C"/>
    <w:rsid w:val="00885301"/>
    <w:rsid w:val="00886318"/>
    <w:rsid w:val="00886DCD"/>
    <w:rsid w:val="008871DD"/>
    <w:rsid w:val="0088777E"/>
    <w:rsid w:val="008900BA"/>
    <w:rsid w:val="008903E4"/>
    <w:rsid w:val="0089040E"/>
    <w:rsid w:val="008904CD"/>
    <w:rsid w:val="00890594"/>
    <w:rsid w:val="008905D0"/>
    <w:rsid w:val="0089068E"/>
    <w:rsid w:val="008908D5"/>
    <w:rsid w:val="00892336"/>
    <w:rsid w:val="00892376"/>
    <w:rsid w:val="00892E03"/>
    <w:rsid w:val="00893307"/>
    <w:rsid w:val="008934AA"/>
    <w:rsid w:val="00893FB3"/>
    <w:rsid w:val="00894E2B"/>
    <w:rsid w:val="00895153"/>
    <w:rsid w:val="00895E62"/>
    <w:rsid w:val="008962C2"/>
    <w:rsid w:val="008966F9"/>
    <w:rsid w:val="0089678C"/>
    <w:rsid w:val="00896C57"/>
    <w:rsid w:val="00897012"/>
    <w:rsid w:val="0089714B"/>
    <w:rsid w:val="008977D4"/>
    <w:rsid w:val="00897A28"/>
    <w:rsid w:val="00897BD2"/>
    <w:rsid w:val="008A06AB"/>
    <w:rsid w:val="008A17F6"/>
    <w:rsid w:val="008A2385"/>
    <w:rsid w:val="008A2CF1"/>
    <w:rsid w:val="008A3DEB"/>
    <w:rsid w:val="008A425B"/>
    <w:rsid w:val="008A430D"/>
    <w:rsid w:val="008A44B4"/>
    <w:rsid w:val="008A47FE"/>
    <w:rsid w:val="008A4DCE"/>
    <w:rsid w:val="008A51FE"/>
    <w:rsid w:val="008A572C"/>
    <w:rsid w:val="008A60E4"/>
    <w:rsid w:val="008A652A"/>
    <w:rsid w:val="008A6748"/>
    <w:rsid w:val="008A6BC8"/>
    <w:rsid w:val="008A6EA6"/>
    <w:rsid w:val="008A727A"/>
    <w:rsid w:val="008A7733"/>
    <w:rsid w:val="008A7B65"/>
    <w:rsid w:val="008B0CC7"/>
    <w:rsid w:val="008B0F29"/>
    <w:rsid w:val="008B1531"/>
    <w:rsid w:val="008B1694"/>
    <w:rsid w:val="008B1907"/>
    <w:rsid w:val="008B22E9"/>
    <w:rsid w:val="008B3566"/>
    <w:rsid w:val="008B3F71"/>
    <w:rsid w:val="008B4728"/>
    <w:rsid w:val="008B4D50"/>
    <w:rsid w:val="008B4EBD"/>
    <w:rsid w:val="008B504B"/>
    <w:rsid w:val="008B584E"/>
    <w:rsid w:val="008B6540"/>
    <w:rsid w:val="008B6EDD"/>
    <w:rsid w:val="008B7214"/>
    <w:rsid w:val="008B721B"/>
    <w:rsid w:val="008B72D9"/>
    <w:rsid w:val="008B747F"/>
    <w:rsid w:val="008B75F0"/>
    <w:rsid w:val="008B7772"/>
    <w:rsid w:val="008B77C8"/>
    <w:rsid w:val="008B7A22"/>
    <w:rsid w:val="008B7A3E"/>
    <w:rsid w:val="008B7C95"/>
    <w:rsid w:val="008C01D6"/>
    <w:rsid w:val="008C02D6"/>
    <w:rsid w:val="008C087E"/>
    <w:rsid w:val="008C0A7F"/>
    <w:rsid w:val="008C0AD2"/>
    <w:rsid w:val="008C0DB0"/>
    <w:rsid w:val="008C1008"/>
    <w:rsid w:val="008C12FF"/>
    <w:rsid w:val="008C1556"/>
    <w:rsid w:val="008C1E19"/>
    <w:rsid w:val="008C2121"/>
    <w:rsid w:val="008C21F6"/>
    <w:rsid w:val="008C2D11"/>
    <w:rsid w:val="008C320F"/>
    <w:rsid w:val="008C4F74"/>
    <w:rsid w:val="008C5207"/>
    <w:rsid w:val="008C5961"/>
    <w:rsid w:val="008C5B02"/>
    <w:rsid w:val="008C5BA9"/>
    <w:rsid w:val="008C5CD8"/>
    <w:rsid w:val="008C66F7"/>
    <w:rsid w:val="008C67C1"/>
    <w:rsid w:val="008C6C7D"/>
    <w:rsid w:val="008C7056"/>
    <w:rsid w:val="008C7563"/>
    <w:rsid w:val="008C7DC6"/>
    <w:rsid w:val="008D01C1"/>
    <w:rsid w:val="008D0A52"/>
    <w:rsid w:val="008D0B4A"/>
    <w:rsid w:val="008D0BA5"/>
    <w:rsid w:val="008D0F44"/>
    <w:rsid w:val="008D0FEE"/>
    <w:rsid w:val="008D1B91"/>
    <w:rsid w:val="008D21FB"/>
    <w:rsid w:val="008D24E2"/>
    <w:rsid w:val="008D2C74"/>
    <w:rsid w:val="008D2FB1"/>
    <w:rsid w:val="008D30EE"/>
    <w:rsid w:val="008D327D"/>
    <w:rsid w:val="008D3385"/>
    <w:rsid w:val="008D3AEE"/>
    <w:rsid w:val="008D42FF"/>
    <w:rsid w:val="008D4784"/>
    <w:rsid w:val="008D4BC3"/>
    <w:rsid w:val="008D4E12"/>
    <w:rsid w:val="008D4ED6"/>
    <w:rsid w:val="008D5031"/>
    <w:rsid w:val="008D5395"/>
    <w:rsid w:val="008D5993"/>
    <w:rsid w:val="008D5997"/>
    <w:rsid w:val="008D5CD1"/>
    <w:rsid w:val="008D6D45"/>
    <w:rsid w:val="008D7061"/>
    <w:rsid w:val="008D723E"/>
    <w:rsid w:val="008D7531"/>
    <w:rsid w:val="008D7709"/>
    <w:rsid w:val="008D77A7"/>
    <w:rsid w:val="008E0113"/>
    <w:rsid w:val="008E0428"/>
    <w:rsid w:val="008E08AE"/>
    <w:rsid w:val="008E09B0"/>
    <w:rsid w:val="008E0AEA"/>
    <w:rsid w:val="008E0E5B"/>
    <w:rsid w:val="008E13E6"/>
    <w:rsid w:val="008E2249"/>
    <w:rsid w:val="008E2675"/>
    <w:rsid w:val="008E2D5D"/>
    <w:rsid w:val="008E3B32"/>
    <w:rsid w:val="008E3E07"/>
    <w:rsid w:val="008E3E5F"/>
    <w:rsid w:val="008E3EB3"/>
    <w:rsid w:val="008E42BE"/>
    <w:rsid w:val="008E46BF"/>
    <w:rsid w:val="008E52A2"/>
    <w:rsid w:val="008E5957"/>
    <w:rsid w:val="008E5BE6"/>
    <w:rsid w:val="008E6645"/>
    <w:rsid w:val="008E6858"/>
    <w:rsid w:val="008E7045"/>
    <w:rsid w:val="008E7114"/>
    <w:rsid w:val="008E78A5"/>
    <w:rsid w:val="008E7DE4"/>
    <w:rsid w:val="008F015F"/>
    <w:rsid w:val="008F01F1"/>
    <w:rsid w:val="008F05FD"/>
    <w:rsid w:val="008F09A3"/>
    <w:rsid w:val="008F0ADA"/>
    <w:rsid w:val="008F0C47"/>
    <w:rsid w:val="008F0ED1"/>
    <w:rsid w:val="008F1DF6"/>
    <w:rsid w:val="008F2DE7"/>
    <w:rsid w:val="008F3093"/>
    <w:rsid w:val="008F3586"/>
    <w:rsid w:val="008F3F19"/>
    <w:rsid w:val="008F426A"/>
    <w:rsid w:val="008F47A3"/>
    <w:rsid w:val="008F5FA2"/>
    <w:rsid w:val="008F6014"/>
    <w:rsid w:val="008F61AC"/>
    <w:rsid w:val="008F624A"/>
    <w:rsid w:val="008F63E3"/>
    <w:rsid w:val="008F66E1"/>
    <w:rsid w:val="008F6872"/>
    <w:rsid w:val="008F6A76"/>
    <w:rsid w:val="008F6CA2"/>
    <w:rsid w:val="008F714C"/>
    <w:rsid w:val="008F7320"/>
    <w:rsid w:val="008F7D37"/>
    <w:rsid w:val="0090062A"/>
    <w:rsid w:val="00900DAF"/>
    <w:rsid w:val="00901ED1"/>
    <w:rsid w:val="009020D4"/>
    <w:rsid w:val="00902CD1"/>
    <w:rsid w:val="00903A72"/>
    <w:rsid w:val="00903DB8"/>
    <w:rsid w:val="009045AE"/>
    <w:rsid w:val="0090474D"/>
    <w:rsid w:val="009049CA"/>
    <w:rsid w:val="0090509F"/>
    <w:rsid w:val="00905209"/>
    <w:rsid w:val="009052E6"/>
    <w:rsid w:val="00905597"/>
    <w:rsid w:val="009067DF"/>
    <w:rsid w:val="00906FA4"/>
    <w:rsid w:val="00907566"/>
    <w:rsid w:val="0091028E"/>
    <w:rsid w:val="009103B9"/>
    <w:rsid w:val="0091109C"/>
    <w:rsid w:val="00911251"/>
    <w:rsid w:val="009118E8"/>
    <w:rsid w:val="00911C18"/>
    <w:rsid w:val="00911CFC"/>
    <w:rsid w:val="00911D8D"/>
    <w:rsid w:val="00911FB4"/>
    <w:rsid w:val="0091263B"/>
    <w:rsid w:val="0091297A"/>
    <w:rsid w:val="00912F69"/>
    <w:rsid w:val="009138CA"/>
    <w:rsid w:val="00913C21"/>
    <w:rsid w:val="00913EFF"/>
    <w:rsid w:val="00914D18"/>
    <w:rsid w:val="00915347"/>
    <w:rsid w:val="00915A2A"/>
    <w:rsid w:val="009163F9"/>
    <w:rsid w:val="0091698E"/>
    <w:rsid w:val="009173A3"/>
    <w:rsid w:val="00917F96"/>
    <w:rsid w:val="00920072"/>
    <w:rsid w:val="009200C7"/>
    <w:rsid w:val="009203DC"/>
    <w:rsid w:val="0092075E"/>
    <w:rsid w:val="00920B75"/>
    <w:rsid w:val="00920D21"/>
    <w:rsid w:val="0092190E"/>
    <w:rsid w:val="0092238C"/>
    <w:rsid w:val="009226EC"/>
    <w:rsid w:val="00922B12"/>
    <w:rsid w:val="0092304A"/>
    <w:rsid w:val="0092312F"/>
    <w:rsid w:val="00923437"/>
    <w:rsid w:val="00923728"/>
    <w:rsid w:val="009237E9"/>
    <w:rsid w:val="009240F7"/>
    <w:rsid w:val="0092428C"/>
    <w:rsid w:val="009245ED"/>
    <w:rsid w:val="009248B6"/>
    <w:rsid w:val="00924B70"/>
    <w:rsid w:val="0092506A"/>
    <w:rsid w:val="00925388"/>
    <w:rsid w:val="00925FE4"/>
    <w:rsid w:val="009265A7"/>
    <w:rsid w:val="009266C1"/>
    <w:rsid w:val="0092671E"/>
    <w:rsid w:val="009267C0"/>
    <w:rsid w:val="00927DCA"/>
    <w:rsid w:val="00927E3F"/>
    <w:rsid w:val="00927EA2"/>
    <w:rsid w:val="009302DD"/>
    <w:rsid w:val="00930C1C"/>
    <w:rsid w:val="00930F9A"/>
    <w:rsid w:val="009316C1"/>
    <w:rsid w:val="00931A80"/>
    <w:rsid w:val="00932DA2"/>
    <w:rsid w:val="00933A5A"/>
    <w:rsid w:val="00933C8B"/>
    <w:rsid w:val="00933D6D"/>
    <w:rsid w:val="009361FD"/>
    <w:rsid w:val="009367B7"/>
    <w:rsid w:val="0093697D"/>
    <w:rsid w:val="00936E22"/>
    <w:rsid w:val="009372E7"/>
    <w:rsid w:val="00937697"/>
    <w:rsid w:val="00937D41"/>
    <w:rsid w:val="00937D83"/>
    <w:rsid w:val="00940381"/>
    <w:rsid w:val="0094051E"/>
    <w:rsid w:val="00940DB0"/>
    <w:rsid w:val="00940F64"/>
    <w:rsid w:val="00941505"/>
    <w:rsid w:val="00941727"/>
    <w:rsid w:val="0094222C"/>
    <w:rsid w:val="009424BB"/>
    <w:rsid w:val="00942BC8"/>
    <w:rsid w:val="009431FE"/>
    <w:rsid w:val="00943A41"/>
    <w:rsid w:val="00944671"/>
    <w:rsid w:val="00944800"/>
    <w:rsid w:val="009457D8"/>
    <w:rsid w:val="00945E79"/>
    <w:rsid w:val="00946AFF"/>
    <w:rsid w:val="009472F4"/>
    <w:rsid w:val="009473FF"/>
    <w:rsid w:val="009477AC"/>
    <w:rsid w:val="00947C00"/>
    <w:rsid w:val="009507BC"/>
    <w:rsid w:val="00950CB0"/>
    <w:rsid w:val="00950CEB"/>
    <w:rsid w:val="00951267"/>
    <w:rsid w:val="009518D7"/>
    <w:rsid w:val="009519AC"/>
    <w:rsid w:val="00952AFF"/>
    <w:rsid w:val="009532EA"/>
    <w:rsid w:val="00953696"/>
    <w:rsid w:val="0095380C"/>
    <w:rsid w:val="00953BD8"/>
    <w:rsid w:val="00954163"/>
    <w:rsid w:val="009541D2"/>
    <w:rsid w:val="00954697"/>
    <w:rsid w:val="009548AA"/>
    <w:rsid w:val="009549BE"/>
    <w:rsid w:val="00954A89"/>
    <w:rsid w:val="00954EA7"/>
    <w:rsid w:val="009552AC"/>
    <w:rsid w:val="009555F2"/>
    <w:rsid w:val="00955E0F"/>
    <w:rsid w:val="0095640C"/>
    <w:rsid w:val="00956D7C"/>
    <w:rsid w:val="0095712B"/>
    <w:rsid w:val="00960103"/>
    <w:rsid w:val="00960134"/>
    <w:rsid w:val="0096060A"/>
    <w:rsid w:val="00961355"/>
    <w:rsid w:val="00961B39"/>
    <w:rsid w:val="009621FE"/>
    <w:rsid w:val="00962BAD"/>
    <w:rsid w:val="00962BD9"/>
    <w:rsid w:val="00963131"/>
    <w:rsid w:val="009634BD"/>
    <w:rsid w:val="0096352E"/>
    <w:rsid w:val="00964159"/>
    <w:rsid w:val="0096437C"/>
    <w:rsid w:val="00964484"/>
    <w:rsid w:val="009645CC"/>
    <w:rsid w:val="00964D10"/>
    <w:rsid w:val="00965177"/>
    <w:rsid w:val="00965273"/>
    <w:rsid w:val="00965D4C"/>
    <w:rsid w:val="00966158"/>
    <w:rsid w:val="009661EB"/>
    <w:rsid w:val="00966205"/>
    <w:rsid w:val="00966621"/>
    <w:rsid w:val="00966A5E"/>
    <w:rsid w:val="00967C6E"/>
    <w:rsid w:val="00967E4E"/>
    <w:rsid w:val="00967F5D"/>
    <w:rsid w:val="009705BA"/>
    <w:rsid w:val="00970D0A"/>
    <w:rsid w:val="00971243"/>
    <w:rsid w:val="009712C8"/>
    <w:rsid w:val="009718C0"/>
    <w:rsid w:val="00972352"/>
    <w:rsid w:val="00972E9A"/>
    <w:rsid w:val="0097312C"/>
    <w:rsid w:val="00973811"/>
    <w:rsid w:val="00973CA6"/>
    <w:rsid w:val="00974543"/>
    <w:rsid w:val="00974545"/>
    <w:rsid w:val="00974C78"/>
    <w:rsid w:val="00975672"/>
    <w:rsid w:val="00975A63"/>
    <w:rsid w:val="00976040"/>
    <w:rsid w:val="00976051"/>
    <w:rsid w:val="009761DB"/>
    <w:rsid w:val="00976FB2"/>
    <w:rsid w:val="00977268"/>
    <w:rsid w:val="00977409"/>
    <w:rsid w:val="00980600"/>
    <w:rsid w:val="009806B9"/>
    <w:rsid w:val="009807F0"/>
    <w:rsid w:val="00980863"/>
    <w:rsid w:val="00980AE4"/>
    <w:rsid w:val="00980C4A"/>
    <w:rsid w:val="00981484"/>
    <w:rsid w:val="009816D4"/>
    <w:rsid w:val="00981AF8"/>
    <w:rsid w:val="00981B5A"/>
    <w:rsid w:val="009825CB"/>
    <w:rsid w:val="00982738"/>
    <w:rsid w:val="0098278B"/>
    <w:rsid w:val="00983985"/>
    <w:rsid w:val="00984300"/>
    <w:rsid w:val="0098437D"/>
    <w:rsid w:val="009846C9"/>
    <w:rsid w:val="00984ADE"/>
    <w:rsid w:val="00985209"/>
    <w:rsid w:val="00985790"/>
    <w:rsid w:val="009865BD"/>
    <w:rsid w:val="00986648"/>
    <w:rsid w:val="009869AB"/>
    <w:rsid w:val="00986C87"/>
    <w:rsid w:val="00986E00"/>
    <w:rsid w:val="00986F94"/>
    <w:rsid w:val="00986FF9"/>
    <w:rsid w:val="00987095"/>
    <w:rsid w:val="0098773F"/>
    <w:rsid w:val="0098789F"/>
    <w:rsid w:val="00987FC3"/>
    <w:rsid w:val="009900B0"/>
    <w:rsid w:val="0099058A"/>
    <w:rsid w:val="009907A0"/>
    <w:rsid w:val="00990A5A"/>
    <w:rsid w:val="00990ECF"/>
    <w:rsid w:val="00991159"/>
    <w:rsid w:val="00991EC8"/>
    <w:rsid w:val="009924D3"/>
    <w:rsid w:val="009924EF"/>
    <w:rsid w:val="00992E9C"/>
    <w:rsid w:val="0099305B"/>
    <w:rsid w:val="0099313F"/>
    <w:rsid w:val="0099362B"/>
    <w:rsid w:val="0099397B"/>
    <w:rsid w:val="00994193"/>
    <w:rsid w:val="00994237"/>
    <w:rsid w:val="00994313"/>
    <w:rsid w:val="00994E15"/>
    <w:rsid w:val="00995077"/>
    <w:rsid w:val="0099517E"/>
    <w:rsid w:val="0099540F"/>
    <w:rsid w:val="009956C9"/>
    <w:rsid w:val="00995C41"/>
    <w:rsid w:val="00995CE9"/>
    <w:rsid w:val="00995FE7"/>
    <w:rsid w:val="0099693F"/>
    <w:rsid w:val="00996F2E"/>
    <w:rsid w:val="009971E9"/>
    <w:rsid w:val="009A00BD"/>
    <w:rsid w:val="009A0A33"/>
    <w:rsid w:val="009A0BB5"/>
    <w:rsid w:val="009A1A87"/>
    <w:rsid w:val="009A1ED9"/>
    <w:rsid w:val="009A1F29"/>
    <w:rsid w:val="009A27B4"/>
    <w:rsid w:val="009A27B8"/>
    <w:rsid w:val="009A2A06"/>
    <w:rsid w:val="009A2CE2"/>
    <w:rsid w:val="009A319A"/>
    <w:rsid w:val="009A331D"/>
    <w:rsid w:val="009A380B"/>
    <w:rsid w:val="009A3E45"/>
    <w:rsid w:val="009A439F"/>
    <w:rsid w:val="009A4B9A"/>
    <w:rsid w:val="009A4BB0"/>
    <w:rsid w:val="009A4D10"/>
    <w:rsid w:val="009A6086"/>
    <w:rsid w:val="009A6932"/>
    <w:rsid w:val="009A69D7"/>
    <w:rsid w:val="009A6AF7"/>
    <w:rsid w:val="009A6FF0"/>
    <w:rsid w:val="009A75A4"/>
    <w:rsid w:val="009A7D0F"/>
    <w:rsid w:val="009AB65A"/>
    <w:rsid w:val="009B0250"/>
    <w:rsid w:val="009B097D"/>
    <w:rsid w:val="009B0DCE"/>
    <w:rsid w:val="009B13E8"/>
    <w:rsid w:val="009B15D5"/>
    <w:rsid w:val="009B1B85"/>
    <w:rsid w:val="009B1C76"/>
    <w:rsid w:val="009B1E98"/>
    <w:rsid w:val="009B1F07"/>
    <w:rsid w:val="009B23B6"/>
    <w:rsid w:val="009B253E"/>
    <w:rsid w:val="009B29B9"/>
    <w:rsid w:val="009B2BFF"/>
    <w:rsid w:val="009B47CA"/>
    <w:rsid w:val="009B484D"/>
    <w:rsid w:val="009B4975"/>
    <w:rsid w:val="009B52C7"/>
    <w:rsid w:val="009B5647"/>
    <w:rsid w:val="009B5E8E"/>
    <w:rsid w:val="009B628F"/>
    <w:rsid w:val="009B72D5"/>
    <w:rsid w:val="009B73E3"/>
    <w:rsid w:val="009B7663"/>
    <w:rsid w:val="009B7E0F"/>
    <w:rsid w:val="009C032F"/>
    <w:rsid w:val="009C09FB"/>
    <w:rsid w:val="009C1044"/>
    <w:rsid w:val="009C1356"/>
    <w:rsid w:val="009C1458"/>
    <w:rsid w:val="009C22CE"/>
    <w:rsid w:val="009C2662"/>
    <w:rsid w:val="009C299D"/>
    <w:rsid w:val="009C2D29"/>
    <w:rsid w:val="009C2E84"/>
    <w:rsid w:val="009C312B"/>
    <w:rsid w:val="009C36A3"/>
    <w:rsid w:val="009C38DA"/>
    <w:rsid w:val="009C3B9E"/>
    <w:rsid w:val="009C3D14"/>
    <w:rsid w:val="009C3EE0"/>
    <w:rsid w:val="009C4573"/>
    <w:rsid w:val="009C45EC"/>
    <w:rsid w:val="009C5B48"/>
    <w:rsid w:val="009C5F2A"/>
    <w:rsid w:val="009C6E72"/>
    <w:rsid w:val="009C774D"/>
    <w:rsid w:val="009C7E7E"/>
    <w:rsid w:val="009D00DA"/>
    <w:rsid w:val="009D03DB"/>
    <w:rsid w:val="009D0993"/>
    <w:rsid w:val="009D208C"/>
    <w:rsid w:val="009D23D5"/>
    <w:rsid w:val="009D2415"/>
    <w:rsid w:val="009D2425"/>
    <w:rsid w:val="009D49C1"/>
    <w:rsid w:val="009D4F74"/>
    <w:rsid w:val="009D5051"/>
    <w:rsid w:val="009D544B"/>
    <w:rsid w:val="009D5DD6"/>
    <w:rsid w:val="009D6D01"/>
    <w:rsid w:val="009D70A2"/>
    <w:rsid w:val="009D7C88"/>
    <w:rsid w:val="009E03BD"/>
    <w:rsid w:val="009E0748"/>
    <w:rsid w:val="009E0B44"/>
    <w:rsid w:val="009E10B6"/>
    <w:rsid w:val="009E1B6F"/>
    <w:rsid w:val="009E1C21"/>
    <w:rsid w:val="009E205E"/>
    <w:rsid w:val="009E3FD1"/>
    <w:rsid w:val="009E41BE"/>
    <w:rsid w:val="009E492D"/>
    <w:rsid w:val="009E4D70"/>
    <w:rsid w:val="009E6175"/>
    <w:rsid w:val="009E6C4F"/>
    <w:rsid w:val="009E6ECC"/>
    <w:rsid w:val="009E7A36"/>
    <w:rsid w:val="009E7C9E"/>
    <w:rsid w:val="009E7FA5"/>
    <w:rsid w:val="009F0503"/>
    <w:rsid w:val="009F092A"/>
    <w:rsid w:val="009F0E3F"/>
    <w:rsid w:val="009F1798"/>
    <w:rsid w:val="009F19BA"/>
    <w:rsid w:val="009F1AD6"/>
    <w:rsid w:val="009F2180"/>
    <w:rsid w:val="009F23BA"/>
    <w:rsid w:val="009F306B"/>
    <w:rsid w:val="009F36BD"/>
    <w:rsid w:val="009F3C11"/>
    <w:rsid w:val="009F44BE"/>
    <w:rsid w:val="009F491A"/>
    <w:rsid w:val="009F4C3A"/>
    <w:rsid w:val="009F4C7A"/>
    <w:rsid w:val="009F5065"/>
    <w:rsid w:val="009F5A57"/>
    <w:rsid w:val="009F67C0"/>
    <w:rsid w:val="009F6B12"/>
    <w:rsid w:val="009F6DE4"/>
    <w:rsid w:val="009F7181"/>
    <w:rsid w:val="009F730F"/>
    <w:rsid w:val="009F760D"/>
    <w:rsid w:val="009F7829"/>
    <w:rsid w:val="009F7E2C"/>
    <w:rsid w:val="00A004AB"/>
    <w:rsid w:val="00A01AEF"/>
    <w:rsid w:val="00A01E02"/>
    <w:rsid w:val="00A02624"/>
    <w:rsid w:val="00A02BB6"/>
    <w:rsid w:val="00A02EF4"/>
    <w:rsid w:val="00A02F41"/>
    <w:rsid w:val="00A0331E"/>
    <w:rsid w:val="00A0346A"/>
    <w:rsid w:val="00A03499"/>
    <w:rsid w:val="00A0389F"/>
    <w:rsid w:val="00A04B82"/>
    <w:rsid w:val="00A04FC8"/>
    <w:rsid w:val="00A05066"/>
    <w:rsid w:val="00A05119"/>
    <w:rsid w:val="00A05E19"/>
    <w:rsid w:val="00A06606"/>
    <w:rsid w:val="00A07D25"/>
    <w:rsid w:val="00A07FDD"/>
    <w:rsid w:val="00A10725"/>
    <w:rsid w:val="00A11182"/>
    <w:rsid w:val="00A1119B"/>
    <w:rsid w:val="00A1122B"/>
    <w:rsid w:val="00A12336"/>
    <w:rsid w:val="00A123CF"/>
    <w:rsid w:val="00A12700"/>
    <w:rsid w:val="00A127E6"/>
    <w:rsid w:val="00A128ED"/>
    <w:rsid w:val="00A12B1D"/>
    <w:rsid w:val="00A13040"/>
    <w:rsid w:val="00A13269"/>
    <w:rsid w:val="00A134C2"/>
    <w:rsid w:val="00A13AED"/>
    <w:rsid w:val="00A13CB3"/>
    <w:rsid w:val="00A13F5E"/>
    <w:rsid w:val="00A146BE"/>
    <w:rsid w:val="00A147FF"/>
    <w:rsid w:val="00A14948"/>
    <w:rsid w:val="00A14A19"/>
    <w:rsid w:val="00A14C39"/>
    <w:rsid w:val="00A14EF3"/>
    <w:rsid w:val="00A15301"/>
    <w:rsid w:val="00A1536C"/>
    <w:rsid w:val="00A15891"/>
    <w:rsid w:val="00A15C08"/>
    <w:rsid w:val="00A167F7"/>
    <w:rsid w:val="00A16E8C"/>
    <w:rsid w:val="00A1725B"/>
    <w:rsid w:val="00A17A4F"/>
    <w:rsid w:val="00A17D9C"/>
    <w:rsid w:val="00A20043"/>
    <w:rsid w:val="00A20C5B"/>
    <w:rsid w:val="00A21046"/>
    <w:rsid w:val="00A21434"/>
    <w:rsid w:val="00A2153D"/>
    <w:rsid w:val="00A216DA"/>
    <w:rsid w:val="00A21C37"/>
    <w:rsid w:val="00A2234F"/>
    <w:rsid w:val="00A22595"/>
    <w:rsid w:val="00A22A3F"/>
    <w:rsid w:val="00A22B8D"/>
    <w:rsid w:val="00A23165"/>
    <w:rsid w:val="00A23309"/>
    <w:rsid w:val="00A2367C"/>
    <w:rsid w:val="00A239D5"/>
    <w:rsid w:val="00A23BD7"/>
    <w:rsid w:val="00A243BF"/>
    <w:rsid w:val="00A24932"/>
    <w:rsid w:val="00A24DCE"/>
    <w:rsid w:val="00A250FF"/>
    <w:rsid w:val="00A252BD"/>
    <w:rsid w:val="00A25655"/>
    <w:rsid w:val="00A25830"/>
    <w:rsid w:val="00A25B6A"/>
    <w:rsid w:val="00A26441"/>
    <w:rsid w:val="00A26DDF"/>
    <w:rsid w:val="00A26F79"/>
    <w:rsid w:val="00A2700F"/>
    <w:rsid w:val="00A2706D"/>
    <w:rsid w:val="00A2709F"/>
    <w:rsid w:val="00A27551"/>
    <w:rsid w:val="00A277DD"/>
    <w:rsid w:val="00A27F7D"/>
    <w:rsid w:val="00A304BB"/>
    <w:rsid w:val="00A31924"/>
    <w:rsid w:val="00A319D1"/>
    <w:rsid w:val="00A31AB1"/>
    <w:rsid w:val="00A31ED7"/>
    <w:rsid w:val="00A3335C"/>
    <w:rsid w:val="00A33A63"/>
    <w:rsid w:val="00A33AAF"/>
    <w:rsid w:val="00A33FAF"/>
    <w:rsid w:val="00A344BA"/>
    <w:rsid w:val="00A34562"/>
    <w:rsid w:val="00A34640"/>
    <w:rsid w:val="00A346A6"/>
    <w:rsid w:val="00A34862"/>
    <w:rsid w:val="00A35173"/>
    <w:rsid w:val="00A35CE6"/>
    <w:rsid w:val="00A35DB5"/>
    <w:rsid w:val="00A35E6D"/>
    <w:rsid w:val="00A36104"/>
    <w:rsid w:val="00A3653A"/>
    <w:rsid w:val="00A3678D"/>
    <w:rsid w:val="00A36A5F"/>
    <w:rsid w:val="00A36AF6"/>
    <w:rsid w:val="00A36BFC"/>
    <w:rsid w:val="00A371AA"/>
    <w:rsid w:val="00A37295"/>
    <w:rsid w:val="00A37B52"/>
    <w:rsid w:val="00A37D81"/>
    <w:rsid w:val="00A404C1"/>
    <w:rsid w:val="00A40AF1"/>
    <w:rsid w:val="00A40B5F"/>
    <w:rsid w:val="00A41356"/>
    <w:rsid w:val="00A4171C"/>
    <w:rsid w:val="00A4227F"/>
    <w:rsid w:val="00A42FA2"/>
    <w:rsid w:val="00A4354F"/>
    <w:rsid w:val="00A436ED"/>
    <w:rsid w:val="00A436FA"/>
    <w:rsid w:val="00A43D95"/>
    <w:rsid w:val="00A447F4"/>
    <w:rsid w:val="00A44C4E"/>
    <w:rsid w:val="00A454EA"/>
    <w:rsid w:val="00A457E5"/>
    <w:rsid w:val="00A46242"/>
    <w:rsid w:val="00A466A8"/>
    <w:rsid w:val="00A468D6"/>
    <w:rsid w:val="00A46930"/>
    <w:rsid w:val="00A46F37"/>
    <w:rsid w:val="00A47218"/>
    <w:rsid w:val="00A47232"/>
    <w:rsid w:val="00A47756"/>
    <w:rsid w:val="00A479C2"/>
    <w:rsid w:val="00A501D3"/>
    <w:rsid w:val="00A50300"/>
    <w:rsid w:val="00A50484"/>
    <w:rsid w:val="00A508C6"/>
    <w:rsid w:val="00A50C3E"/>
    <w:rsid w:val="00A51083"/>
    <w:rsid w:val="00A5168E"/>
    <w:rsid w:val="00A5203F"/>
    <w:rsid w:val="00A5222C"/>
    <w:rsid w:val="00A52242"/>
    <w:rsid w:val="00A52D7E"/>
    <w:rsid w:val="00A52DD4"/>
    <w:rsid w:val="00A539C1"/>
    <w:rsid w:val="00A539FC"/>
    <w:rsid w:val="00A53DE3"/>
    <w:rsid w:val="00A53EC2"/>
    <w:rsid w:val="00A542E0"/>
    <w:rsid w:val="00A54371"/>
    <w:rsid w:val="00A5451E"/>
    <w:rsid w:val="00A546E2"/>
    <w:rsid w:val="00A54793"/>
    <w:rsid w:val="00A54A38"/>
    <w:rsid w:val="00A54AF8"/>
    <w:rsid w:val="00A5548D"/>
    <w:rsid w:val="00A55950"/>
    <w:rsid w:val="00A55B37"/>
    <w:rsid w:val="00A55E30"/>
    <w:rsid w:val="00A56767"/>
    <w:rsid w:val="00A5682B"/>
    <w:rsid w:val="00A56D95"/>
    <w:rsid w:val="00A57B7A"/>
    <w:rsid w:val="00A57F7A"/>
    <w:rsid w:val="00A6031D"/>
    <w:rsid w:val="00A60A95"/>
    <w:rsid w:val="00A611C5"/>
    <w:rsid w:val="00A616D6"/>
    <w:rsid w:val="00A61830"/>
    <w:rsid w:val="00A61C33"/>
    <w:rsid w:val="00A61FAE"/>
    <w:rsid w:val="00A62A90"/>
    <w:rsid w:val="00A63427"/>
    <w:rsid w:val="00A6364A"/>
    <w:rsid w:val="00A645FD"/>
    <w:rsid w:val="00A64859"/>
    <w:rsid w:val="00A6573D"/>
    <w:rsid w:val="00A65D7D"/>
    <w:rsid w:val="00A65DB0"/>
    <w:rsid w:val="00A65E71"/>
    <w:rsid w:val="00A660FE"/>
    <w:rsid w:val="00A669CA"/>
    <w:rsid w:val="00A67029"/>
    <w:rsid w:val="00A67258"/>
    <w:rsid w:val="00A679D0"/>
    <w:rsid w:val="00A67A42"/>
    <w:rsid w:val="00A67CE2"/>
    <w:rsid w:val="00A704C9"/>
    <w:rsid w:val="00A715C5"/>
    <w:rsid w:val="00A71868"/>
    <w:rsid w:val="00A719BB"/>
    <w:rsid w:val="00A719E4"/>
    <w:rsid w:val="00A71C69"/>
    <w:rsid w:val="00A71C6C"/>
    <w:rsid w:val="00A721A1"/>
    <w:rsid w:val="00A72C35"/>
    <w:rsid w:val="00A72C4F"/>
    <w:rsid w:val="00A73D7F"/>
    <w:rsid w:val="00A740C1"/>
    <w:rsid w:val="00A74799"/>
    <w:rsid w:val="00A747D5"/>
    <w:rsid w:val="00A74FF2"/>
    <w:rsid w:val="00A75BEB"/>
    <w:rsid w:val="00A76ACE"/>
    <w:rsid w:val="00A76ED7"/>
    <w:rsid w:val="00A77530"/>
    <w:rsid w:val="00A77841"/>
    <w:rsid w:val="00A778E7"/>
    <w:rsid w:val="00A77CB1"/>
    <w:rsid w:val="00A77FCF"/>
    <w:rsid w:val="00A80071"/>
    <w:rsid w:val="00A807E6"/>
    <w:rsid w:val="00A80A7E"/>
    <w:rsid w:val="00A81209"/>
    <w:rsid w:val="00A812E4"/>
    <w:rsid w:val="00A813A8"/>
    <w:rsid w:val="00A816B1"/>
    <w:rsid w:val="00A816EB"/>
    <w:rsid w:val="00A81CD9"/>
    <w:rsid w:val="00A81DF1"/>
    <w:rsid w:val="00A823EF"/>
    <w:rsid w:val="00A8298E"/>
    <w:rsid w:val="00A82B77"/>
    <w:rsid w:val="00A82BCD"/>
    <w:rsid w:val="00A82D96"/>
    <w:rsid w:val="00A83015"/>
    <w:rsid w:val="00A83756"/>
    <w:rsid w:val="00A8386A"/>
    <w:rsid w:val="00A838F4"/>
    <w:rsid w:val="00A841A7"/>
    <w:rsid w:val="00A84274"/>
    <w:rsid w:val="00A846C6"/>
    <w:rsid w:val="00A84810"/>
    <w:rsid w:val="00A84EBC"/>
    <w:rsid w:val="00A8517C"/>
    <w:rsid w:val="00A85ED7"/>
    <w:rsid w:val="00A85F03"/>
    <w:rsid w:val="00A872B8"/>
    <w:rsid w:val="00A87DCD"/>
    <w:rsid w:val="00A87F79"/>
    <w:rsid w:val="00A90063"/>
    <w:rsid w:val="00A9083B"/>
    <w:rsid w:val="00A90D6B"/>
    <w:rsid w:val="00A9125E"/>
    <w:rsid w:val="00A916F6"/>
    <w:rsid w:val="00A919A3"/>
    <w:rsid w:val="00A92066"/>
    <w:rsid w:val="00A921B5"/>
    <w:rsid w:val="00A923BD"/>
    <w:rsid w:val="00A92871"/>
    <w:rsid w:val="00A9289E"/>
    <w:rsid w:val="00A93342"/>
    <w:rsid w:val="00A9362A"/>
    <w:rsid w:val="00A93F90"/>
    <w:rsid w:val="00A9405E"/>
    <w:rsid w:val="00A944AB"/>
    <w:rsid w:val="00A946A9"/>
    <w:rsid w:val="00A94F86"/>
    <w:rsid w:val="00A95237"/>
    <w:rsid w:val="00A957FF"/>
    <w:rsid w:val="00A95CAD"/>
    <w:rsid w:val="00A966E9"/>
    <w:rsid w:val="00A96927"/>
    <w:rsid w:val="00A96AB6"/>
    <w:rsid w:val="00A96F93"/>
    <w:rsid w:val="00AA02BD"/>
    <w:rsid w:val="00AA0CD8"/>
    <w:rsid w:val="00AA14BE"/>
    <w:rsid w:val="00AA1B53"/>
    <w:rsid w:val="00AA29C1"/>
    <w:rsid w:val="00AA2D51"/>
    <w:rsid w:val="00AA2E93"/>
    <w:rsid w:val="00AA2FD0"/>
    <w:rsid w:val="00AA31C1"/>
    <w:rsid w:val="00AA380E"/>
    <w:rsid w:val="00AA4091"/>
    <w:rsid w:val="00AA430D"/>
    <w:rsid w:val="00AA437E"/>
    <w:rsid w:val="00AA466C"/>
    <w:rsid w:val="00AA4EFE"/>
    <w:rsid w:val="00AA5138"/>
    <w:rsid w:val="00AA55B0"/>
    <w:rsid w:val="00AA5789"/>
    <w:rsid w:val="00AA614B"/>
    <w:rsid w:val="00AA6536"/>
    <w:rsid w:val="00AA687E"/>
    <w:rsid w:val="00AA6B68"/>
    <w:rsid w:val="00AA72D7"/>
    <w:rsid w:val="00AA74ED"/>
    <w:rsid w:val="00AA77CA"/>
    <w:rsid w:val="00AA796E"/>
    <w:rsid w:val="00AB033E"/>
    <w:rsid w:val="00AB1090"/>
    <w:rsid w:val="00AB1503"/>
    <w:rsid w:val="00AB1659"/>
    <w:rsid w:val="00AB1B86"/>
    <w:rsid w:val="00AB1E93"/>
    <w:rsid w:val="00AB24BF"/>
    <w:rsid w:val="00AB3380"/>
    <w:rsid w:val="00AB36CD"/>
    <w:rsid w:val="00AB3EA7"/>
    <w:rsid w:val="00AB4755"/>
    <w:rsid w:val="00AB493B"/>
    <w:rsid w:val="00AB51ED"/>
    <w:rsid w:val="00AB5360"/>
    <w:rsid w:val="00AB5B12"/>
    <w:rsid w:val="00AB5B26"/>
    <w:rsid w:val="00AB6454"/>
    <w:rsid w:val="00AB6A8E"/>
    <w:rsid w:val="00AB6B35"/>
    <w:rsid w:val="00AB6F77"/>
    <w:rsid w:val="00AB714B"/>
    <w:rsid w:val="00AB7323"/>
    <w:rsid w:val="00AB7DF1"/>
    <w:rsid w:val="00AC01BE"/>
    <w:rsid w:val="00AC0AF5"/>
    <w:rsid w:val="00AC12CD"/>
    <w:rsid w:val="00AC1932"/>
    <w:rsid w:val="00AC1D19"/>
    <w:rsid w:val="00AC1DB3"/>
    <w:rsid w:val="00AC1E64"/>
    <w:rsid w:val="00AC2129"/>
    <w:rsid w:val="00AC275B"/>
    <w:rsid w:val="00AC27EE"/>
    <w:rsid w:val="00AC2C84"/>
    <w:rsid w:val="00AC31CF"/>
    <w:rsid w:val="00AC3206"/>
    <w:rsid w:val="00AC34F9"/>
    <w:rsid w:val="00AC37C8"/>
    <w:rsid w:val="00AC3ABC"/>
    <w:rsid w:val="00AC434E"/>
    <w:rsid w:val="00AC4411"/>
    <w:rsid w:val="00AC4538"/>
    <w:rsid w:val="00AC4C95"/>
    <w:rsid w:val="00AC530D"/>
    <w:rsid w:val="00AC5FE3"/>
    <w:rsid w:val="00AC62BF"/>
    <w:rsid w:val="00AC639B"/>
    <w:rsid w:val="00AC6553"/>
    <w:rsid w:val="00AC6618"/>
    <w:rsid w:val="00AC700E"/>
    <w:rsid w:val="00AC74FA"/>
    <w:rsid w:val="00AC77E3"/>
    <w:rsid w:val="00AC7D8C"/>
    <w:rsid w:val="00AD0240"/>
    <w:rsid w:val="00AD09FE"/>
    <w:rsid w:val="00AD0EE8"/>
    <w:rsid w:val="00AD1A70"/>
    <w:rsid w:val="00AD1BF8"/>
    <w:rsid w:val="00AD207E"/>
    <w:rsid w:val="00AD2233"/>
    <w:rsid w:val="00AD2E6B"/>
    <w:rsid w:val="00AD3D7F"/>
    <w:rsid w:val="00AD41E7"/>
    <w:rsid w:val="00AD4453"/>
    <w:rsid w:val="00AD481E"/>
    <w:rsid w:val="00AD4C8A"/>
    <w:rsid w:val="00AD4DE8"/>
    <w:rsid w:val="00AD58C6"/>
    <w:rsid w:val="00AD5BBB"/>
    <w:rsid w:val="00AD6E30"/>
    <w:rsid w:val="00AE002C"/>
    <w:rsid w:val="00AE0044"/>
    <w:rsid w:val="00AE035C"/>
    <w:rsid w:val="00AE0CB4"/>
    <w:rsid w:val="00AE265E"/>
    <w:rsid w:val="00AE26A1"/>
    <w:rsid w:val="00AE335B"/>
    <w:rsid w:val="00AE337B"/>
    <w:rsid w:val="00AE4575"/>
    <w:rsid w:val="00AE4790"/>
    <w:rsid w:val="00AE4A50"/>
    <w:rsid w:val="00AE50CD"/>
    <w:rsid w:val="00AE5150"/>
    <w:rsid w:val="00AE5179"/>
    <w:rsid w:val="00AE542B"/>
    <w:rsid w:val="00AE55AA"/>
    <w:rsid w:val="00AE59C2"/>
    <w:rsid w:val="00AE66EB"/>
    <w:rsid w:val="00AE6A4F"/>
    <w:rsid w:val="00AE6CB9"/>
    <w:rsid w:val="00AE70F9"/>
    <w:rsid w:val="00AE7139"/>
    <w:rsid w:val="00AE7351"/>
    <w:rsid w:val="00AE73DC"/>
    <w:rsid w:val="00AE7857"/>
    <w:rsid w:val="00AE7DAD"/>
    <w:rsid w:val="00AE7DC2"/>
    <w:rsid w:val="00AE7FAA"/>
    <w:rsid w:val="00AF0119"/>
    <w:rsid w:val="00AF0E34"/>
    <w:rsid w:val="00AF11DF"/>
    <w:rsid w:val="00AF1628"/>
    <w:rsid w:val="00AF168E"/>
    <w:rsid w:val="00AF1941"/>
    <w:rsid w:val="00AF196C"/>
    <w:rsid w:val="00AF1D25"/>
    <w:rsid w:val="00AF2C58"/>
    <w:rsid w:val="00AF2F30"/>
    <w:rsid w:val="00AF30EC"/>
    <w:rsid w:val="00AF33AB"/>
    <w:rsid w:val="00AF34C0"/>
    <w:rsid w:val="00AF3698"/>
    <w:rsid w:val="00AF37A7"/>
    <w:rsid w:val="00AF3BBA"/>
    <w:rsid w:val="00AF3F0A"/>
    <w:rsid w:val="00AF3F77"/>
    <w:rsid w:val="00AF45E7"/>
    <w:rsid w:val="00AF4C76"/>
    <w:rsid w:val="00AF4EB4"/>
    <w:rsid w:val="00AF54CC"/>
    <w:rsid w:val="00AF5985"/>
    <w:rsid w:val="00AF5FB1"/>
    <w:rsid w:val="00AF6005"/>
    <w:rsid w:val="00AF609C"/>
    <w:rsid w:val="00AF6361"/>
    <w:rsid w:val="00AF6C38"/>
    <w:rsid w:val="00AF71C2"/>
    <w:rsid w:val="00AF72EC"/>
    <w:rsid w:val="00AF74D6"/>
    <w:rsid w:val="00AF762D"/>
    <w:rsid w:val="00AF7646"/>
    <w:rsid w:val="00AF773C"/>
    <w:rsid w:val="00B00A1D"/>
    <w:rsid w:val="00B00A36"/>
    <w:rsid w:val="00B01013"/>
    <w:rsid w:val="00B010D0"/>
    <w:rsid w:val="00B01721"/>
    <w:rsid w:val="00B0180E"/>
    <w:rsid w:val="00B01F8C"/>
    <w:rsid w:val="00B030B2"/>
    <w:rsid w:val="00B032DC"/>
    <w:rsid w:val="00B03CF6"/>
    <w:rsid w:val="00B040ED"/>
    <w:rsid w:val="00B0410C"/>
    <w:rsid w:val="00B04278"/>
    <w:rsid w:val="00B044CA"/>
    <w:rsid w:val="00B04DD9"/>
    <w:rsid w:val="00B0560C"/>
    <w:rsid w:val="00B05C61"/>
    <w:rsid w:val="00B05CA6"/>
    <w:rsid w:val="00B05FFB"/>
    <w:rsid w:val="00B06602"/>
    <w:rsid w:val="00B06910"/>
    <w:rsid w:val="00B06A99"/>
    <w:rsid w:val="00B06AA9"/>
    <w:rsid w:val="00B06C84"/>
    <w:rsid w:val="00B070F5"/>
    <w:rsid w:val="00B075D1"/>
    <w:rsid w:val="00B076E5"/>
    <w:rsid w:val="00B077B1"/>
    <w:rsid w:val="00B07E97"/>
    <w:rsid w:val="00B1065A"/>
    <w:rsid w:val="00B10A74"/>
    <w:rsid w:val="00B10CF1"/>
    <w:rsid w:val="00B10DAC"/>
    <w:rsid w:val="00B11266"/>
    <w:rsid w:val="00B11A87"/>
    <w:rsid w:val="00B11E1B"/>
    <w:rsid w:val="00B1205E"/>
    <w:rsid w:val="00B12224"/>
    <w:rsid w:val="00B1243D"/>
    <w:rsid w:val="00B12697"/>
    <w:rsid w:val="00B12BB0"/>
    <w:rsid w:val="00B13D5C"/>
    <w:rsid w:val="00B1416A"/>
    <w:rsid w:val="00B147EB"/>
    <w:rsid w:val="00B14AC2"/>
    <w:rsid w:val="00B1527B"/>
    <w:rsid w:val="00B155BD"/>
    <w:rsid w:val="00B15929"/>
    <w:rsid w:val="00B16C5E"/>
    <w:rsid w:val="00B16D1F"/>
    <w:rsid w:val="00B17C49"/>
    <w:rsid w:val="00B200E4"/>
    <w:rsid w:val="00B20314"/>
    <w:rsid w:val="00B20370"/>
    <w:rsid w:val="00B20831"/>
    <w:rsid w:val="00B20D7E"/>
    <w:rsid w:val="00B2143A"/>
    <w:rsid w:val="00B219C4"/>
    <w:rsid w:val="00B22050"/>
    <w:rsid w:val="00B223A5"/>
    <w:rsid w:val="00B230DD"/>
    <w:rsid w:val="00B2327B"/>
    <w:rsid w:val="00B235B6"/>
    <w:rsid w:val="00B2384B"/>
    <w:rsid w:val="00B23B6D"/>
    <w:rsid w:val="00B240AA"/>
    <w:rsid w:val="00B24AC5"/>
    <w:rsid w:val="00B24BF6"/>
    <w:rsid w:val="00B24FBD"/>
    <w:rsid w:val="00B255B3"/>
    <w:rsid w:val="00B25EAD"/>
    <w:rsid w:val="00B267CC"/>
    <w:rsid w:val="00B26C21"/>
    <w:rsid w:val="00B26CAE"/>
    <w:rsid w:val="00B2733F"/>
    <w:rsid w:val="00B304BD"/>
    <w:rsid w:val="00B30E63"/>
    <w:rsid w:val="00B3165B"/>
    <w:rsid w:val="00B32021"/>
    <w:rsid w:val="00B322B4"/>
    <w:rsid w:val="00B325C3"/>
    <w:rsid w:val="00B32850"/>
    <w:rsid w:val="00B328FD"/>
    <w:rsid w:val="00B329C0"/>
    <w:rsid w:val="00B330D8"/>
    <w:rsid w:val="00B33D3B"/>
    <w:rsid w:val="00B34451"/>
    <w:rsid w:val="00B344D7"/>
    <w:rsid w:val="00B34676"/>
    <w:rsid w:val="00B34841"/>
    <w:rsid w:val="00B34A00"/>
    <w:rsid w:val="00B359E3"/>
    <w:rsid w:val="00B36159"/>
    <w:rsid w:val="00B367AB"/>
    <w:rsid w:val="00B3698B"/>
    <w:rsid w:val="00B36A6B"/>
    <w:rsid w:val="00B3750C"/>
    <w:rsid w:val="00B37D58"/>
    <w:rsid w:val="00B401C8"/>
    <w:rsid w:val="00B40718"/>
    <w:rsid w:val="00B40A13"/>
    <w:rsid w:val="00B41115"/>
    <w:rsid w:val="00B418E0"/>
    <w:rsid w:val="00B41BCA"/>
    <w:rsid w:val="00B41BF5"/>
    <w:rsid w:val="00B41E30"/>
    <w:rsid w:val="00B41F09"/>
    <w:rsid w:val="00B420C5"/>
    <w:rsid w:val="00B42405"/>
    <w:rsid w:val="00B42927"/>
    <w:rsid w:val="00B43082"/>
    <w:rsid w:val="00B4355D"/>
    <w:rsid w:val="00B437B3"/>
    <w:rsid w:val="00B437CF"/>
    <w:rsid w:val="00B44C8F"/>
    <w:rsid w:val="00B451D0"/>
    <w:rsid w:val="00B45268"/>
    <w:rsid w:val="00B453C7"/>
    <w:rsid w:val="00B473B3"/>
    <w:rsid w:val="00B47729"/>
    <w:rsid w:val="00B47B54"/>
    <w:rsid w:val="00B47D60"/>
    <w:rsid w:val="00B502B9"/>
    <w:rsid w:val="00B5086E"/>
    <w:rsid w:val="00B508C3"/>
    <w:rsid w:val="00B50A18"/>
    <w:rsid w:val="00B50A42"/>
    <w:rsid w:val="00B50EAF"/>
    <w:rsid w:val="00B50EFE"/>
    <w:rsid w:val="00B518F3"/>
    <w:rsid w:val="00B5217A"/>
    <w:rsid w:val="00B5256E"/>
    <w:rsid w:val="00B52BAA"/>
    <w:rsid w:val="00B52D98"/>
    <w:rsid w:val="00B53079"/>
    <w:rsid w:val="00B53A10"/>
    <w:rsid w:val="00B53BE0"/>
    <w:rsid w:val="00B54068"/>
    <w:rsid w:val="00B54E54"/>
    <w:rsid w:val="00B553A1"/>
    <w:rsid w:val="00B5598F"/>
    <w:rsid w:val="00B5697D"/>
    <w:rsid w:val="00B57E95"/>
    <w:rsid w:val="00B6038D"/>
    <w:rsid w:val="00B603A8"/>
    <w:rsid w:val="00B60577"/>
    <w:rsid w:val="00B60710"/>
    <w:rsid w:val="00B61052"/>
    <w:rsid w:val="00B61388"/>
    <w:rsid w:val="00B6150A"/>
    <w:rsid w:val="00B61749"/>
    <w:rsid w:val="00B629EF"/>
    <w:rsid w:val="00B62CED"/>
    <w:rsid w:val="00B63959"/>
    <w:rsid w:val="00B64F9F"/>
    <w:rsid w:val="00B65022"/>
    <w:rsid w:val="00B659A7"/>
    <w:rsid w:val="00B65D02"/>
    <w:rsid w:val="00B65E97"/>
    <w:rsid w:val="00B65EDD"/>
    <w:rsid w:val="00B66146"/>
    <w:rsid w:val="00B66303"/>
    <w:rsid w:val="00B6647A"/>
    <w:rsid w:val="00B667A7"/>
    <w:rsid w:val="00B66AAC"/>
    <w:rsid w:val="00B67A06"/>
    <w:rsid w:val="00B67E3F"/>
    <w:rsid w:val="00B67E51"/>
    <w:rsid w:val="00B7078D"/>
    <w:rsid w:val="00B70B45"/>
    <w:rsid w:val="00B70B52"/>
    <w:rsid w:val="00B70DA5"/>
    <w:rsid w:val="00B711FD"/>
    <w:rsid w:val="00B7141E"/>
    <w:rsid w:val="00B721D6"/>
    <w:rsid w:val="00B72208"/>
    <w:rsid w:val="00B72CA6"/>
    <w:rsid w:val="00B72D13"/>
    <w:rsid w:val="00B72DB2"/>
    <w:rsid w:val="00B73B62"/>
    <w:rsid w:val="00B74122"/>
    <w:rsid w:val="00B74C8B"/>
    <w:rsid w:val="00B74FBD"/>
    <w:rsid w:val="00B75B1E"/>
    <w:rsid w:val="00B7644F"/>
    <w:rsid w:val="00B76ADB"/>
    <w:rsid w:val="00B76F15"/>
    <w:rsid w:val="00B7794E"/>
    <w:rsid w:val="00B77954"/>
    <w:rsid w:val="00B7798E"/>
    <w:rsid w:val="00B80054"/>
    <w:rsid w:val="00B803C0"/>
    <w:rsid w:val="00B814E3"/>
    <w:rsid w:val="00B81B5B"/>
    <w:rsid w:val="00B81CEC"/>
    <w:rsid w:val="00B823C1"/>
    <w:rsid w:val="00B824E2"/>
    <w:rsid w:val="00B82823"/>
    <w:rsid w:val="00B82CEC"/>
    <w:rsid w:val="00B82F8D"/>
    <w:rsid w:val="00B832D6"/>
    <w:rsid w:val="00B835A3"/>
    <w:rsid w:val="00B83FCD"/>
    <w:rsid w:val="00B8428C"/>
    <w:rsid w:val="00B844F9"/>
    <w:rsid w:val="00B8480A"/>
    <w:rsid w:val="00B84ADF"/>
    <w:rsid w:val="00B84F54"/>
    <w:rsid w:val="00B85082"/>
    <w:rsid w:val="00B85173"/>
    <w:rsid w:val="00B851A5"/>
    <w:rsid w:val="00B852B5"/>
    <w:rsid w:val="00B853EA"/>
    <w:rsid w:val="00B8553B"/>
    <w:rsid w:val="00B856D4"/>
    <w:rsid w:val="00B85CB0"/>
    <w:rsid w:val="00B86AD6"/>
    <w:rsid w:val="00B87CE2"/>
    <w:rsid w:val="00B87E50"/>
    <w:rsid w:val="00B8A7CB"/>
    <w:rsid w:val="00B9062A"/>
    <w:rsid w:val="00B90B15"/>
    <w:rsid w:val="00B90D91"/>
    <w:rsid w:val="00B90FCF"/>
    <w:rsid w:val="00B913A7"/>
    <w:rsid w:val="00B91865"/>
    <w:rsid w:val="00B91ADF"/>
    <w:rsid w:val="00B91C78"/>
    <w:rsid w:val="00B923C9"/>
    <w:rsid w:val="00B927C2"/>
    <w:rsid w:val="00B927DE"/>
    <w:rsid w:val="00B92A9F"/>
    <w:rsid w:val="00B92C4B"/>
    <w:rsid w:val="00B9312F"/>
    <w:rsid w:val="00B939F9"/>
    <w:rsid w:val="00B93FBC"/>
    <w:rsid w:val="00B94130"/>
    <w:rsid w:val="00B94A4A"/>
    <w:rsid w:val="00B94B07"/>
    <w:rsid w:val="00B952E6"/>
    <w:rsid w:val="00B95508"/>
    <w:rsid w:val="00B95715"/>
    <w:rsid w:val="00B9593F"/>
    <w:rsid w:val="00B95A90"/>
    <w:rsid w:val="00B965A5"/>
    <w:rsid w:val="00B9682D"/>
    <w:rsid w:val="00B96EBD"/>
    <w:rsid w:val="00B97933"/>
    <w:rsid w:val="00B97ABC"/>
    <w:rsid w:val="00B97DAB"/>
    <w:rsid w:val="00BA04A9"/>
    <w:rsid w:val="00BA0506"/>
    <w:rsid w:val="00BA23C2"/>
    <w:rsid w:val="00BA275B"/>
    <w:rsid w:val="00BA2AC2"/>
    <w:rsid w:val="00BA2E73"/>
    <w:rsid w:val="00BA2EC0"/>
    <w:rsid w:val="00BA30B9"/>
    <w:rsid w:val="00BA30F2"/>
    <w:rsid w:val="00BA369A"/>
    <w:rsid w:val="00BA3F9D"/>
    <w:rsid w:val="00BA54AB"/>
    <w:rsid w:val="00BA58F6"/>
    <w:rsid w:val="00BA5A77"/>
    <w:rsid w:val="00BA6280"/>
    <w:rsid w:val="00BA679C"/>
    <w:rsid w:val="00BA68D1"/>
    <w:rsid w:val="00BA7EAD"/>
    <w:rsid w:val="00BB033C"/>
    <w:rsid w:val="00BB03F2"/>
    <w:rsid w:val="00BB0E4D"/>
    <w:rsid w:val="00BB0FD5"/>
    <w:rsid w:val="00BB1152"/>
    <w:rsid w:val="00BB1657"/>
    <w:rsid w:val="00BB1BD2"/>
    <w:rsid w:val="00BB1D59"/>
    <w:rsid w:val="00BB2306"/>
    <w:rsid w:val="00BB324A"/>
    <w:rsid w:val="00BB3772"/>
    <w:rsid w:val="00BB3D7F"/>
    <w:rsid w:val="00BB43B3"/>
    <w:rsid w:val="00BB43C2"/>
    <w:rsid w:val="00BB45F8"/>
    <w:rsid w:val="00BB4DCC"/>
    <w:rsid w:val="00BB5882"/>
    <w:rsid w:val="00BB5D75"/>
    <w:rsid w:val="00BB5E93"/>
    <w:rsid w:val="00BB600E"/>
    <w:rsid w:val="00BB64D7"/>
    <w:rsid w:val="00BB7CE5"/>
    <w:rsid w:val="00BB7F0B"/>
    <w:rsid w:val="00BC0345"/>
    <w:rsid w:val="00BC07F2"/>
    <w:rsid w:val="00BC0C39"/>
    <w:rsid w:val="00BC20AE"/>
    <w:rsid w:val="00BC2247"/>
    <w:rsid w:val="00BC241B"/>
    <w:rsid w:val="00BC28E8"/>
    <w:rsid w:val="00BC2D1B"/>
    <w:rsid w:val="00BC2DD1"/>
    <w:rsid w:val="00BC31AD"/>
    <w:rsid w:val="00BC353A"/>
    <w:rsid w:val="00BC3D37"/>
    <w:rsid w:val="00BC45DC"/>
    <w:rsid w:val="00BC513E"/>
    <w:rsid w:val="00BC5147"/>
    <w:rsid w:val="00BC5381"/>
    <w:rsid w:val="00BC5546"/>
    <w:rsid w:val="00BC55E1"/>
    <w:rsid w:val="00BC58FA"/>
    <w:rsid w:val="00BC5E4D"/>
    <w:rsid w:val="00BC6164"/>
    <w:rsid w:val="00BC6497"/>
    <w:rsid w:val="00BC64B5"/>
    <w:rsid w:val="00BC6621"/>
    <w:rsid w:val="00BC6E8A"/>
    <w:rsid w:val="00BC6FC9"/>
    <w:rsid w:val="00BC73D9"/>
    <w:rsid w:val="00BC7708"/>
    <w:rsid w:val="00BC7C41"/>
    <w:rsid w:val="00BC7D7D"/>
    <w:rsid w:val="00BC7F84"/>
    <w:rsid w:val="00BD00BA"/>
    <w:rsid w:val="00BD0326"/>
    <w:rsid w:val="00BD0666"/>
    <w:rsid w:val="00BD0A5C"/>
    <w:rsid w:val="00BD1250"/>
    <w:rsid w:val="00BD1512"/>
    <w:rsid w:val="00BD156F"/>
    <w:rsid w:val="00BD16B2"/>
    <w:rsid w:val="00BD1C82"/>
    <w:rsid w:val="00BD1ED1"/>
    <w:rsid w:val="00BD22BC"/>
    <w:rsid w:val="00BD28CE"/>
    <w:rsid w:val="00BD2D11"/>
    <w:rsid w:val="00BD32EB"/>
    <w:rsid w:val="00BD3355"/>
    <w:rsid w:val="00BD3501"/>
    <w:rsid w:val="00BD3602"/>
    <w:rsid w:val="00BD3ED3"/>
    <w:rsid w:val="00BD4644"/>
    <w:rsid w:val="00BD529C"/>
    <w:rsid w:val="00BD682A"/>
    <w:rsid w:val="00BD68FA"/>
    <w:rsid w:val="00BD6C14"/>
    <w:rsid w:val="00BD74F5"/>
    <w:rsid w:val="00BD7561"/>
    <w:rsid w:val="00BE03F4"/>
    <w:rsid w:val="00BE070C"/>
    <w:rsid w:val="00BE0886"/>
    <w:rsid w:val="00BE098C"/>
    <w:rsid w:val="00BE0C09"/>
    <w:rsid w:val="00BE2104"/>
    <w:rsid w:val="00BE2BE5"/>
    <w:rsid w:val="00BE2CA9"/>
    <w:rsid w:val="00BE446B"/>
    <w:rsid w:val="00BE4610"/>
    <w:rsid w:val="00BE49CA"/>
    <w:rsid w:val="00BE504F"/>
    <w:rsid w:val="00BE51D1"/>
    <w:rsid w:val="00BE54B8"/>
    <w:rsid w:val="00BE5563"/>
    <w:rsid w:val="00BE62E1"/>
    <w:rsid w:val="00BE6B4B"/>
    <w:rsid w:val="00BE6D85"/>
    <w:rsid w:val="00BE6E53"/>
    <w:rsid w:val="00BE7A11"/>
    <w:rsid w:val="00BF015C"/>
    <w:rsid w:val="00BF056A"/>
    <w:rsid w:val="00BF0617"/>
    <w:rsid w:val="00BF09E7"/>
    <w:rsid w:val="00BF12F7"/>
    <w:rsid w:val="00BF134B"/>
    <w:rsid w:val="00BF17D8"/>
    <w:rsid w:val="00BF17DE"/>
    <w:rsid w:val="00BF1CD0"/>
    <w:rsid w:val="00BF2288"/>
    <w:rsid w:val="00BF238B"/>
    <w:rsid w:val="00BF2C98"/>
    <w:rsid w:val="00BF2EA7"/>
    <w:rsid w:val="00BF3C14"/>
    <w:rsid w:val="00BF525F"/>
    <w:rsid w:val="00BF641A"/>
    <w:rsid w:val="00BF68C8"/>
    <w:rsid w:val="00BF70C4"/>
    <w:rsid w:val="00BF75A0"/>
    <w:rsid w:val="00BF7C95"/>
    <w:rsid w:val="00C0015A"/>
    <w:rsid w:val="00C002AC"/>
    <w:rsid w:val="00C002F7"/>
    <w:rsid w:val="00C01007"/>
    <w:rsid w:val="00C01159"/>
    <w:rsid w:val="00C01566"/>
    <w:rsid w:val="00C017BC"/>
    <w:rsid w:val="00C0186C"/>
    <w:rsid w:val="00C021DC"/>
    <w:rsid w:val="00C02310"/>
    <w:rsid w:val="00C02318"/>
    <w:rsid w:val="00C02351"/>
    <w:rsid w:val="00C03687"/>
    <w:rsid w:val="00C0449E"/>
    <w:rsid w:val="00C04C00"/>
    <w:rsid w:val="00C04D88"/>
    <w:rsid w:val="00C05000"/>
    <w:rsid w:val="00C053B1"/>
    <w:rsid w:val="00C05C31"/>
    <w:rsid w:val="00C05FFC"/>
    <w:rsid w:val="00C06326"/>
    <w:rsid w:val="00C065FB"/>
    <w:rsid w:val="00C06808"/>
    <w:rsid w:val="00C06C60"/>
    <w:rsid w:val="00C070F2"/>
    <w:rsid w:val="00C0742F"/>
    <w:rsid w:val="00C076DE"/>
    <w:rsid w:val="00C0797C"/>
    <w:rsid w:val="00C07985"/>
    <w:rsid w:val="00C07FC1"/>
    <w:rsid w:val="00C102C0"/>
    <w:rsid w:val="00C10468"/>
    <w:rsid w:val="00C10F92"/>
    <w:rsid w:val="00C1108A"/>
    <w:rsid w:val="00C111A3"/>
    <w:rsid w:val="00C111D1"/>
    <w:rsid w:val="00C114AB"/>
    <w:rsid w:val="00C1166D"/>
    <w:rsid w:val="00C11877"/>
    <w:rsid w:val="00C11A2D"/>
    <w:rsid w:val="00C12474"/>
    <w:rsid w:val="00C12A07"/>
    <w:rsid w:val="00C12AE2"/>
    <w:rsid w:val="00C12B6E"/>
    <w:rsid w:val="00C12C42"/>
    <w:rsid w:val="00C12DBD"/>
    <w:rsid w:val="00C13248"/>
    <w:rsid w:val="00C13503"/>
    <w:rsid w:val="00C13790"/>
    <w:rsid w:val="00C13BCE"/>
    <w:rsid w:val="00C13F2E"/>
    <w:rsid w:val="00C14062"/>
    <w:rsid w:val="00C1494B"/>
    <w:rsid w:val="00C14B92"/>
    <w:rsid w:val="00C14BA2"/>
    <w:rsid w:val="00C155EB"/>
    <w:rsid w:val="00C15B2D"/>
    <w:rsid w:val="00C15FEE"/>
    <w:rsid w:val="00C167FE"/>
    <w:rsid w:val="00C16E16"/>
    <w:rsid w:val="00C1703F"/>
    <w:rsid w:val="00C170BF"/>
    <w:rsid w:val="00C17535"/>
    <w:rsid w:val="00C17A6E"/>
    <w:rsid w:val="00C207CF"/>
    <w:rsid w:val="00C20EE5"/>
    <w:rsid w:val="00C21922"/>
    <w:rsid w:val="00C21B12"/>
    <w:rsid w:val="00C21F9F"/>
    <w:rsid w:val="00C2200C"/>
    <w:rsid w:val="00C222C6"/>
    <w:rsid w:val="00C222FD"/>
    <w:rsid w:val="00C22322"/>
    <w:rsid w:val="00C22DA1"/>
    <w:rsid w:val="00C22E5F"/>
    <w:rsid w:val="00C22F37"/>
    <w:rsid w:val="00C23317"/>
    <w:rsid w:val="00C235B3"/>
    <w:rsid w:val="00C24200"/>
    <w:rsid w:val="00C243C7"/>
    <w:rsid w:val="00C24567"/>
    <w:rsid w:val="00C2477E"/>
    <w:rsid w:val="00C24A85"/>
    <w:rsid w:val="00C24CAB"/>
    <w:rsid w:val="00C24CE1"/>
    <w:rsid w:val="00C253D7"/>
    <w:rsid w:val="00C25FBA"/>
    <w:rsid w:val="00C2618B"/>
    <w:rsid w:val="00C26387"/>
    <w:rsid w:val="00C26D88"/>
    <w:rsid w:val="00C26DA1"/>
    <w:rsid w:val="00C27259"/>
    <w:rsid w:val="00C30144"/>
    <w:rsid w:val="00C31C36"/>
    <w:rsid w:val="00C31D91"/>
    <w:rsid w:val="00C31F58"/>
    <w:rsid w:val="00C32287"/>
    <w:rsid w:val="00C329BA"/>
    <w:rsid w:val="00C32D53"/>
    <w:rsid w:val="00C32E99"/>
    <w:rsid w:val="00C33035"/>
    <w:rsid w:val="00C331BE"/>
    <w:rsid w:val="00C33656"/>
    <w:rsid w:val="00C33873"/>
    <w:rsid w:val="00C338B3"/>
    <w:rsid w:val="00C33B51"/>
    <w:rsid w:val="00C34521"/>
    <w:rsid w:val="00C346E8"/>
    <w:rsid w:val="00C34A14"/>
    <w:rsid w:val="00C34A4A"/>
    <w:rsid w:val="00C35209"/>
    <w:rsid w:val="00C35295"/>
    <w:rsid w:val="00C35383"/>
    <w:rsid w:val="00C361A2"/>
    <w:rsid w:val="00C362B3"/>
    <w:rsid w:val="00C3682A"/>
    <w:rsid w:val="00C36886"/>
    <w:rsid w:val="00C368DB"/>
    <w:rsid w:val="00C36940"/>
    <w:rsid w:val="00C369D5"/>
    <w:rsid w:val="00C371BF"/>
    <w:rsid w:val="00C371D6"/>
    <w:rsid w:val="00C372BC"/>
    <w:rsid w:val="00C37618"/>
    <w:rsid w:val="00C37AD6"/>
    <w:rsid w:val="00C37BE7"/>
    <w:rsid w:val="00C37FAE"/>
    <w:rsid w:val="00C4035C"/>
    <w:rsid w:val="00C4057C"/>
    <w:rsid w:val="00C40683"/>
    <w:rsid w:val="00C4107D"/>
    <w:rsid w:val="00C41492"/>
    <w:rsid w:val="00C41DB2"/>
    <w:rsid w:val="00C42055"/>
    <w:rsid w:val="00C420CB"/>
    <w:rsid w:val="00C42312"/>
    <w:rsid w:val="00C42436"/>
    <w:rsid w:val="00C42AA7"/>
    <w:rsid w:val="00C43180"/>
    <w:rsid w:val="00C435E9"/>
    <w:rsid w:val="00C44510"/>
    <w:rsid w:val="00C44ADB"/>
    <w:rsid w:val="00C44E77"/>
    <w:rsid w:val="00C450B9"/>
    <w:rsid w:val="00C4617C"/>
    <w:rsid w:val="00C462B5"/>
    <w:rsid w:val="00C46864"/>
    <w:rsid w:val="00C47FF0"/>
    <w:rsid w:val="00C502E4"/>
    <w:rsid w:val="00C50692"/>
    <w:rsid w:val="00C50791"/>
    <w:rsid w:val="00C508BE"/>
    <w:rsid w:val="00C50E9E"/>
    <w:rsid w:val="00C51896"/>
    <w:rsid w:val="00C52092"/>
    <w:rsid w:val="00C520AB"/>
    <w:rsid w:val="00C526E6"/>
    <w:rsid w:val="00C529BD"/>
    <w:rsid w:val="00C53303"/>
    <w:rsid w:val="00C53988"/>
    <w:rsid w:val="00C54351"/>
    <w:rsid w:val="00C555CC"/>
    <w:rsid w:val="00C555D7"/>
    <w:rsid w:val="00C5562E"/>
    <w:rsid w:val="00C55635"/>
    <w:rsid w:val="00C5618D"/>
    <w:rsid w:val="00C562FF"/>
    <w:rsid w:val="00C56497"/>
    <w:rsid w:val="00C567FB"/>
    <w:rsid w:val="00C572C6"/>
    <w:rsid w:val="00C575E0"/>
    <w:rsid w:val="00C579E7"/>
    <w:rsid w:val="00C6042B"/>
    <w:rsid w:val="00C60959"/>
    <w:rsid w:val="00C60D46"/>
    <w:rsid w:val="00C60FA0"/>
    <w:rsid w:val="00C6164C"/>
    <w:rsid w:val="00C617EF"/>
    <w:rsid w:val="00C61BB7"/>
    <w:rsid w:val="00C622BD"/>
    <w:rsid w:val="00C62670"/>
    <w:rsid w:val="00C628BA"/>
    <w:rsid w:val="00C62995"/>
    <w:rsid w:val="00C63381"/>
    <w:rsid w:val="00C6345F"/>
    <w:rsid w:val="00C637FB"/>
    <w:rsid w:val="00C63B4C"/>
    <w:rsid w:val="00C63C94"/>
    <w:rsid w:val="00C640B2"/>
    <w:rsid w:val="00C6428A"/>
    <w:rsid w:val="00C6440B"/>
    <w:rsid w:val="00C646EB"/>
    <w:rsid w:val="00C64892"/>
    <w:rsid w:val="00C662EE"/>
    <w:rsid w:val="00C666B5"/>
    <w:rsid w:val="00C6691F"/>
    <w:rsid w:val="00C66E78"/>
    <w:rsid w:val="00C67B39"/>
    <w:rsid w:val="00C67F81"/>
    <w:rsid w:val="00C67FCD"/>
    <w:rsid w:val="00C70024"/>
    <w:rsid w:val="00C70F9D"/>
    <w:rsid w:val="00C71103"/>
    <w:rsid w:val="00C712A8"/>
    <w:rsid w:val="00C717A5"/>
    <w:rsid w:val="00C721D6"/>
    <w:rsid w:val="00C72551"/>
    <w:rsid w:val="00C726F8"/>
    <w:rsid w:val="00C72D55"/>
    <w:rsid w:val="00C73024"/>
    <w:rsid w:val="00C73793"/>
    <w:rsid w:val="00C738FA"/>
    <w:rsid w:val="00C7452E"/>
    <w:rsid w:val="00C74E2C"/>
    <w:rsid w:val="00C7536E"/>
    <w:rsid w:val="00C75B21"/>
    <w:rsid w:val="00C75E14"/>
    <w:rsid w:val="00C768F9"/>
    <w:rsid w:val="00C76EA6"/>
    <w:rsid w:val="00C7796B"/>
    <w:rsid w:val="00C77FB7"/>
    <w:rsid w:val="00C80100"/>
    <w:rsid w:val="00C8010A"/>
    <w:rsid w:val="00C80BC4"/>
    <w:rsid w:val="00C811C1"/>
    <w:rsid w:val="00C81954"/>
    <w:rsid w:val="00C81C73"/>
    <w:rsid w:val="00C824C6"/>
    <w:rsid w:val="00C826CB"/>
    <w:rsid w:val="00C8316F"/>
    <w:rsid w:val="00C83555"/>
    <w:rsid w:val="00C83ECA"/>
    <w:rsid w:val="00C84890"/>
    <w:rsid w:val="00C8592A"/>
    <w:rsid w:val="00C85A7A"/>
    <w:rsid w:val="00C86538"/>
    <w:rsid w:val="00C8673D"/>
    <w:rsid w:val="00C87235"/>
    <w:rsid w:val="00C8753D"/>
    <w:rsid w:val="00C878F8"/>
    <w:rsid w:val="00C87B32"/>
    <w:rsid w:val="00C87DDE"/>
    <w:rsid w:val="00C908F5"/>
    <w:rsid w:val="00C90B2F"/>
    <w:rsid w:val="00C90E8E"/>
    <w:rsid w:val="00C90F1A"/>
    <w:rsid w:val="00C9104C"/>
    <w:rsid w:val="00C9106A"/>
    <w:rsid w:val="00C91BD7"/>
    <w:rsid w:val="00C91EFF"/>
    <w:rsid w:val="00C91F7F"/>
    <w:rsid w:val="00C9212C"/>
    <w:rsid w:val="00C9248D"/>
    <w:rsid w:val="00C93AF9"/>
    <w:rsid w:val="00C94120"/>
    <w:rsid w:val="00C9414B"/>
    <w:rsid w:val="00C94546"/>
    <w:rsid w:val="00C947F5"/>
    <w:rsid w:val="00C95437"/>
    <w:rsid w:val="00C95E8E"/>
    <w:rsid w:val="00C96021"/>
    <w:rsid w:val="00C96147"/>
    <w:rsid w:val="00C96E37"/>
    <w:rsid w:val="00C978B3"/>
    <w:rsid w:val="00C97C64"/>
    <w:rsid w:val="00C97D0C"/>
    <w:rsid w:val="00C97F12"/>
    <w:rsid w:val="00CA0366"/>
    <w:rsid w:val="00CA1218"/>
    <w:rsid w:val="00CA1347"/>
    <w:rsid w:val="00CA1477"/>
    <w:rsid w:val="00CA20C9"/>
    <w:rsid w:val="00CA240D"/>
    <w:rsid w:val="00CA2572"/>
    <w:rsid w:val="00CA2A85"/>
    <w:rsid w:val="00CA2BE1"/>
    <w:rsid w:val="00CA2FCA"/>
    <w:rsid w:val="00CA2FED"/>
    <w:rsid w:val="00CA3310"/>
    <w:rsid w:val="00CA36F4"/>
    <w:rsid w:val="00CA3BDF"/>
    <w:rsid w:val="00CA4655"/>
    <w:rsid w:val="00CA4B93"/>
    <w:rsid w:val="00CA4E37"/>
    <w:rsid w:val="00CA54CD"/>
    <w:rsid w:val="00CA5A2C"/>
    <w:rsid w:val="00CA6C9E"/>
    <w:rsid w:val="00CA6E06"/>
    <w:rsid w:val="00CA6EDD"/>
    <w:rsid w:val="00CA7491"/>
    <w:rsid w:val="00CA7FB3"/>
    <w:rsid w:val="00CA7FD1"/>
    <w:rsid w:val="00CB0ECF"/>
    <w:rsid w:val="00CB0F81"/>
    <w:rsid w:val="00CB13DD"/>
    <w:rsid w:val="00CB19A8"/>
    <w:rsid w:val="00CB1C48"/>
    <w:rsid w:val="00CB1E1D"/>
    <w:rsid w:val="00CB207C"/>
    <w:rsid w:val="00CB25CB"/>
    <w:rsid w:val="00CB31D9"/>
    <w:rsid w:val="00CB3525"/>
    <w:rsid w:val="00CB4674"/>
    <w:rsid w:val="00CB5273"/>
    <w:rsid w:val="00CB5313"/>
    <w:rsid w:val="00CB5A9F"/>
    <w:rsid w:val="00CB5DB9"/>
    <w:rsid w:val="00CB604C"/>
    <w:rsid w:val="00CB6185"/>
    <w:rsid w:val="00CB681F"/>
    <w:rsid w:val="00CB69C7"/>
    <w:rsid w:val="00CB6E04"/>
    <w:rsid w:val="00CB70CB"/>
    <w:rsid w:val="00CB7251"/>
    <w:rsid w:val="00CB7543"/>
    <w:rsid w:val="00CB7646"/>
    <w:rsid w:val="00CB7A30"/>
    <w:rsid w:val="00CB7D6E"/>
    <w:rsid w:val="00CB7E10"/>
    <w:rsid w:val="00CC0128"/>
    <w:rsid w:val="00CC08DC"/>
    <w:rsid w:val="00CC0E5C"/>
    <w:rsid w:val="00CC11F0"/>
    <w:rsid w:val="00CC12EB"/>
    <w:rsid w:val="00CC1380"/>
    <w:rsid w:val="00CC18DB"/>
    <w:rsid w:val="00CC1FE6"/>
    <w:rsid w:val="00CC2592"/>
    <w:rsid w:val="00CC27FC"/>
    <w:rsid w:val="00CC29B7"/>
    <w:rsid w:val="00CC29BC"/>
    <w:rsid w:val="00CC3179"/>
    <w:rsid w:val="00CC349C"/>
    <w:rsid w:val="00CC36E5"/>
    <w:rsid w:val="00CC37DA"/>
    <w:rsid w:val="00CC3AF9"/>
    <w:rsid w:val="00CC3BC3"/>
    <w:rsid w:val="00CC494B"/>
    <w:rsid w:val="00CC606F"/>
    <w:rsid w:val="00CC617A"/>
    <w:rsid w:val="00CC6CBE"/>
    <w:rsid w:val="00CC6FF3"/>
    <w:rsid w:val="00CC70E9"/>
    <w:rsid w:val="00CC7B7C"/>
    <w:rsid w:val="00CC7DF2"/>
    <w:rsid w:val="00CD02BE"/>
    <w:rsid w:val="00CD0F5C"/>
    <w:rsid w:val="00CD11BA"/>
    <w:rsid w:val="00CD18DA"/>
    <w:rsid w:val="00CD1D55"/>
    <w:rsid w:val="00CD1ED6"/>
    <w:rsid w:val="00CD2212"/>
    <w:rsid w:val="00CD266D"/>
    <w:rsid w:val="00CD29ED"/>
    <w:rsid w:val="00CD3BB2"/>
    <w:rsid w:val="00CD3D62"/>
    <w:rsid w:val="00CD3F05"/>
    <w:rsid w:val="00CD4774"/>
    <w:rsid w:val="00CD5026"/>
    <w:rsid w:val="00CD5546"/>
    <w:rsid w:val="00CD5B1C"/>
    <w:rsid w:val="00CD5CC1"/>
    <w:rsid w:val="00CD60F6"/>
    <w:rsid w:val="00CD652E"/>
    <w:rsid w:val="00CD6F85"/>
    <w:rsid w:val="00CD7204"/>
    <w:rsid w:val="00CD7609"/>
    <w:rsid w:val="00CD7F28"/>
    <w:rsid w:val="00CE00D1"/>
    <w:rsid w:val="00CE03D5"/>
    <w:rsid w:val="00CE08BC"/>
    <w:rsid w:val="00CE0CDC"/>
    <w:rsid w:val="00CE0D2F"/>
    <w:rsid w:val="00CE0FBB"/>
    <w:rsid w:val="00CE1177"/>
    <w:rsid w:val="00CE15B3"/>
    <w:rsid w:val="00CE1762"/>
    <w:rsid w:val="00CE18B8"/>
    <w:rsid w:val="00CE1D03"/>
    <w:rsid w:val="00CE21A9"/>
    <w:rsid w:val="00CE2DB1"/>
    <w:rsid w:val="00CE3D36"/>
    <w:rsid w:val="00CE44B0"/>
    <w:rsid w:val="00CE4A79"/>
    <w:rsid w:val="00CE4A8B"/>
    <w:rsid w:val="00CE502A"/>
    <w:rsid w:val="00CE5421"/>
    <w:rsid w:val="00CE5645"/>
    <w:rsid w:val="00CE5C20"/>
    <w:rsid w:val="00CE601B"/>
    <w:rsid w:val="00CE61D0"/>
    <w:rsid w:val="00CE626B"/>
    <w:rsid w:val="00CE6498"/>
    <w:rsid w:val="00CE6834"/>
    <w:rsid w:val="00CE685E"/>
    <w:rsid w:val="00CE7A73"/>
    <w:rsid w:val="00CE7D54"/>
    <w:rsid w:val="00CF00F4"/>
    <w:rsid w:val="00CF069E"/>
    <w:rsid w:val="00CF0720"/>
    <w:rsid w:val="00CF0851"/>
    <w:rsid w:val="00CF12A9"/>
    <w:rsid w:val="00CF1365"/>
    <w:rsid w:val="00CF172B"/>
    <w:rsid w:val="00CF174E"/>
    <w:rsid w:val="00CF1BF7"/>
    <w:rsid w:val="00CF244F"/>
    <w:rsid w:val="00CF270D"/>
    <w:rsid w:val="00CF3661"/>
    <w:rsid w:val="00CF3824"/>
    <w:rsid w:val="00CF3884"/>
    <w:rsid w:val="00CF3EEB"/>
    <w:rsid w:val="00CF46E1"/>
    <w:rsid w:val="00CF4CD8"/>
    <w:rsid w:val="00CF51D1"/>
    <w:rsid w:val="00CF5A2D"/>
    <w:rsid w:val="00CF5B5D"/>
    <w:rsid w:val="00CF78A8"/>
    <w:rsid w:val="00D00082"/>
    <w:rsid w:val="00D00301"/>
    <w:rsid w:val="00D00911"/>
    <w:rsid w:val="00D00ADA"/>
    <w:rsid w:val="00D011C3"/>
    <w:rsid w:val="00D02753"/>
    <w:rsid w:val="00D028FF"/>
    <w:rsid w:val="00D02D72"/>
    <w:rsid w:val="00D04C8C"/>
    <w:rsid w:val="00D05AD9"/>
    <w:rsid w:val="00D061EE"/>
    <w:rsid w:val="00D07CB1"/>
    <w:rsid w:val="00D10172"/>
    <w:rsid w:val="00D105C8"/>
    <w:rsid w:val="00D1084D"/>
    <w:rsid w:val="00D109C4"/>
    <w:rsid w:val="00D10AC3"/>
    <w:rsid w:val="00D1100B"/>
    <w:rsid w:val="00D11969"/>
    <w:rsid w:val="00D11B28"/>
    <w:rsid w:val="00D11D84"/>
    <w:rsid w:val="00D12271"/>
    <w:rsid w:val="00D12BAB"/>
    <w:rsid w:val="00D13A9B"/>
    <w:rsid w:val="00D146C4"/>
    <w:rsid w:val="00D14994"/>
    <w:rsid w:val="00D14A37"/>
    <w:rsid w:val="00D14AE4"/>
    <w:rsid w:val="00D14D26"/>
    <w:rsid w:val="00D14EC4"/>
    <w:rsid w:val="00D1542F"/>
    <w:rsid w:val="00D15B77"/>
    <w:rsid w:val="00D15E31"/>
    <w:rsid w:val="00D1635B"/>
    <w:rsid w:val="00D16BB4"/>
    <w:rsid w:val="00D16D5C"/>
    <w:rsid w:val="00D16D9A"/>
    <w:rsid w:val="00D16EA9"/>
    <w:rsid w:val="00D1733C"/>
    <w:rsid w:val="00D20314"/>
    <w:rsid w:val="00D2146F"/>
    <w:rsid w:val="00D216F1"/>
    <w:rsid w:val="00D218FA"/>
    <w:rsid w:val="00D21DC9"/>
    <w:rsid w:val="00D22173"/>
    <w:rsid w:val="00D22187"/>
    <w:rsid w:val="00D2233E"/>
    <w:rsid w:val="00D2261A"/>
    <w:rsid w:val="00D226CE"/>
    <w:rsid w:val="00D23354"/>
    <w:rsid w:val="00D236DB"/>
    <w:rsid w:val="00D24037"/>
    <w:rsid w:val="00D24897"/>
    <w:rsid w:val="00D2498E"/>
    <w:rsid w:val="00D259ED"/>
    <w:rsid w:val="00D2601A"/>
    <w:rsid w:val="00D260C2"/>
    <w:rsid w:val="00D27004"/>
    <w:rsid w:val="00D27394"/>
    <w:rsid w:val="00D27D10"/>
    <w:rsid w:val="00D27EC7"/>
    <w:rsid w:val="00D302DC"/>
    <w:rsid w:val="00D30391"/>
    <w:rsid w:val="00D3060B"/>
    <w:rsid w:val="00D31A6A"/>
    <w:rsid w:val="00D32088"/>
    <w:rsid w:val="00D32950"/>
    <w:rsid w:val="00D32B97"/>
    <w:rsid w:val="00D3351A"/>
    <w:rsid w:val="00D33586"/>
    <w:rsid w:val="00D33624"/>
    <w:rsid w:val="00D33AEF"/>
    <w:rsid w:val="00D33B55"/>
    <w:rsid w:val="00D33CD8"/>
    <w:rsid w:val="00D34863"/>
    <w:rsid w:val="00D34DCB"/>
    <w:rsid w:val="00D35235"/>
    <w:rsid w:val="00D3525E"/>
    <w:rsid w:val="00D35576"/>
    <w:rsid w:val="00D36187"/>
    <w:rsid w:val="00D3627C"/>
    <w:rsid w:val="00D366F7"/>
    <w:rsid w:val="00D3671A"/>
    <w:rsid w:val="00D36735"/>
    <w:rsid w:val="00D36F70"/>
    <w:rsid w:val="00D37305"/>
    <w:rsid w:val="00D37350"/>
    <w:rsid w:val="00D37644"/>
    <w:rsid w:val="00D37A1A"/>
    <w:rsid w:val="00D37C7D"/>
    <w:rsid w:val="00D401A6"/>
    <w:rsid w:val="00D41CA0"/>
    <w:rsid w:val="00D41E4C"/>
    <w:rsid w:val="00D42850"/>
    <w:rsid w:val="00D428DB"/>
    <w:rsid w:val="00D42956"/>
    <w:rsid w:val="00D42CA1"/>
    <w:rsid w:val="00D42ED6"/>
    <w:rsid w:val="00D42F17"/>
    <w:rsid w:val="00D433B7"/>
    <w:rsid w:val="00D43B46"/>
    <w:rsid w:val="00D43B57"/>
    <w:rsid w:val="00D43CFC"/>
    <w:rsid w:val="00D43D61"/>
    <w:rsid w:val="00D4442B"/>
    <w:rsid w:val="00D445BD"/>
    <w:rsid w:val="00D44929"/>
    <w:rsid w:val="00D44D6F"/>
    <w:rsid w:val="00D454B6"/>
    <w:rsid w:val="00D45B45"/>
    <w:rsid w:val="00D46A9A"/>
    <w:rsid w:val="00D47718"/>
    <w:rsid w:val="00D47765"/>
    <w:rsid w:val="00D502C8"/>
    <w:rsid w:val="00D50319"/>
    <w:rsid w:val="00D50669"/>
    <w:rsid w:val="00D508F0"/>
    <w:rsid w:val="00D50AD3"/>
    <w:rsid w:val="00D50CF7"/>
    <w:rsid w:val="00D50E58"/>
    <w:rsid w:val="00D50F86"/>
    <w:rsid w:val="00D513B6"/>
    <w:rsid w:val="00D515F7"/>
    <w:rsid w:val="00D51ACE"/>
    <w:rsid w:val="00D51C5B"/>
    <w:rsid w:val="00D52230"/>
    <w:rsid w:val="00D52EEA"/>
    <w:rsid w:val="00D53100"/>
    <w:rsid w:val="00D53209"/>
    <w:rsid w:val="00D5356E"/>
    <w:rsid w:val="00D5396F"/>
    <w:rsid w:val="00D53F5E"/>
    <w:rsid w:val="00D53F99"/>
    <w:rsid w:val="00D53FF7"/>
    <w:rsid w:val="00D54110"/>
    <w:rsid w:val="00D5464F"/>
    <w:rsid w:val="00D54BCC"/>
    <w:rsid w:val="00D55AE8"/>
    <w:rsid w:val="00D55BF1"/>
    <w:rsid w:val="00D56097"/>
    <w:rsid w:val="00D56203"/>
    <w:rsid w:val="00D5628A"/>
    <w:rsid w:val="00D5633E"/>
    <w:rsid w:val="00D5640D"/>
    <w:rsid w:val="00D56569"/>
    <w:rsid w:val="00D57D44"/>
    <w:rsid w:val="00D6096B"/>
    <w:rsid w:val="00D60C84"/>
    <w:rsid w:val="00D610E7"/>
    <w:rsid w:val="00D614C9"/>
    <w:rsid w:val="00D61CFC"/>
    <w:rsid w:val="00D61D69"/>
    <w:rsid w:val="00D61DD4"/>
    <w:rsid w:val="00D62013"/>
    <w:rsid w:val="00D629F6"/>
    <w:rsid w:val="00D62A6D"/>
    <w:rsid w:val="00D62FE8"/>
    <w:rsid w:val="00D63AA6"/>
    <w:rsid w:val="00D64290"/>
    <w:rsid w:val="00D642EB"/>
    <w:rsid w:val="00D65FAF"/>
    <w:rsid w:val="00D66C42"/>
    <w:rsid w:val="00D67266"/>
    <w:rsid w:val="00D672F0"/>
    <w:rsid w:val="00D70513"/>
    <w:rsid w:val="00D70794"/>
    <w:rsid w:val="00D70C9B"/>
    <w:rsid w:val="00D711C1"/>
    <w:rsid w:val="00D71677"/>
    <w:rsid w:val="00D717E7"/>
    <w:rsid w:val="00D719A7"/>
    <w:rsid w:val="00D72716"/>
    <w:rsid w:val="00D72724"/>
    <w:rsid w:val="00D728E9"/>
    <w:rsid w:val="00D729F5"/>
    <w:rsid w:val="00D72BB8"/>
    <w:rsid w:val="00D7304D"/>
    <w:rsid w:val="00D73243"/>
    <w:rsid w:val="00D7345D"/>
    <w:rsid w:val="00D73B42"/>
    <w:rsid w:val="00D73CE8"/>
    <w:rsid w:val="00D7434D"/>
    <w:rsid w:val="00D743C1"/>
    <w:rsid w:val="00D744D8"/>
    <w:rsid w:val="00D74707"/>
    <w:rsid w:val="00D74A97"/>
    <w:rsid w:val="00D74D74"/>
    <w:rsid w:val="00D751E2"/>
    <w:rsid w:val="00D75AE7"/>
    <w:rsid w:val="00D76547"/>
    <w:rsid w:val="00D76896"/>
    <w:rsid w:val="00D76A3C"/>
    <w:rsid w:val="00D77EEC"/>
    <w:rsid w:val="00D80725"/>
    <w:rsid w:val="00D80B1B"/>
    <w:rsid w:val="00D8109E"/>
    <w:rsid w:val="00D81189"/>
    <w:rsid w:val="00D81631"/>
    <w:rsid w:val="00D81675"/>
    <w:rsid w:val="00D81E3B"/>
    <w:rsid w:val="00D822A1"/>
    <w:rsid w:val="00D827A0"/>
    <w:rsid w:val="00D831B8"/>
    <w:rsid w:val="00D8377D"/>
    <w:rsid w:val="00D83983"/>
    <w:rsid w:val="00D83EB6"/>
    <w:rsid w:val="00D840B9"/>
    <w:rsid w:val="00D842EE"/>
    <w:rsid w:val="00D84399"/>
    <w:rsid w:val="00D84728"/>
    <w:rsid w:val="00D84942"/>
    <w:rsid w:val="00D84DA9"/>
    <w:rsid w:val="00D857CD"/>
    <w:rsid w:val="00D86444"/>
    <w:rsid w:val="00D866F2"/>
    <w:rsid w:val="00D87708"/>
    <w:rsid w:val="00D87E53"/>
    <w:rsid w:val="00D902B2"/>
    <w:rsid w:val="00D91057"/>
    <w:rsid w:val="00D91DB0"/>
    <w:rsid w:val="00D92346"/>
    <w:rsid w:val="00D928AC"/>
    <w:rsid w:val="00D937AC"/>
    <w:rsid w:val="00D9394D"/>
    <w:rsid w:val="00D93B41"/>
    <w:rsid w:val="00D93B6D"/>
    <w:rsid w:val="00D94603"/>
    <w:rsid w:val="00D94A4C"/>
    <w:rsid w:val="00D94F72"/>
    <w:rsid w:val="00D95179"/>
    <w:rsid w:val="00D955E6"/>
    <w:rsid w:val="00D957CE"/>
    <w:rsid w:val="00D96037"/>
    <w:rsid w:val="00D973B2"/>
    <w:rsid w:val="00D97753"/>
    <w:rsid w:val="00D97DC9"/>
    <w:rsid w:val="00DA01EB"/>
    <w:rsid w:val="00DA0682"/>
    <w:rsid w:val="00DA0755"/>
    <w:rsid w:val="00DA07BB"/>
    <w:rsid w:val="00DA0D9B"/>
    <w:rsid w:val="00DA12A9"/>
    <w:rsid w:val="00DA1E41"/>
    <w:rsid w:val="00DA2026"/>
    <w:rsid w:val="00DA2238"/>
    <w:rsid w:val="00DA248C"/>
    <w:rsid w:val="00DA2815"/>
    <w:rsid w:val="00DA2938"/>
    <w:rsid w:val="00DA29E9"/>
    <w:rsid w:val="00DA2CD2"/>
    <w:rsid w:val="00DA2F40"/>
    <w:rsid w:val="00DA3074"/>
    <w:rsid w:val="00DA3521"/>
    <w:rsid w:val="00DA3708"/>
    <w:rsid w:val="00DA39CD"/>
    <w:rsid w:val="00DA3DE2"/>
    <w:rsid w:val="00DA415A"/>
    <w:rsid w:val="00DA432B"/>
    <w:rsid w:val="00DA4343"/>
    <w:rsid w:val="00DA4449"/>
    <w:rsid w:val="00DA4A34"/>
    <w:rsid w:val="00DA560D"/>
    <w:rsid w:val="00DA6C17"/>
    <w:rsid w:val="00DA6FC8"/>
    <w:rsid w:val="00DA7254"/>
    <w:rsid w:val="00DA77B8"/>
    <w:rsid w:val="00DA78BC"/>
    <w:rsid w:val="00DA7B84"/>
    <w:rsid w:val="00DA7EFE"/>
    <w:rsid w:val="00DB04AF"/>
    <w:rsid w:val="00DB061C"/>
    <w:rsid w:val="00DB0713"/>
    <w:rsid w:val="00DB08B2"/>
    <w:rsid w:val="00DB08ED"/>
    <w:rsid w:val="00DB0E9E"/>
    <w:rsid w:val="00DB134B"/>
    <w:rsid w:val="00DB1B65"/>
    <w:rsid w:val="00DB2404"/>
    <w:rsid w:val="00DB3835"/>
    <w:rsid w:val="00DB3DAB"/>
    <w:rsid w:val="00DB4743"/>
    <w:rsid w:val="00DB508F"/>
    <w:rsid w:val="00DB52CB"/>
    <w:rsid w:val="00DB55CB"/>
    <w:rsid w:val="00DB5A3F"/>
    <w:rsid w:val="00DB5B6F"/>
    <w:rsid w:val="00DB5E4A"/>
    <w:rsid w:val="00DB5E55"/>
    <w:rsid w:val="00DB61ED"/>
    <w:rsid w:val="00DB63A0"/>
    <w:rsid w:val="00DB6869"/>
    <w:rsid w:val="00DB6EB4"/>
    <w:rsid w:val="00DB7176"/>
    <w:rsid w:val="00DB726C"/>
    <w:rsid w:val="00DB76E8"/>
    <w:rsid w:val="00DB7C38"/>
    <w:rsid w:val="00DC0108"/>
    <w:rsid w:val="00DC02A3"/>
    <w:rsid w:val="00DC0971"/>
    <w:rsid w:val="00DC09F9"/>
    <w:rsid w:val="00DC0AB3"/>
    <w:rsid w:val="00DC11E2"/>
    <w:rsid w:val="00DC15C4"/>
    <w:rsid w:val="00DC191F"/>
    <w:rsid w:val="00DC1C8B"/>
    <w:rsid w:val="00DC1E78"/>
    <w:rsid w:val="00DC23A5"/>
    <w:rsid w:val="00DC2747"/>
    <w:rsid w:val="00DC279B"/>
    <w:rsid w:val="00DC2C15"/>
    <w:rsid w:val="00DC2FE0"/>
    <w:rsid w:val="00DC3926"/>
    <w:rsid w:val="00DC3DE2"/>
    <w:rsid w:val="00DC4255"/>
    <w:rsid w:val="00DC4E10"/>
    <w:rsid w:val="00DC54D0"/>
    <w:rsid w:val="00DC5A9A"/>
    <w:rsid w:val="00DC65E2"/>
    <w:rsid w:val="00DC6D49"/>
    <w:rsid w:val="00DC6D7A"/>
    <w:rsid w:val="00DC74ED"/>
    <w:rsid w:val="00DC75B5"/>
    <w:rsid w:val="00DD0470"/>
    <w:rsid w:val="00DD0498"/>
    <w:rsid w:val="00DD068F"/>
    <w:rsid w:val="00DD077D"/>
    <w:rsid w:val="00DD0A6B"/>
    <w:rsid w:val="00DD1613"/>
    <w:rsid w:val="00DD1F69"/>
    <w:rsid w:val="00DD2C48"/>
    <w:rsid w:val="00DD2EC9"/>
    <w:rsid w:val="00DD2F96"/>
    <w:rsid w:val="00DD4105"/>
    <w:rsid w:val="00DD419D"/>
    <w:rsid w:val="00DD4C6B"/>
    <w:rsid w:val="00DD4DCD"/>
    <w:rsid w:val="00DD4DF7"/>
    <w:rsid w:val="00DD5A88"/>
    <w:rsid w:val="00DD67B6"/>
    <w:rsid w:val="00DD6901"/>
    <w:rsid w:val="00DD7AA2"/>
    <w:rsid w:val="00DE01C4"/>
    <w:rsid w:val="00DE0EA2"/>
    <w:rsid w:val="00DE11BD"/>
    <w:rsid w:val="00DE1535"/>
    <w:rsid w:val="00DE26C2"/>
    <w:rsid w:val="00DE27E8"/>
    <w:rsid w:val="00DE28B1"/>
    <w:rsid w:val="00DE2977"/>
    <w:rsid w:val="00DE2F73"/>
    <w:rsid w:val="00DE380F"/>
    <w:rsid w:val="00DE3A68"/>
    <w:rsid w:val="00DE40EA"/>
    <w:rsid w:val="00DE49A7"/>
    <w:rsid w:val="00DE5140"/>
    <w:rsid w:val="00DE5231"/>
    <w:rsid w:val="00DE5773"/>
    <w:rsid w:val="00DE5A39"/>
    <w:rsid w:val="00DE5D4C"/>
    <w:rsid w:val="00DE618B"/>
    <w:rsid w:val="00DE61B8"/>
    <w:rsid w:val="00DE62BC"/>
    <w:rsid w:val="00DE64E8"/>
    <w:rsid w:val="00DE6541"/>
    <w:rsid w:val="00DE732D"/>
    <w:rsid w:val="00DE749A"/>
    <w:rsid w:val="00DE7876"/>
    <w:rsid w:val="00DF0202"/>
    <w:rsid w:val="00DF067D"/>
    <w:rsid w:val="00DF09EC"/>
    <w:rsid w:val="00DF0BA3"/>
    <w:rsid w:val="00DF10B9"/>
    <w:rsid w:val="00DF132A"/>
    <w:rsid w:val="00DF13D0"/>
    <w:rsid w:val="00DF16A0"/>
    <w:rsid w:val="00DF18F2"/>
    <w:rsid w:val="00DF3503"/>
    <w:rsid w:val="00DF3AD0"/>
    <w:rsid w:val="00DF3E8C"/>
    <w:rsid w:val="00DF4210"/>
    <w:rsid w:val="00DF4B51"/>
    <w:rsid w:val="00DF4C92"/>
    <w:rsid w:val="00DF4D55"/>
    <w:rsid w:val="00DF542F"/>
    <w:rsid w:val="00DF57AE"/>
    <w:rsid w:val="00DF5858"/>
    <w:rsid w:val="00DF6308"/>
    <w:rsid w:val="00DF6312"/>
    <w:rsid w:val="00DF6376"/>
    <w:rsid w:val="00DF6CD0"/>
    <w:rsid w:val="00DF6EAC"/>
    <w:rsid w:val="00DF703E"/>
    <w:rsid w:val="00DF7379"/>
    <w:rsid w:val="00DF74AC"/>
    <w:rsid w:val="00DF771C"/>
    <w:rsid w:val="00DF7BF8"/>
    <w:rsid w:val="00E0045D"/>
    <w:rsid w:val="00E00650"/>
    <w:rsid w:val="00E006AA"/>
    <w:rsid w:val="00E00BBA"/>
    <w:rsid w:val="00E00F1C"/>
    <w:rsid w:val="00E0152C"/>
    <w:rsid w:val="00E01645"/>
    <w:rsid w:val="00E0191F"/>
    <w:rsid w:val="00E0196B"/>
    <w:rsid w:val="00E01B80"/>
    <w:rsid w:val="00E024D1"/>
    <w:rsid w:val="00E02C3A"/>
    <w:rsid w:val="00E02C8B"/>
    <w:rsid w:val="00E030BC"/>
    <w:rsid w:val="00E030EB"/>
    <w:rsid w:val="00E0317C"/>
    <w:rsid w:val="00E03671"/>
    <w:rsid w:val="00E03B05"/>
    <w:rsid w:val="00E042A2"/>
    <w:rsid w:val="00E04A4D"/>
    <w:rsid w:val="00E04F76"/>
    <w:rsid w:val="00E0566A"/>
    <w:rsid w:val="00E05C3A"/>
    <w:rsid w:val="00E06394"/>
    <w:rsid w:val="00E066FA"/>
    <w:rsid w:val="00E06D81"/>
    <w:rsid w:val="00E06EE2"/>
    <w:rsid w:val="00E06FFE"/>
    <w:rsid w:val="00E07246"/>
    <w:rsid w:val="00E07653"/>
    <w:rsid w:val="00E07DE0"/>
    <w:rsid w:val="00E1003F"/>
    <w:rsid w:val="00E104C8"/>
    <w:rsid w:val="00E10584"/>
    <w:rsid w:val="00E12310"/>
    <w:rsid w:val="00E12772"/>
    <w:rsid w:val="00E1279F"/>
    <w:rsid w:val="00E12D4E"/>
    <w:rsid w:val="00E12F34"/>
    <w:rsid w:val="00E13054"/>
    <w:rsid w:val="00E13912"/>
    <w:rsid w:val="00E13BDE"/>
    <w:rsid w:val="00E13D76"/>
    <w:rsid w:val="00E13FBF"/>
    <w:rsid w:val="00E1449B"/>
    <w:rsid w:val="00E14563"/>
    <w:rsid w:val="00E14DF0"/>
    <w:rsid w:val="00E15398"/>
    <w:rsid w:val="00E15405"/>
    <w:rsid w:val="00E1574C"/>
    <w:rsid w:val="00E15A5F"/>
    <w:rsid w:val="00E165F9"/>
    <w:rsid w:val="00E16888"/>
    <w:rsid w:val="00E16D0F"/>
    <w:rsid w:val="00E171FB"/>
    <w:rsid w:val="00E17831"/>
    <w:rsid w:val="00E17E4B"/>
    <w:rsid w:val="00E20374"/>
    <w:rsid w:val="00E2089A"/>
    <w:rsid w:val="00E21027"/>
    <w:rsid w:val="00E2105B"/>
    <w:rsid w:val="00E21271"/>
    <w:rsid w:val="00E21685"/>
    <w:rsid w:val="00E21900"/>
    <w:rsid w:val="00E21B7C"/>
    <w:rsid w:val="00E21CDC"/>
    <w:rsid w:val="00E22704"/>
    <w:rsid w:val="00E22AA4"/>
    <w:rsid w:val="00E2340A"/>
    <w:rsid w:val="00E23593"/>
    <w:rsid w:val="00E23A2A"/>
    <w:rsid w:val="00E24004"/>
    <w:rsid w:val="00E2418A"/>
    <w:rsid w:val="00E24219"/>
    <w:rsid w:val="00E25569"/>
    <w:rsid w:val="00E258A3"/>
    <w:rsid w:val="00E25DED"/>
    <w:rsid w:val="00E2656C"/>
    <w:rsid w:val="00E26635"/>
    <w:rsid w:val="00E26CA1"/>
    <w:rsid w:val="00E26D4D"/>
    <w:rsid w:val="00E26EFD"/>
    <w:rsid w:val="00E2776A"/>
    <w:rsid w:val="00E2786D"/>
    <w:rsid w:val="00E27CFC"/>
    <w:rsid w:val="00E27D49"/>
    <w:rsid w:val="00E30673"/>
    <w:rsid w:val="00E306E7"/>
    <w:rsid w:val="00E3076C"/>
    <w:rsid w:val="00E3090B"/>
    <w:rsid w:val="00E30B7C"/>
    <w:rsid w:val="00E30C29"/>
    <w:rsid w:val="00E30EEE"/>
    <w:rsid w:val="00E310CB"/>
    <w:rsid w:val="00E311EF"/>
    <w:rsid w:val="00E31B46"/>
    <w:rsid w:val="00E31C3B"/>
    <w:rsid w:val="00E32073"/>
    <w:rsid w:val="00E3210A"/>
    <w:rsid w:val="00E32992"/>
    <w:rsid w:val="00E32AFB"/>
    <w:rsid w:val="00E332E4"/>
    <w:rsid w:val="00E3385A"/>
    <w:rsid w:val="00E33924"/>
    <w:rsid w:val="00E33E5A"/>
    <w:rsid w:val="00E34DD8"/>
    <w:rsid w:val="00E350BD"/>
    <w:rsid w:val="00E36C51"/>
    <w:rsid w:val="00E36DA9"/>
    <w:rsid w:val="00E36E1C"/>
    <w:rsid w:val="00E37B23"/>
    <w:rsid w:val="00E37BE7"/>
    <w:rsid w:val="00E40C5E"/>
    <w:rsid w:val="00E40EDD"/>
    <w:rsid w:val="00E41781"/>
    <w:rsid w:val="00E41AD5"/>
    <w:rsid w:val="00E41DE7"/>
    <w:rsid w:val="00E42A0D"/>
    <w:rsid w:val="00E43010"/>
    <w:rsid w:val="00E430F5"/>
    <w:rsid w:val="00E43411"/>
    <w:rsid w:val="00E4344E"/>
    <w:rsid w:val="00E43743"/>
    <w:rsid w:val="00E437D0"/>
    <w:rsid w:val="00E43B26"/>
    <w:rsid w:val="00E4403D"/>
    <w:rsid w:val="00E4429E"/>
    <w:rsid w:val="00E444D4"/>
    <w:rsid w:val="00E4577E"/>
    <w:rsid w:val="00E4578A"/>
    <w:rsid w:val="00E4643F"/>
    <w:rsid w:val="00E46523"/>
    <w:rsid w:val="00E476DA"/>
    <w:rsid w:val="00E47ABE"/>
    <w:rsid w:val="00E47FB4"/>
    <w:rsid w:val="00E50AD7"/>
    <w:rsid w:val="00E50EF1"/>
    <w:rsid w:val="00E51006"/>
    <w:rsid w:val="00E51845"/>
    <w:rsid w:val="00E51A1D"/>
    <w:rsid w:val="00E51F53"/>
    <w:rsid w:val="00E5336E"/>
    <w:rsid w:val="00E53494"/>
    <w:rsid w:val="00E541B9"/>
    <w:rsid w:val="00E545DD"/>
    <w:rsid w:val="00E546BF"/>
    <w:rsid w:val="00E547D8"/>
    <w:rsid w:val="00E54AC8"/>
    <w:rsid w:val="00E54B7D"/>
    <w:rsid w:val="00E54E35"/>
    <w:rsid w:val="00E54F7E"/>
    <w:rsid w:val="00E55459"/>
    <w:rsid w:val="00E55464"/>
    <w:rsid w:val="00E55864"/>
    <w:rsid w:val="00E55933"/>
    <w:rsid w:val="00E561DD"/>
    <w:rsid w:val="00E562A4"/>
    <w:rsid w:val="00E562EF"/>
    <w:rsid w:val="00E564F0"/>
    <w:rsid w:val="00E56DB8"/>
    <w:rsid w:val="00E574FB"/>
    <w:rsid w:val="00E57836"/>
    <w:rsid w:val="00E578BA"/>
    <w:rsid w:val="00E605CC"/>
    <w:rsid w:val="00E60C73"/>
    <w:rsid w:val="00E61CED"/>
    <w:rsid w:val="00E61D6D"/>
    <w:rsid w:val="00E6235D"/>
    <w:rsid w:val="00E63077"/>
    <w:rsid w:val="00E634D4"/>
    <w:rsid w:val="00E63854"/>
    <w:rsid w:val="00E63CD7"/>
    <w:rsid w:val="00E63D18"/>
    <w:rsid w:val="00E643A1"/>
    <w:rsid w:val="00E64D87"/>
    <w:rsid w:val="00E64F0B"/>
    <w:rsid w:val="00E64FCB"/>
    <w:rsid w:val="00E653FB"/>
    <w:rsid w:val="00E66D2E"/>
    <w:rsid w:val="00E67782"/>
    <w:rsid w:val="00E679C9"/>
    <w:rsid w:val="00E70484"/>
    <w:rsid w:val="00E7074C"/>
    <w:rsid w:val="00E70991"/>
    <w:rsid w:val="00E70E22"/>
    <w:rsid w:val="00E70F6C"/>
    <w:rsid w:val="00E71802"/>
    <w:rsid w:val="00E720DA"/>
    <w:rsid w:val="00E72591"/>
    <w:rsid w:val="00E72BAA"/>
    <w:rsid w:val="00E72D15"/>
    <w:rsid w:val="00E72F49"/>
    <w:rsid w:val="00E736F8"/>
    <w:rsid w:val="00E73721"/>
    <w:rsid w:val="00E7374D"/>
    <w:rsid w:val="00E73BDA"/>
    <w:rsid w:val="00E73C9D"/>
    <w:rsid w:val="00E740F4"/>
    <w:rsid w:val="00E7460F"/>
    <w:rsid w:val="00E74E27"/>
    <w:rsid w:val="00E75144"/>
    <w:rsid w:val="00E75246"/>
    <w:rsid w:val="00E75455"/>
    <w:rsid w:val="00E7625D"/>
    <w:rsid w:val="00E768DA"/>
    <w:rsid w:val="00E76EAC"/>
    <w:rsid w:val="00E771EE"/>
    <w:rsid w:val="00E775ED"/>
    <w:rsid w:val="00E7780F"/>
    <w:rsid w:val="00E8008E"/>
    <w:rsid w:val="00E8088C"/>
    <w:rsid w:val="00E80F7B"/>
    <w:rsid w:val="00E8143C"/>
    <w:rsid w:val="00E814AE"/>
    <w:rsid w:val="00E8165F"/>
    <w:rsid w:val="00E8180C"/>
    <w:rsid w:val="00E81B77"/>
    <w:rsid w:val="00E82069"/>
    <w:rsid w:val="00E8297E"/>
    <w:rsid w:val="00E82ABD"/>
    <w:rsid w:val="00E82C50"/>
    <w:rsid w:val="00E830C1"/>
    <w:rsid w:val="00E83925"/>
    <w:rsid w:val="00E83A04"/>
    <w:rsid w:val="00E83A72"/>
    <w:rsid w:val="00E84621"/>
    <w:rsid w:val="00E84BFD"/>
    <w:rsid w:val="00E85014"/>
    <w:rsid w:val="00E852BF"/>
    <w:rsid w:val="00E8533B"/>
    <w:rsid w:val="00E85B3C"/>
    <w:rsid w:val="00E85B88"/>
    <w:rsid w:val="00E85E2B"/>
    <w:rsid w:val="00E8609C"/>
    <w:rsid w:val="00E86412"/>
    <w:rsid w:val="00E87434"/>
    <w:rsid w:val="00E879EA"/>
    <w:rsid w:val="00E87BA3"/>
    <w:rsid w:val="00E90066"/>
    <w:rsid w:val="00E90240"/>
    <w:rsid w:val="00E90604"/>
    <w:rsid w:val="00E906BA"/>
    <w:rsid w:val="00E909C6"/>
    <w:rsid w:val="00E90B9E"/>
    <w:rsid w:val="00E9112B"/>
    <w:rsid w:val="00E914C4"/>
    <w:rsid w:val="00E91584"/>
    <w:rsid w:val="00E91AC8"/>
    <w:rsid w:val="00E91D69"/>
    <w:rsid w:val="00E92145"/>
    <w:rsid w:val="00E928D5"/>
    <w:rsid w:val="00E92E70"/>
    <w:rsid w:val="00E93101"/>
    <w:rsid w:val="00E93507"/>
    <w:rsid w:val="00E93603"/>
    <w:rsid w:val="00E938A4"/>
    <w:rsid w:val="00E9393D"/>
    <w:rsid w:val="00E939B5"/>
    <w:rsid w:val="00E93A7F"/>
    <w:rsid w:val="00E93BB5"/>
    <w:rsid w:val="00E94583"/>
    <w:rsid w:val="00E959D1"/>
    <w:rsid w:val="00E959EF"/>
    <w:rsid w:val="00E95E31"/>
    <w:rsid w:val="00E95EC6"/>
    <w:rsid w:val="00E95FE1"/>
    <w:rsid w:val="00E96273"/>
    <w:rsid w:val="00E965F7"/>
    <w:rsid w:val="00E96CBD"/>
    <w:rsid w:val="00E972DA"/>
    <w:rsid w:val="00E97375"/>
    <w:rsid w:val="00EA0432"/>
    <w:rsid w:val="00EA1074"/>
    <w:rsid w:val="00EA1668"/>
    <w:rsid w:val="00EA1B00"/>
    <w:rsid w:val="00EA1CD3"/>
    <w:rsid w:val="00EA206C"/>
    <w:rsid w:val="00EA23CE"/>
    <w:rsid w:val="00EA2824"/>
    <w:rsid w:val="00EA299C"/>
    <w:rsid w:val="00EA3203"/>
    <w:rsid w:val="00EA3432"/>
    <w:rsid w:val="00EA36DD"/>
    <w:rsid w:val="00EA3723"/>
    <w:rsid w:val="00EA3B02"/>
    <w:rsid w:val="00EA40D6"/>
    <w:rsid w:val="00EA43E5"/>
    <w:rsid w:val="00EA5999"/>
    <w:rsid w:val="00EA609A"/>
    <w:rsid w:val="00EA648C"/>
    <w:rsid w:val="00EA66A1"/>
    <w:rsid w:val="00EA6C1A"/>
    <w:rsid w:val="00EA75D1"/>
    <w:rsid w:val="00EA77E2"/>
    <w:rsid w:val="00EA7847"/>
    <w:rsid w:val="00EA798F"/>
    <w:rsid w:val="00EA7C7E"/>
    <w:rsid w:val="00EB0F0D"/>
    <w:rsid w:val="00EB12AE"/>
    <w:rsid w:val="00EB22F3"/>
    <w:rsid w:val="00EB2317"/>
    <w:rsid w:val="00EB2491"/>
    <w:rsid w:val="00EB2980"/>
    <w:rsid w:val="00EB2BEE"/>
    <w:rsid w:val="00EB2ED4"/>
    <w:rsid w:val="00EB2FDF"/>
    <w:rsid w:val="00EB3258"/>
    <w:rsid w:val="00EB3B19"/>
    <w:rsid w:val="00EB3FA4"/>
    <w:rsid w:val="00EB4120"/>
    <w:rsid w:val="00EB4281"/>
    <w:rsid w:val="00EB49E4"/>
    <w:rsid w:val="00EB4B02"/>
    <w:rsid w:val="00EB553F"/>
    <w:rsid w:val="00EB5AA4"/>
    <w:rsid w:val="00EB5C0E"/>
    <w:rsid w:val="00EB609C"/>
    <w:rsid w:val="00EB6249"/>
    <w:rsid w:val="00EB6514"/>
    <w:rsid w:val="00EB6AE2"/>
    <w:rsid w:val="00EB6B82"/>
    <w:rsid w:val="00EB74A3"/>
    <w:rsid w:val="00EB7B6D"/>
    <w:rsid w:val="00EC021D"/>
    <w:rsid w:val="00EC0243"/>
    <w:rsid w:val="00EC072C"/>
    <w:rsid w:val="00EC07B0"/>
    <w:rsid w:val="00EC121B"/>
    <w:rsid w:val="00EC126D"/>
    <w:rsid w:val="00EC19E5"/>
    <w:rsid w:val="00EC1BF8"/>
    <w:rsid w:val="00EC1D8A"/>
    <w:rsid w:val="00EC2425"/>
    <w:rsid w:val="00EC2AC8"/>
    <w:rsid w:val="00EC2B84"/>
    <w:rsid w:val="00EC30F9"/>
    <w:rsid w:val="00EC37BE"/>
    <w:rsid w:val="00EC383E"/>
    <w:rsid w:val="00EC4210"/>
    <w:rsid w:val="00EC42F4"/>
    <w:rsid w:val="00EC4356"/>
    <w:rsid w:val="00EC4423"/>
    <w:rsid w:val="00EC455A"/>
    <w:rsid w:val="00EC4EDC"/>
    <w:rsid w:val="00EC57F9"/>
    <w:rsid w:val="00EC5B2E"/>
    <w:rsid w:val="00EC5EAF"/>
    <w:rsid w:val="00EC685E"/>
    <w:rsid w:val="00EC6A4F"/>
    <w:rsid w:val="00EC6AB8"/>
    <w:rsid w:val="00EC6BF7"/>
    <w:rsid w:val="00EC6FA7"/>
    <w:rsid w:val="00EC6FF9"/>
    <w:rsid w:val="00EC7656"/>
    <w:rsid w:val="00EC7AE9"/>
    <w:rsid w:val="00EC7CFD"/>
    <w:rsid w:val="00EC7E91"/>
    <w:rsid w:val="00ED0CF9"/>
    <w:rsid w:val="00ED0DEC"/>
    <w:rsid w:val="00ED1189"/>
    <w:rsid w:val="00ED156B"/>
    <w:rsid w:val="00ED1B34"/>
    <w:rsid w:val="00ED24A8"/>
    <w:rsid w:val="00ED29ED"/>
    <w:rsid w:val="00ED2B4E"/>
    <w:rsid w:val="00ED35E9"/>
    <w:rsid w:val="00ED3C80"/>
    <w:rsid w:val="00ED3E03"/>
    <w:rsid w:val="00ED4613"/>
    <w:rsid w:val="00ED488E"/>
    <w:rsid w:val="00ED4F78"/>
    <w:rsid w:val="00ED52BA"/>
    <w:rsid w:val="00ED542F"/>
    <w:rsid w:val="00ED5D20"/>
    <w:rsid w:val="00ED612F"/>
    <w:rsid w:val="00ED630E"/>
    <w:rsid w:val="00ED744C"/>
    <w:rsid w:val="00ED7BBC"/>
    <w:rsid w:val="00EE00D0"/>
    <w:rsid w:val="00EE0236"/>
    <w:rsid w:val="00EE051F"/>
    <w:rsid w:val="00EE0914"/>
    <w:rsid w:val="00EE10DF"/>
    <w:rsid w:val="00EE11BB"/>
    <w:rsid w:val="00EE11CF"/>
    <w:rsid w:val="00EE1508"/>
    <w:rsid w:val="00EE1D64"/>
    <w:rsid w:val="00EE27C6"/>
    <w:rsid w:val="00EE2C17"/>
    <w:rsid w:val="00EE2E09"/>
    <w:rsid w:val="00EE2F49"/>
    <w:rsid w:val="00EE3098"/>
    <w:rsid w:val="00EE30B2"/>
    <w:rsid w:val="00EE30E0"/>
    <w:rsid w:val="00EE30EF"/>
    <w:rsid w:val="00EE333C"/>
    <w:rsid w:val="00EE35A2"/>
    <w:rsid w:val="00EE45CC"/>
    <w:rsid w:val="00EE46BE"/>
    <w:rsid w:val="00EE46DA"/>
    <w:rsid w:val="00EE46F2"/>
    <w:rsid w:val="00EE4B51"/>
    <w:rsid w:val="00EE4CE9"/>
    <w:rsid w:val="00EE5044"/>
    <w:rsid w:val="00EE515A"/>
    <w:rsid w:val="00EE7708"/>
    <w:rsid w:val="00EE7979"/>
    <w:rsid w:val="00EE7C6F"/>
    <w:rsid w:val="00EF05E6"/>
    <w:rsid w:val="00EF09BC"/>
    <w:rsid w:val="00EF0FC3"/>
    <w:rsid w:val="00EF19CD"/>
    <w:rsid w:val="00EF23A8"/>
    <w:rsid w:val="00EF2DC8"/>
    <w:rsid w:val="00EF3259"/>
    <w:rsid w:val="00EF381E"/>
    <w:rsid w:val="00EF396B"/>
    <w:rsid w:val="00EF403F"/>
    <w:rsid w:val="00EF4C6E"/>
    <w:rsid w:val="00EF5539"/>
    <w:rsid w:val="00EF6106"/>
    <w:rsid w:val="00EF619D"/>
    <w:rsid w:val="00EF623C"/>
    <w:rsid w:val="00EF6400"/>
    <w:rsid w:val="00EF6A50"/>
    <w:rsid w:val="00EF6CDA"/>
    <w:rsid w:val="00EF7172"/>
    <w:rsid w:val="00EF74B2"/>
    <w:rsid w:val="00EF790A"/>
    <w:rsid w:val="00EF7D8F"/>
    <w:rsid w:val="00EF7F78"/>
    <w:rsid w:val="00F00731"/>
    <w:rsid w:val="00F00D90"/>
    <w:rsid w:val="00F01B2D"/>
    <w:rsid w:val="00F01B3F"/>
    <w:rsid w:val="00F01BE2"/>
    <w:rsid w:val="00F02D02"/>
    <w:rsid w:val="00F033CD"/>
    <w:rsid w:val="00F034CF"/>
    <w:rsid w:val="00F03620"/>
    <w:rsid w:val="00F03715"/>
    <w:rsid w:val="00F03AF8"/>
    <w:rsid w:val="00F03BC9"/>
    <w:rsid w:val="00F040BF"/>
    <w:rsid w:val="00F04F6B"/>
    <w:rsid w:val="00F05E09"/>
    <w:rsid w:val="00F05E25"/>
    <w:rsid w:val="00F068AE"/>
    <w:rsid w:val="00F06CB3"/>
    <w:rsid w:val="00F06E24"/>
    <w:rsid w:val="00F06E2E"/>
    <w:rsid w:val="00F06E7C"/>
    <w:rsid w:val="00F077C6"/>
    <w:rsid w:val="00F078E4"/>
    <w:rsid w:val="00F07EE9"/>
    <w:rsid w:val="00F07F89"/>
    <w:rsid w:val="00F101BF"/>
    <w:rsid w:val="00F102CC"/>
    <w:rsid w:val="00F10AE1"/>
    <w:rsid w:val="00F11197"/>
    <w:rsid w:val="00F118A5"/>
    <w:rsid w:val="00F11902"/>
    <w:rsid w:val="00F12E46"/>
    <w:rsid w:val="00F132B8"/>
    <w:rsid w:val="00F13B82"/>
    <w:rsid w:val="00F14C9A"/>
    <w:rsid w:val="00F15028"/>
    <w:rsid w:val="00F15311"/>
    <w:rsid w:val="00F15AA0"/>
    <w:rsid w:val="00F164D5"/>
    <w:rsid w:val="00F16889"/>
    <w:rsid w:val="00F16896"/>
    <w:rsid w:val="00F16A95"/>
    <w:rsid w:val="00F16B23"/>
    <w:rsid w:val="00F16DE3"/>
    <w:rsid w:val="00F17BBA"/>
    <w:rsid w:val="00F17BD7"/>
    <w:rsid w:val="00F20591"/>
    <w:rsid w:val="00F20ABC"/>
    <w:rsid w:val="00F20EA0"/>
    <w:rsid w:val="00F21587"/>
    <w:rsid w:val="00F221BE"/>
    <w:rsid w:val="00F22251"/>
    <w:rsid w:val="00F224F3"/>
    <w:rsid w:val="00F22A85"/>
    <w:rsid w:val="00F22CE0"/>
    <w:rsid w:val="00F23074"/>
    <w:rsid w:val="00F232E4"/>
    <w:rsid w:val="00F23693"/>
    <w:rsid w:val="00F241AC"/>
    <w:rsid w:val="00F243B3"/>
    <w:rsid w:val="00F2481D"/>
    <w:rsid w:val="00F249F4"/>
    <w:rsid w:val="00F24AC8"/>
    <w:rsid w:val="00F25400"/>
    <w:rsid w:val="00F25D8C"/>
    <w:rsid w:val="00F263E5"/>
    <w:rsid w:val="00F26ECC"/>
    <w:rsid w:val="00F26F55"/>
    <w:rsid w:val="00F27723"/>
    <w:rsid w:val="00F277BC"/>
    <w:rsid w:val="00F278CD"/>
    <w:rsid w:val="00F30275"/>
    <w:rsid w:val="00F30902"/>
    <w:rsid w:val="00F30A67"/>
    <w:rsid w:val="00F30AF9"/>
    <w:rsid w:val="00F313A2"/>
    <w:rsid w:val="00F31887"/>
    <w:rsid w:val="00F31A97"/>
    <w:rsid w:val="00F31BCE"/>
    <w:rsid w:val="00F31CF2"/>
    <w:rsid w:val="00F3217A"/>
    <w:rsid w:val="00F32BF8"/>
    <w:rsid w:val="00F33266"/>
    <w:rsid w:val="00F33B1F"/>
    <w:rsid w:val="00F33C25"/>
    <w:rsid w:val="00F344C1"/>
    <w:rsid w:val="00F3472E"/>
    <w:rsid w:val="00F34ED1"/>
    <w:rsid w:val="00F35EE5"/>
    <w:rsid w:val="00F36351"/>
    <w:rsid w:val="00F36F2B"/>
    <w:rsid w:val="00F374FB"/>
    <w:rsid w:val="00F37A08"/>
    <w:rsid w:val="00F40151"/>
    <w:rsid w:val="00F4029A"/>
    <w:rsid w:val="00F40666"/>
    <w:rsid w:val="00F40725"/>
    <w:rsid w:val="00F40818"/>
    <w:rsid w:val="00F40938"/>
    <w:rsid w:val="00F409A7"/>
    <w:rsid w:val="00F40EC8"/>
    <w:rsid w:val="00F40ECA"/>
    <w:rsid w:val="00F413BF"/>
    <w:rsid w:val="00F413F7"/>
    <w:rsid w:val="00F41C5F"/>
    <w:rsid w:val="00F42F54"/>
    <w:rsid w:val="00F43367"/>
    <w:rsid w:val="00F43371"/>
    <w:rsid w:val="00F433AF"/>
    <w:rsid w:val="00F4368A"/>
    <w:rsid w:val="00F44351"/>
    <w:rsid w:val="00F4563C"/>
    <w:rsid w:val="00F458D6"/>
    <w:rsid w:val="00F45C8B"/>
    <w:rsid w:val="00F45D30"/>
    <w:rsid w:val="00F460BE"/>
    <w:rsid w:val="00F4686F"/>
    <w:rsid w:val="00F46D57"/>
    <w:rsid w:val="00F474F7"/>
    <w:rsid w:val="00F510E4"/>
    <w:rsid w:val="00F51325"/>
    <w:rsid w:val="00F51491"/>
    <w:rsid w:val="00F51FB3"/>
    <w:rsid w:val="00F52A11"/>
    <w:rsid w:val="00F52C67"/>
    <w:rsid w:val="00F52EEE"/>
    <w:rsid w:val="00F53908"/>
    <w:rsid w:val="00F54299"/>
    <w:rsid w:val="00F54B20"/>
    <w:rsid w:val="00F54BA3"/>
    <w:rsid w:val="00F554A8"/>
    <w:rsid w:val="00F55810"/>
    <w:rsid w:val="00F55BDD"/>
    <w:rsid w:val="00F55E1B"/>
    <w:rsid w:val="00F56255"/>
    <w:rsid w:val="00F56B79"/>
    <w:rsid w:val="00F56D58"/>
    <w:rsid w:val="00F56D64"/>
    <w:rsid w:val="00F56EE0"/>
    <w:rsid w:val="00F576A7"/>
    <w:rsid w:val="00F57884"/>
    <w:rsid w:val="00F579ED"/>
    <w:rsid w:val="00F57C6D"/>
    <w:rsid w:val="00F57E97"/>
    <w:rsid w:val="00F605CE"/>
    <w:rsid w:val="00F60639"/>
    <w:rsid w:val="00F60986"/>
    <w:rsid w:val="00F609E7"/>
    <w:rsid w:val="00F60B28"/>
    <w:rsid w:val="00F60DB7"/>
    <w:rsid w:val="00F611D2"/>
    <w:rsid w:val="00F61240"/>
    <w:rsid w:val="00F61AB2"/>
    <w:rsid w:val="00F61CAE"/>
    <w:rsid w:val="00F6228A"/>
    <w:rsid w:val="00F62662"/>
    <w:rsid w:val="00F628A8"/>
    <w:rsid w:val="00F62AF5"/>
    <w:rsid w:val="00F63056"/>
    <w:rsid w:val="00F63920"/>
    <w:rsid w:val="00F64649"/>
    <w:rsid w:val="00F647D2"/>
    <w:rsid w:val="00F6489D"/>
    <w:rsid w:val="00F64B26"/>
    <w:rsid w:val="00F64DCD"/>
    <w:rsid w:val="00F65720"/>
    <w:rsid w:val="00F65D74"/>
    <w:rsid w:val="00F65F7D"/>
    <w:rsid w:val="00F66FCF"/>
    <w:rsid w:val="00F678C3"/>
    <w:rsid w:val="00F67EFB"/>
    <w:rsid w:val="00F70043"/>
    <w:rsid w:val="00F70712"/>
    <w:rsid w:val="00F70B59"/>
    <w:rsid w:val="00F711AA"/>
    <w:rsid w:val="00F71B39"/>
    <w:rsid w:val="00F72087"/>
    <w:rsid w:val="00F7293C"/>
    <w:rsid w:val="00F72C2D"/>
    <w:rsid w:val="00F72CC9"/>
    <w:rsid w:val="00F732DD"/>
    <w:rsid w:val="00F73CCA"/>
    <w:rsid w:val="00F73E68"/>
    <w:rsid w:val="00F756E3"/>
    <w:rsid w:val="00F759AF"/>
    <w:rsid w:val="00F75A84"/>
    <w:rsid w:val="00F75C58"/>
    <w:rsid w:val="00F762F5"/>
    <w:rsid w:val="00F775AF"/>
    <w:rsid w:val="00F77A2B"/>
    <w:rsid w:val="00F77A43"/>
    <w:rsid w:val="00F77E3E"/>
    <w:rsid w:val="00F80002"/>
    <w:rsid w:val="00F811AE"/>
    <w:rsid w:val="00F819E3"/>
    <w:rsid w:val="00F81BD5"/>
    <w:rsid w:val="00F81CCE"/>
    <w:rsid w:val="00F81ED1"/>
    <w:rsid w:val="00F82B99"/>
    <w:rsid w:val="00F82F13"/>
    <w:rsid w:val="00F82FC1"/>
    <w:rsid w:val="00F83087"/>
    <w:rsid w:val="00F83099"/>
    <w:rsid w:val="00F83170"/>
    <w:rsid w:val="00F83261"/>
    <w:rsid w:val="00F83342"/>
    <w:rsid w:val="00F8348B"/>
    <w:rsid w:val="00F83B2B"/>
    <w:rsid w:val="00F83EB5"/>
    <w:rsid w:val="00F846FF"/>
    <w:rsid w:val="00F85098"/>
    <w:rsid w:val="00F8524B"/>
    <w:rsid w:val="00F85787"/>
    <w:rsid w:val="00F85C06"/>
    <w:rsid w:val="00F86089"/>
    <w:rsid w:val="00F86238"/>
    <w:rsid w:val="00F8663A"/>
    <w:rsid w:val="00F86AAB"/>
    <w:rsid w:val="00F86E1C"/>
    <w:rsid w:val="00F87328"/>
    <w:rsid w:val="00F874B1"/>
    <w:rsid w:val="00F901CD"/>
    <w:rsid w:val="00F90352"/>
    <w:rsid w:val="00F907D2"/>
    <w:rsid w:val="00F90AE0"/>
    <w:rsid w:val="00F90AEC"/>
    <w:rsid w:val="00F90B43"/>
    <w:rsid w:val="00F910B1"/>
    <w:rsid w:val="00F9111C"/>
    <w:rsid w:val="00F92004"/>
    <w:rsid w:val="00F92111"/>
    <w:rsid w:val="00F9223E"/>
    <w:rsid w:val="00F92A13"/>
    <w:rsid w:val="00F934CA"/>
    <w:rsid w:val="00F94327"/>
    <w:rsid w:val="00F94970"/>
    <w:rsid w:val="00F952E3"/>
    <w:rsid w:val="00F958E6"/>
    <w:rsid w:val="00F95C51"/>
    <w:rsid w:val="00F95CCE"/>
    <w:rsid w:val="00F95E2E"/>
    <w:rsid w:val="00F96856"/>
    <w:rsid w:val="00F96FB9"/>
    <w:rsid w:val="00F97097"/>
    <w:rsid w:val="00F9734E"/>
    <w:rsid w:val="00F97647"/>
    <w:rsid w:val="00F97CD4"/>
    <w:rsid w:val="00F97D09"/>
    <w:rsid w:val="00FA0B4A"/>
    <w:rsid w:val="00FA1368"/>
    <w:rsid w:val="00FA1C01"/>
    <w:rsid w:val="00FA1DA3"/>
    <w:rsid w:val="00FA239C"/>
    <w:rsid w:val="00FA245E"/>
    <w:rsid w:val="00FA24EF"/>
    <w:rsid w:val="00FA2576"/>
    <w:rsid w:val="00FA2D9E"/>
    <w:rsid w:val="00FA3485"/>
    <w:rsid w:val="00FA3F7C"/>
    <w:rsid w:val="00FA4235"/>
    <w:rsid w:val="00FA436B"/>
    <w:rsid w:val="00FA4AED"/>
    <w:rsid w:val="00FA518E"/>
    <w:rsid w:val="00FA5266"/>
    <w:rsid w:val="00FA6CBE"/>
    <w:rsid w:val="00FA6E78"/>
    <w:rsid w:val="00FA7616"/>
    <w:rsid w:val="00FA77AE"/>
    <w:rsid w:val="00FA7CA0"/>
    <w:rsid w:val="00FA7D80"/>
    <w:rsid w:val="00FA7D9C"/>
    <w:rsid w:val="00FB023C"/>
    <w:rsid w:val="00FB0494"/>
    <w:rsid w:val="00FB0F66"/>
    <w:rsid w:val="00FB11B3"/>
    <w:rsid w:val="00FB12FA"/>
    <w:rsid w:val="00FB14CB"/>
    <w:rsid w:val="00FB160A"/>
    <w:rsid w:val="00FB179F"/>
    <w:rsid w:val="00FB1C4D"/>
    <w:rsid w:val="00FB1D26"/>
    <w:rsid w:val="00FB2197"/>
    <w:rsid w:val="00FB2DAC"/>
    <w:rsid w:val="00FB3505"/>
    <w:rsid w:val="00FB4324"/>
    <w:rsid w:val="00FB4531"/>
    <w:rsid w:val="00FB4D39"/>
    <w:rsid w:val="00FB598B"/>
    <w:rsid w:val="00FB61D8"/>
    <w:rsid w:val="00FB6BBF"/>
    <w:rsid w:val="00FB715B"/>
    <w:rsid w:val="00FB72B3"/>
    <w:rsid w:val="00FB78DF"/>
    <w:rsid w:val="00FC0013"/>
    <w:rsid w:val="00FC013D"/>
    <w:rsid w:val="00FC0A7C"/>
    <w:rsid w:val="00FC1149"/>
    <w:rsid w:val="00FC16BE"/>
    <w:rsid w:val="00FC16E6"/>
    <w:rsid w:val="00FC2222"/>
    <w:rsid w:val="00FC2553"/>
    <w:rsid w:val="00FC3356"/>
    <w:rsid w:val="00FC3569"/>
    <w:rsid w:val="00FC38AD"/>
    <w:rsid w:val="00FC39BC"/>
    <w:rsid w:val="00FC3C69"/>
    <w:rsid w:val="00FC3D27"/>
    <w:rsid w:val="00FC42D5"/>
    <w:rsid w:val="00FC43AF"/>
    <w:rsid w:val="00FC46C5"/>
    <w:rsid w:val="00FC47F5"/>
    <w:rsid w:val="00FC4905"/>
    <w:rsid w:val="00FC4EC4"/>
    <w:rsid w:val="00FC544D"/>
    <w:rsid w:val="00FC54B2"/>
    <w:rsid w:val="00FC5E40"/>
    <w:rsid w:val="00FC62CF"/>
    <w:rsid w:val="00FC63D6"/>
    <w:rsid w:val="00FC6B48"/>
    <w:rsid w:val="00FC6C36"/>
    <w:rsid w:val="00FC7002"/>
    <w:rsid w:val="00FC717E"/>
    <w:rsid w:val="00FC73FE"/>
    <w:rsid w:val="00FC7636"/>
    <w:rsid w:val="00FC76CD"/>
    <w:rsid w:val="00FC7A80"/>
    <w:rsid w:val="00FC7C33"/>
    <w:rsid w:val="00FD069E"/>
    <w:rsid w:val="00FD076A"/>
    <w:rsid w:val="00FD09B5"/>
    <w:rsid w:val="00FD10CE"/>
    <w:rsid w:val="00FD1292"/>
    <w:rsid w:val="00FD17C2"/>
    <w:rsid w:val="00FD1BA7"/>
    <w:rsid w:val="00FD1E28"/>
    <w:rsid w:val="00FD1EB0"/>
    <w:rsid w:val="00FD21AA"/>
    <w:rsid w:val="00FD23D0"/>
    <w:rsid w:val="00FD2DA3"/>
    <w:rsid w:val="00FD3455"/>
    <w:rsid w:val="00FD348A"/>
    <w:rsid w:val="00FD3702"/>
    <w:rsid w:val="00FD3811"/>
    <w:rsid w:val="00FD43A8"/>
    <w:rsid w:val="00FD470B"/>
    <w:rsid w:val="00FD4BF7"/>
    <w:rsid w:val="00FD4D26"/>
    <w:rsid w:val="00FD52EF"/>
    <w:rsid w:val="00FD558B"/>
    <w:rsid w:val="00FD5604"/>
    <w:rsid w:val="00FD5B3C"/>
    <w:rsid w:val="00FD5E9E"/>
    <w:rsid w:val="00FD669F"/>
    <w:rsid w:val="00FD6770"/>
    <w:rsid w:val="00FD6B57"/>
    <w:rsid w:val="00FD6F42"/>
    <w:rsid w:val="00FD7552"/>
    <w:rsid w:val="00FE0190"/>
    <w:rsid w:val="00FE0577"/>
    <w:rsid w:val="00FE065F"/>
    <w:rsid w:val="00FE0785"/>
    <w:rsid w:val="00FE108A"/>
    <w:rsid w:val="00FE1117"/>
    <w:rsid w:val="00FE1F68"/>
    <w:rsid w:val="00FE25DB"/>
    <w:rsid w:val="00FE2BF4"/>
    <w:rsid w:val="00FE32B7"/>
    <w:rsid w:val="00FE33C6"/>
    <w:rsid w:val="00FE37C4"/>
    <w:rsid w:val="00FE3830"/>
    <w:rsid w:val="00FE3E07"/>
    <w:rsid w:val="00FE453F"/>
    <w:rsid w:val="00FE49DA"/>
    <w:rsid w:val="00FE525F"/>
    <w:rsid w:val="00FE5612"/>
    <w:rsid w:val="00FE58A7"/>
    <w:rsid w:val="00FE5D52"/>
    <w:rsid w:val="00FE63C8"/>
    <w:rsid w:val="00FE6EBA"/>
    <w:rsid w:val="00FE7274"/>
    <w:rsid w:val="00FE75FE"/>
    <w:rsid w:val="00FE786E"/>
    <w:rsid w:val="00FF06A5"/>
    <w:rsid w:val="00FF08FF"/>
    <w:rsid w:val="00FF099C"/>
    <w:rsid w:val="00FF0C12"/>
    <w:rsid w:val="00FF0EFA"/>
    <w:rsid w:val="00FF1909"/>
    <w:rsid w:val="00FF1AD4"/>
    <w:rsid w:val="00FF1E92"/>
    <w:rsid w:val="00FF1F00"/>
    <w:rsid w:val="00FF2C1E"/>
    <w:rsid w:val="00FF30B8"/>
    <w:rsid w:val="00FF3444"/>
    <w:rsid w:val="00FF38F9"/>
    <w:rsid w:val="00FF39DB"/>
    <w:rsid w:val="00FF401C"/>
    <w:rsid w:val="00FF434E"/>
    <w:rsid w:val="00FF4388"/>
    <w:rsid w:val="00FF4FF9"/>
    <w:rsid w:val="00FF589B"/>
    <w:rsid w:val="00FF5950"/>
    <w:rsid w:val="00FF5E53"/>
    <w:rsid w:val="00FF66C3"/>
    <w:rsid w:val="00FF6ED7"/>
    <w:rsid w:val="00FF70A4"/>
    <w:rsid w:val="00FF71FF"/>
    <w:rsid w:val="00FF73AD"/>
    <w:rsid w:val="00FF77AF"/>
    <w:rsid w:val="00FF783A"/>
    <w:rsid w:val="00FF7A74"/>
    <w:rsid w:val="00FF7D10"/>
    <w:rsid w:val="00FF7F30"/>
    <w:rsid w:val="01162425"/>
    <w:rsid w:val="0133E2E1"/>
    <w:rsid w:val="0140300F"/>
    <w:rsid w:val="01659A2F"/>
    <w:rsid w:val="016DA0F4"/>
    <w:rsid w:val="01AF871F"/>
    <w:rsid w:val="01BB7529"/>
    <w:rsid w:val="01CC0DCF"/>
    <w:rsid w:val="01CEA568"/>
    <w:rsid w:val="01DD03A0"/>
    <w:rsid w:val="01FDF59A"/>
    <w:rsid w:val="020F36BD"/>
    <w:rsid w:val="02278F62"/>
    <w:rsid w:val="023995A6"/>
    <w:rsid w:val="023A07E2"/>
    <w:rsid w:val="023CCD43"/>
    <w:rsid w:val="023ED876"/>
    <w:rsid w:val="023F40F8"/>
    <w:rsid w:val="02406F0C"/>
    <w:rsid w:val="0241D83D"/>
    <w:rsid w:val="02758BB5"/>
    <w:rsid w:val="02A78B71"/>
    <w:rsid w:val="02D0E0F1"/>
    <w:rsid w:val="02D80732"/>
    <w:rsid w:val="02EA0861"/>
    <w:rsid w:val="03007134"/>
    <w:rsid w:val="031A89CD"/>
    <w:rsid w:val="032F46D2"/>
    <w:rsid w:val="033C0B47"/>
    <w:rsid w:val="03486AE1"/>
    <w:rsid w:val="03651B51"/>
    <w:rsid w:val="03774E91"/>
    <w:rsid w:val="037F47A2"/>
    <w:rsid w:val="039D0F6C"/>
    <w:rsid w:val="03A1D8AD"/>
    <w:rsid w:val="03A8153F"/>
    <w:rsid w:val="03A91F45"/>
    <w:rsid w:val="03AB4B20"/>
    <w:rsid w:val="03E70182"/>
    <w:rsid w:val="03EE2B94"/>
    <w:rsid w:val="0400E72C"/>
    <w:rsid w:val="040B8DBE"/>
    <w:rsid w:val="0412EF15"/>
    <w:rsid w:val="041C39A5"/>
    <w:rsid w:val="045E5888"/>
    <w:rsid w:val="04635306"/>
    <w:rsid w:val="0483278E"/>
    <w:rsid w:val="0490EEF3"/>
    <w:rsid w:val="04929831"/>
    <w:rsid w:val="04AA803A"/>
    <w:rsid w:val="04D38F2A"/>
    <w:rsid w:val="04F2AFF8"/>
    <w:rsid w:val="04F39FB0"/>
    <w:rsid w:val="04FD2BA4"/>
    <w:rsid w:val="04FFA4BA"/>
    <w:rsid w:val="051EF43E"/>
    <w:rsid w:val="05202D3E"/>
    <w:rsid w:val="055D71DB"/>
    <w:rsid w:val="0564B158"/>
    <w:rsid w:val="0570278C"/>
    <w:rsid w:val="057386F0"/>
    <w:rsid w:val="059914FD"/>
    <w:rsid w:val="05B228DA"/>
    <w:rsid w:val="05B45D36"/>
    <w:rsid w:val="05C5D09B"/>
    <w:rsid w:val="05CB48AA"/>
    <w:rsid w:val="05CDB376"/>
    <w:rsid w:val="05E73A32"/>
    <w:rsid w:val="060D5DD5"/>
    <w:rsid w:val="06221026"/>
    <w:rsid w:val="0628038E"/>
    <w:rsid w:val="0639E7E2"/>
    <w:rsid w:val="064C2BBD"/>
    <w:rsid w:val="065EE930"/>
    <w:rsid w:val="06627AA0"/>
    <w:rsid w:val="066B83BF"/>
    <w:rsid w:val="069EB5B9"/>
    <w:rsid w:val="06A34001"/>
    <w:rsid w:val="06C3459F"/>
    <w:rsid w:val="06C9B9D8"/>
    <w:rsid w:val="06CC3E15"/>
    <w:rsid w:val="06CCE3F9"/>
    <w:rsid w:val="06D044B2"/>
    <w:rsid w:val="06D6E659"/>
    <w:rsid w:val="06D71665"/>
    <w:rsid w:val="06DEA40E"/>
    <w:rsid w:val="06FEDE9E"/>
    <w:rsid w:val="070081B9"/>
    <w:rsid w:val="0707B06B"/>
    <w:rsid w:val="0707F02A"/>
    <w:rsid w:val="070BF7ED"/>
    <w:rsid w:val="071A24C5"/>
    <w:rsid w:val="0728C505"/>
    <w:rsid w:val="0734E430"/>
    <w:rsid w:val="07476BF8"/>
    <w:rsid w:val="0757ACE5"/>
    <w:rsid w:val="07879B91"/>
    <w:rsid w:val="07AE4E54"/>
    <w:rsid w:val="07B87351"/>
    <w:rsid w:val="07E1F6EF"/>
    <w:rsid w:val="07FA0E69"/>
    <w:rsid w:val="07FB805D"/>
    <w:rsid w:val="0806FB73"/>
    <w:rsid w:val="080FC1B2"/>
    <w:rsid w:val="08193796"/>
    <w:rsid w:val="0825A7FD"/>
    <w:rsid w:val="082CEDBA"/>
    <w:rsid w:val="082E786C"/>
    <w:rsid w:val="08334E82"/>
    <w:rsid w:val="08467353"/>
    <w:rsid w:val="085970C7"/>
    <w:rsid w:val="086C64F3"/>
    <w:rsid w:val="0896AA5B"/>
    <w:rsid w:val="08D912FE"/>
    <w:rsid w:val="08F533E1"/>
    <w:rsid w:val="08F6B622"/>
    <w:rsid w:val="0901DEAA"/>
    <w:rsid w:val="092843D2"/>
    <w:rsid w:val="09516953"/>
    <w:rsid w:val="095511AE"/>
    <w:rsid w:val="0979C8B6"/>
    <w:rsid w:val="09947B5D"/>
    <w:rsid w:val="0999ACC6"/>
    <w:rsid w:val="09A4DCB4"/>
    <w:rsid w:val="09DFA026"/>
    <w:rsid w:val="09FBB994"/>
    <w:rsid w:val="0A1A8CA4"/>
    <w:rsid w:val="0A385C35"/>
    <w:rsid w:val="0A69935D"/>
    <w:rsid w:val="0A86ECA1"/>
    <w:rsid w:val="0A8AD368"/>
    <w:rsid w:val="0A92E97B"/>
    <w:rsid w:val="0AC4252B"/>
    <w:rsid w:val="0AC931A0"/>
    <w:rsid w:val="0AFB7B37"/>
    <w:rsid w:val="0B000B0C"/>
    <w:rsid w:val="0B05BA74"/>
    <w:rsid w:val="0B06C0A2"/>
    <w:rsid w:val="0B06FE61"/>
    <w:rsid w:val="0B0EACC8"/>
    <w:rsid w:val="0B1AD756"/>
    <w:rsid w:val="0B2388AC"/>
    <w:rsid w:val="0B299F9E"/>
    <w:rsid w:val="0B30B316"/>
    <w:rsid w:val="0B365D0E"/>
    <w:rsid w:val="0B39BDD5"/>
    <w:rsid w:val="0B520CAD"/>
    <w:rsid w:val="0B633AA3"/>
    <w:rsid w:val="0B75BD12"/>
    <w:rsid w:val="0B7BCE66"/>
    <w:rsid w:val="0B81448D"/>
    <w:rsid w:val="0BD88398"/>
    <w:rsid w:val="0BE28590"/>
    <w:rsid w:val="0BE34855"/>
    <w:rsid w:val="0BE5CEA0"/>
    <w:rsid w:val="0C0C901F"/>
    <w:rsid w:val="0C3E7B4A"/>
    <w:rsid w:val="0C3FF38F"/>
    <w:rsid w:val="0C4FD428"/>
    <w:rsid w:val="0C538482"/>
    <w:rsid w:val="0C74E0F8"/>
    <w:rsid w:val="0C7C7810"/>
    <w:rsid w:val="0C7E00D9"/>
    <w:rsid w:val="0C81977B"/>
    <w:rsid w:val="0C8520EA"/>
    <w:rsid w:val="0C93F476"/>
    <w:rsid w:val="0CA630F0"/>
    <w:rsid w:val="0CB35C7D"/>
    <w:rsid w:val="0CB3C067"/>
    <w:rsid w:val="0CCD43BE"/>
    <w:rsid w:val="0CCDEBD4"/>
    <w:rsid w:val="0CE008BD"/>
    <w:rsid w:val="0CFADAA7"/>
    <w:rsid w:val="0D0732F2"/>
    <w:rsid w:val="0D0B4CB9"/>
    <w:rsid w:val="0D1425DF"/>
    <w:rsid w:val="0D31E8F8"/>
    <w:rsid w:val="0D323887"/>
    <w:rsid w:val="0D44490E"/>
    <w:rsid w:val="0D4BB629"/>
    <w:rsid w:val="0D522D66"/>
    <w:rsid w:val="0D559018"/>
    <w:rsid w:val="0D73500D"/>
    <w:rsid w:val="0D73FFBF"/>
    <w:rsid w:val="0D7C4B55"/>
    <w:rsid w:val="0D819F01"/>
    <w:rsid w:val="0D8C9CD5"/>
    <w:rsid w:val="0DC5422A"/>
    <w:rsid w:val="0DEEBE56"/>
    <w:rsid w:val="0DF3110E"/>
    <w:rsid w:val="0DFD8B4B"/>
    <w:rsid w:val="0E14810C"/>
    <w:rsid w:val="0E25ECD4"/>
    <w:rsid w:val="0E3BD6B8"/>
    <w:rsid w:val="0E43C29F"/>
    <w:rsid w:val="0E488D53"/>
    <w:rsid w:val="0E577134"/>
    <w:rsid w:val="0E57D35D"/>
    <w:rsid w:val="0E5909EF"/>
    <w:rsid w:val="0E6AFA61"/>
    <w:rsid w:val="0E79F0C0"/>
    <w:rsid w:val="0E9BD0AD"/>
    <w:rsid w:val="0EB7E095"/>
    <w:rsid w:val="0EBBD689"/>
    <w:rsid w:val="0EBE396F"/>
    <w:rsid w:val="0ECAFECF"/>
    <w:rsid w:val="0ED0FD7D"/>
    <w:rsid w:val="0EE0EB89"/>
    <w:rsid w:val="0EEEBA3D"/>
    <w:rsid w:val="0F1234D8"/>
    <w:rsid w:val="0F14F175"/>
    <w:rsid w:val="0F160E2E"/>
    <w:rsid w:val="0F21B634"/>
    <w:rsid w:val="0F33CFA7"/>
    <w:rsid w:val="0F608CA3"/>
    <w:rsid w:val="0F8464F4"/>
    <w:rsid w:val="0F970309"/>
    <w:rsid w:val="0FA553F3"/>
    <w:rsid w:val="0FABFC30"/>
    <w:rsid w:val="0FC704C6"/>
    <w:rsid w:val="0FC869F9"/>
    <w:rsid w:val="101184B2"/>
    <w:rsid w:val="10225CC8"/>
    <w:rsid w:val="1026E102"/>
    <w:rsid w:val="10286205"/>
    <w:rsid w:val="1046FDF9"/>
    <w:rsid w:val="104A9352"/>
    <w:rsid w:val="104FE07B"/>
    <w:rsid w:val="10679779"/>
    <w:rsid w:val="106C5F0F"/>
    <w:rsid w:val="106D3752"/>
    <w:rsid w:val="107726F8"/>
    <w:rsid w:val="10A6ED4C"/>
    <w:rsid w:val="10FAFA66"/>
    <w:rsid w:val="10FDF840"/>
    <w:rsid w:val="1100C2D9"/>
    <w:rsid w:val="11157B74"/>
    <w:rsid w:val="1124C072"/>
    <w:rsid w:val="11552495"/>
    <w:rsid w:val="11595341"/>
    <w:rsid w:val="115E733B"/>
    <w:rsid w:val="1162D527"/>
    <w:rsid w:val="11745CE8"/>
    <w:rsid w:val="11A5D367"/>
    <w:rsid w:val="11ADEC12"/>
    <w:rsid w:val="11B00401"/>
    <w:rsid w:val="11B7BE7E"/>
    <w:rsid w:val="11BCF3F8"/>
    <w:rsid w:val="11BF9C3E"/>
    <w:rsid w:val="11C01B36"/>
    <w:rsid w:val="11CCD6FE"/>
    <w:rsid w:val="11CD17FB"/>
    <w:rsid w:val="11D38E64"/>
    <w:rsid w:val="11D8D984"/>
    <w:rsid w:val="11E8B7D8"/>
    <w:rsid w:val="120081FF"/>
    <w:rsid w:val="121E76D2"/>
    <w:rsid w:val="123F57E2"/>
    <w:rsid w:val="1242CA93"/>
    <w:rsid w:val="12503E2B"/>
    <w:rsid w:val="126B0257"/>
    <w:rsid w:val="128D9E4F"/>
    <w:rsid w:val="12987614"/>
    <w:rsid w:val="12992300"/>
    <w:rsid w:val="12A09CC5"/>
    <w:rsid w:val="12AC3268"/>
    <w:rsid w:val="12B03708"/>
    <w:rsid w:val="12B57521"/>
    <w:rsid w:val="12BEF7F7"/>
    <w:rsid w:val="12DE2647"/>
    <w:rsid w:val="12E0CB74"/>
    <w:rsid w:val="12E3CB93"/>
    <w:rsid w:val="131F4E48"/>
    <w:rsid w:val="137CD794"/>
    <w:rsid w:val="13945E03"/>
    <w:rsid w:val="139FF93A"/>
    <w:rsid w:val="13ACAEE3"/>
    <w:rsid w:val="13AE1304"/>
    <w:rsid w:val="13B41A2D"/>
    <w:rsid w:val="13BB35CC"/>
    <w:rsid w:val="13C96934"/>
    <w:rsid w:val="13D94460"/>
    <w:rsid w:val="13E91136"/>
    <w:rsid w:val="13F28426"/>
    <w:rsid w:val="13FB9441"/>
    <w:rsid w:val="141B1682"/>
    <w:rsid w:val="1447C638"/>
    <w:rsid w:val="145E1B9F"/>
    <w:rsid w:val="149C0980"/>
    <w:rsid w:val="149E7278"/>
    <w:rsid w:val="14C0AC2C"/>
    <w:rsid w:val="14E7A5E4"/>
    <w:rsid w:val="14EA6238"/>
    <w:rsid w:val="14FF7D66"/>
    <w:rsid w:val="1512CEEA"/>
    <w:rsid w:val="15165B09"/>
    <w:rsid w:val="151809C9"/>
    <w:rsid w:val="151C0D29"/>
    <w:rsid w:val="151EDA02"/>
    <w:rsid w:val="1523A5E7"/>
    <w:rsid w:val="15251CBF"/>
    <w:rsid w:val="1525A0CE"/>
    <w:rsid w:val="15276CF8"/>
    <w:rsid w:val="1543519B"/>
    <w:rsid w:val="155AE00A"/>
    <w:rsid w:val="1569C655"/>
    <w:rsid w:val="156FDB4A"/>
    <w:rsid w:val="15762B7A"/>
    <w:rsid w:val="158C2FC9"/>
    <w:rsid w:val="15941E42"/>
    <w:rsid w:val="159983CA"/>
    <w:rsid w:val="15D9D73B"/>
    <w:rsid w:val="15E230B8"/>
    <w:rsid w:val="1617CED7"/>
    <w:rsid w:val="1622EC37"/>
    <w:rsid w:val="162D3D4E"/>
    <w:rsid w:val="162DC109"/>
    <w:rsid w:val="162E9952"/>
    <w:rsid w:val="164062D4"/>
    <w:rsid w:val="164C0DC0"/>
    <w:rsid w:val="16655DC8"/>
    <w:rsid w:val="16716525"/>
    <w:rsid w:val="16857DF2"/>
    <w:rsid w:val="16863E44"/>
    <w:rsid w:val="169D10D7"/>
    <w:rsid w:val="16A2D9F0"/>
    <w:rsid w:val="16B5B45F"/>
    <w:rsid w:val="16C18FCF"/>
    <w:rsid w:val="16E7DBE9"/>
    <w:rsid w:val="1705F264"/>
    <w:rsid w:val="1705FC13"/>
    <w:rsid w:val="172F1D03"/>
    <w:rsid w:val="17400964"/>
    <w:rsid w:val="1741BA4B"/>
    <w:rsid w:val="17600A4E"/>
    <w:rsid w:val="1773B6A2"/>
    <w:rsid w:val="1775A79C"/>
    <w:rsid w:val="177B6159"/>
    <w:rsid w:val="1780F6C3"/>
    <w:rsid w:val="1782B1B8"/>
    <w:rsid w:val="17A62307"/>
    <w:rsid w:val="17B1F1D0"/>
    <w:rsid w:val="17C47672"/>
    <w:rsid w:val="180021E1"/>
    <w:rsid w:val="182D5A73"/>
    <w:rsid w:val="18375AD5"/>
    <w:rsid w:val="186AABDC"/>
    <w:rsid w:val="18740B56"/>
    <w:rsid w:val="18771471"/>
    <w:rsid w:val="18A1D443"/>
    <w:rsid w:val="18AD3A0D"/>
    <w:rsid w:val="18BF96D3"/>
    <w:rsid w:val="18C4259F"/>
    <w:rsid w:val="18DAD340"/>
    <w:rsid w:val="18E4E9B6"/>
    <w:rsid w:val="18E9323B"/>
    <w:rsid w:val="18ECABFA"/>
    <w:rsid w:val="190BD0F6"/>
    <w:rsid w:val="191EA4A5"/>
    <w:rsid w:val="193B5AB5"/>
    <w:rsid w:val="19428876"/>
    <w:rsid w:val="1952B276"/>
    <w:rsid w:val="195460DB"/>
    <w:rsid w:val="1959BFF0"/>
    <w:rsid w:val="1971D941"/>
    <w:rsid w:val="19810F89"/>
    <w:rsid w:val="199A8932"/>
    <w:rsid w:val="19CC4C6B"/>
    <w:rsid w:val="19F0A59B"/>
    <w:rsid w:val="19F454C3"/>
    <w:rsid w:val="19F53B3C"/>
    <w:rsid w:val="19F86435"/>
    <w:rsid w:val="19FE8862"/>
    <w:rsid w:val="1A62D35E"/>
    <w:rsid w:val="1A7DC6F3"/>
    <w:rsid w:val="1A904CF3"/>
    <w:rsid w:val="1A926676"/>
    <w:rsid w:val="1AA03C67"/>
    <w:rsid w:val="1AA9D5DB"/>
    <w:rsid w:val="1AAD485E"/>
    <w:rsid w:val="1AC7AE71"/>
    <w:rsid w:val="1ACC6F79"/>
    <w:rsid w:val="1AD63AB3"/>
    <w:rsid w:val="1AE487C9"/>
    <w:rsid w:val="1AFAA9AF"/>
    <w:rsid w:val="1B22BDCE"/>
    <w:rsid w:val="1B26F8AC"/>
    <w:rsid w:val="1B323ABA"/>
    <w:rsid w:val="1B44D816"/>
    <w:rsid w:val="1B6C3296"/>
    <w:rsid w:val="1B7081FA"/>
    <w:rsid w:val="1B75CC70"/>
    <w:rsid w:val="1B93F601"/>
    <w:rsid w:val="1B9B3AEE"/>
    <w:rsid w:val="1BA89ACD"/>
    <w:rsid w:val="1BB63DC4"/>
    <w:rsid w:val="1BD45AA9"/>
    <w:rsid w:val="1BD96500"/>
    <w:rsid w:val="1BDB6844"/>
    <w:rsid w:val="1BF07AF1"/>
    <w:rsid w:val="1C313E15"/>
    <w:rsid w:val="1C39C507"/>
    <w:rsid w:val="1C49C293"/>
    <w:rsid w:val="1C5A4E2B"/>
    <w:rsid w:val="1CA15C90"/>
    <w:rsid w:val="1CAD90FF"/>
    <w:rsid w:val="1CBE6FEA"/>
    <w:rsid w:val="1CEA35DF"/>
    <w:rsid w:val="1CEB6CB6"/>
    <w:rsid w:val="1CECA86A"/>
    <w:rsid w:val="1CF5B2D2"/>
    <w:rsid w:val="1CF722B9"/>
    <w:rsid w:val="1D0C525B"/>
    <w:rsid w:val="1D18E5E7"/>
    <w:rsid w:val="1D33FC90"/>
    <w:rsid w:val="1D386A4C"/>
    <w:rsid w:val="1D5C0C58"/>
    <w:rsid w:val="1D611921"/>
    <w:rsid w:val="1D668815"/>
    <w:rsid w:val="1D6C5119"/>
    <w:rsid w:val="1D6DBC27"/>
    <w:rsid w:val="1D7247A1"/>
    <w:rsid w:val="1D7BB9A7"/>
    <w:rsid w:val="1D952527"/>
    <w:rsid w:val="1D99EFF8"/>
    <w:rsid w:val="1DAEB025"/>
    <w:rsid w:val="1DB240DC"/>
    <w:rsid w:val="1DD77EA1"/>
    <w:rsid w:val="1DEC3DEE"/>
    <w:rsid w:val="1DF9F094"/>
    <w:rsid w:val="1E021E6A"/>
    <w:rsid w:val="1E04CFAF"/>
    <w:rsid w:val="1E0E5E6C"/>
    <w:rsid w:val="1E18647B"/>
    <w:rsid w:val="1E1AA1E5"/>
    <w:rsid w:val="1E1CCECD"/>
    <w:rsid w:val="1E5E4F83"/>
    <w:rsid w:val="1E5F8E33"/>
    <w:rsid w:val="1ECBB356"/>
    <w:rsid w:val="1ECE8590"/>
    <w:rsid w:val="1EE50B69"/>
    <w:rsid w:val="1EF9E441"/>
    <w:rsid w:val="1F11741D"/>
    <w:rsid w:val="1F1AF3EF"/>
    <w:rsid w:val="1F255F46"/>
    <w:rsid w:val="1F2D36BA"/>
    <w:rsid w:val="1F3FF744"/>
    <w:rsid w:val="1F4370E7"/>
    <w:rsid w:val="1F541E8E"/>
    <w:rsid w:val="1F82C573"/>
    <w:rsid w:val="1F85F508"/>
    <w:rsid w:val="1FA9B150"/>
    <w:rsid w:val="1FAF9ADB"/>
    <w:rsid w:val="1FEDC6BD"/>
    <w:rsid w:val="1FF4DE6E"/>
    <w:rsid w:val="2001C804"/>
    <w:rsid w:val="2024AC01"/>
    <w:rsid w:val="20266724"/>
    <w:rsid w:val="20377964"/>
    <w:rsid w:val="206FEAA2"/>
    <w:rsid w:val="208C6096"/>
    <w:rsid w:val="208D5305"/>
    <w:rsid w:val="208E450F"/>
    <w:rsid w:val="209A0A08"/>
    <w:rsid w:val="20AD6508"/>
    <w:rsid w:val="20B9B0CC"/>
    <w:rsid w:val="20BB61DE"/>
    <w:rsid w:val="20BC910C"/>
    <w:rsid w:val="20C5754F"/>
    <w:rsid w:val="210F1470"/>
    <w:rsid w:val="212465CD"/>
    <w:rsid w:val="21318AD2"/>
    <w:rsid w:val="213BE70B"/>
    <w:rsid w:val="214CB83A"/>
    <w:rsid w:val="2150053D"/>
    <w:rsid w:val="21520259"/>
    <w:rsid w:val="2153482A"/>
    <w:rsid w:val="216362BD"/>
    <w:rsid w:val="2167E558"/>
    <w:rsid w:val="217A098B"/>
    <w:rsid w:val="217A8C88"/>
    <w:rsid w:val="21C32680"/>
    <w:rsid w:val="21CAEF33"/>
    <w:rsid w:val="21D3E0D4"/>
    <w:rsid w:val="21D69549"/>
    <w:rsid w:val="21DE87CB"/>
    <w:rsid w:val="21FEFF5C"/>
    <w:rsid w:val="2201FB86"/>
    <w:rsid w:val="2202B8F0"/>
    <w:rsid w:val="22033624"/>
    <w:rsid w:val="222A1C59"/>
    <w:rsid w:val="2246AA7F"/>
    <w:rsid w:val="225E5725"/>
    <w:rsid w:val="226D611B"/>
    <w:rsid w:val="2277EC25"/>
    <w:rsid w:val="229746FE"/>
    <w:rsid w:val="229DAD37"/>
    <w:rsid w:val="22B089AF"/>
    <w:rsid w:val="22D4E3F0"/>
    <w:rsid w:val="22ECB517"/>
    <w:rsid w:val="232CF43B"/>
    <w:rsid w:val="233E9E74"/>
    <w:rsid w:val="234DFD02"/>
    <w:rsid w:val="23562DC2"/>
    <w:rsid w:val="2379F3C1"/>
    <w:rsid w:val="237EE47F"/>
    <w:rsid w:val="2392CC9E"/>
    <w:rsid w:val="23967023"/>
    <w:rsid w:val="239A92F4"/>
    <w:rsid w:val="23A7CE5C"/>
    <w:rsid w:val="23A9ABCF"/>
    <w:rsid w:val="23B0BFF6"/>
    <w:rsid w:val="23BEA05A"/>
    <w:rsid w:val="23BF5300"/>
    <w:rsid w:val="23C36118"/>
    <w:rsid w:val="23EF63E8"/>
    <w:rsid w:val="23F12847"/>
    <w:rsid w:val="23F6E0D0"/>
    <w:rsid w:val="23FD8541"/>
    <w:rsid w:val="2401C59B"/>
    <w:rsid w:val="24083FF5"/>
    <w:rsid w:val="240A6261"/>
    <w:rsid w:val="243A4E78"/>
    <w:rsid w:val="243AEF00"/>
    <w:rsid w:val="243FDDF5"/>
    <w:rsid w:val="244E9103"/>
    <w:rsid w:val="246ABED2"/>
    <w:rsid w:val="24816D5E"/>
    <w:rsid w:val="249315AC"/>
    <w:rsid w:val="24BCEA05"/>
    <w:rsid w:val="24C3CC32"/>
    <w:rsid w:val="24C4DF91"/>
    <w:rsid w:val="24D820E1"/>
    <w:rsid w:val="24DB2198"/>
    <w:rsid w:val="24E586D1"/>
    <w:rsid w:val="25002339"/>
    <w:rsid w:val="2503B621"/>
    <w:rsid w:val="258A6525"/>
    <w:rsid w:val="25D14801"/>
    <w:rsid w:val="25D94EB9"/>
    <w:rsid w:val="25E1EDAB"/>
    <w:rsid w:val="25EBBF61"/>
    <w:rsid w:val="25FE0B30"/>
    <w:rsid w:val="260194CA"/>
    <w:rsid w:val="261BD9D8"/>
    <w:rsid w:val="262E4989"/>
    <w:rsid w:val="2650C891"/>
    <w:rsid w:val="26760384"/>
    <w:rsid w:val="268333DB"/>
    <w:rsid w:val="2683DFB4"/>
    <w:rsid w:val="26B2E731"/>
    <w:rsid w:val="26BD6345"/>
    <w:rsid w:val="26C541B2"/>
    <w:rsid w:val="26E22FB0"/>
    <w:rsid w:val="26E55D80"/>
    <w:rsid w:val="26F14E41"/>
    <w:rsid w:val="26F45DB3"/>
    <w:rsid w:val="27276697"/>
    <w:rsid w:val="2727A9E1"/>
    <w:rsid w:val="27333983"/>
    <w:rsid w:val="27363374"/>
    <w:rsid w:val="274E4DEB"/>
    <w:rsid w:val="275D9F88"/>
    <w:rsid w:val="277DF467"/>
    <w:rsid w:val="278061E8"/>
    <w:rsid w:val="278F5DDC"/>
    <w:rsid w:val="279C3F59"/>
    <w:rsid w:val="27DC6712"/>
    <w:rsid w:val="27F81C08"/>
    <w:rsid w:val="28077210"/>
    <w:rsid w:val="280AF0B3"/>
    <w:rsid w:val="282AB17F"/>
    <w:rsid w:val="283832C5"/>
    <w:rsid w:val="28490C29"/>
    <w:rsid w:val="28661807"/>
    <w:rsid w:val="286C98AD"/>
    <w:rsid w:val="286E81BE"/>
    <w:rsid w:val="2878D46A"/>
    <w:rsid w:val="28809D24"/>
    <w:rsid w:val="288F8456"/>
    <w:rsid w:val="289689F3"/>
    <w:rsid w:val="28987018"/>
    <w:rsid w:val="28ABCB78"/>
    <w:rsid w:val="28AE8251"/>
    <w:rsid w:val="28BCFB74"/>
    <w:rsid w:val="28F10284"/>
    <w:rsid w:val="292E35F9"/>
    <w:rsid w:val="292FB119"/>
    <w:rsid w:val="294028EE"/>
    <w:rsid w:val="294262F2"/>
    <w:rsid w:val="2946F925"/>
    <w:rsid w:val="29491889"/>
    <w:rsid w:val="294C1F05"/>
    <w:rsid w:val="296B603C"/>
    <w:rsid w:val="296B62E1"/>
    <w:rsid w:val="29706BFF"/>
    <w:rsid w:val="2975D7E1"/>
    <w:rsid w:val="297B948E"/>
    <w:rsid w:val="29926B55"/>
    <w:rsid w:val="29AB9672"/>
    <w:rsid w:val="2A067BA4"/>
    <w:rsid w:val="2A0BD518"/>
    <w:rsid w:val="2A115AA8"/>
    <w:rsid w:val="2A21BE89"/>
    <w:rsid w:val="2A94CEFE"/>
    <w:rsid w:val="2A99D33D"/>
    <w:rsid w:val="2AAF0191"/>
    <w:rsid w:val="2AB5C5ED"/>
    <w:rsid w:val="2ABF11B7"/>
    <w:rsid w:val="2AC29514"/>
    <w:rsid w:val="2AE34BE6"/>
    <w:rsid w:val="2AE40387"/>
    <w:rsid w:val="2AEA75C7"/>
    <w:rsid w:val="2B446BCC"/>
    <w:rsid w:val="2B53BF42"/>
    <w:rsid w:val="2B686637"/>
    <w:rsid w:val="2B70C40D"/>
    <w:rsid w:val="2B7AEBB0"/>
    <w:rsid w:val="2B872951"/>
    <w:rsid w:val="2B93F5DD"/>
    <w:rsid w:val="2B9FCBB1"/>
    <w:rsid w:val="2BA06834"/>
    <w:rsid w:val="2BA83D9C"/>
    <w:rsid w:val="2BB421A3"/>
    <w:rsid w:val="2BC4984B"/>
    <w:rsid w:val="2BC797DF"/>
    <w:rsid w:val="2BF80D26"/>
    <w:rsid w:val="2C03F9FD"/>
    <w:rsid w:val="2C61405A"/>
    <w:rsid w:val="2C71B9D3"/>
    <w:rsid w:val="2C798BD9"/>
    <w:rsid w:val="2C942672"/>
    <w:rsid w:val="2C9DB43F"/>
    <w:rsid w:val="2CBEF5A5"/>
    <w:rsid w:val="2CE72D1C"/>
    <w:rsid w:val="2CE967D0"/>
    <w:rsid w:val="2CFE9FDA"/>
    <w:rsid w:val="2D100D44"/>
    <w:rsid w:val="2D17910B"/>
    <w:rsid w:val="2D33B218"/>
    <w:rsid w:val="2D365D27"/>
    <w:rsid w:val="2D37BC71"/>
    <w:rsid w:val="2D923F0B"/>
    <w:rsid w:val="2DB51221"/>
    <w:rsid w:val="2DBE7736"/>
    <w:rsid w:val="2DC079B2"/>
    <w:rsid w:val="2DD7F0C6"/>
    <w:rsid w:val="2DE56CE1"/>
    <w:rsid w:val="2DEFC754"/>
    <w:rsid w:val="2E05AB61"/>
    <w:rsid w:val="2E19F41B"/>
    <w:rsid w:val="2E1C67AD"/>
    <w:rsid w:val="2E29D8BC"/>
    <w:rsid w:val="2E423440"/>
    <w:rsid w:val="2E511D47"/>
    <w:rsid w:val="2E5AAA36"/>
    <w:rsid w:val="2E70468A"/>
    <w:rsid w:val="2E8BF90E"/>
    <w:rsid w:val="2E9D1777"/>
    <w:rsid w:val="2EAD40A1"/>
    <w:rsid w:val="2EBCB7EA"/>
    <w:rsid w:val="2EBFD20B"/>
    <w:rsid w:val="2EC181A3"/>
    <w:rsid w:val="2ED56995"/>
    <w:rsid w:val="2EE6BFCB"/>
    <w:rsid w:val="2EEC439D"/>
    <w:rsid w:val="2EF87E5A"/>
    <w:rsid w:val="2F02C504"/>
    <w:rsid w:val="2F3367F2"/>
    <w:rsid w:val="2F33AA26"/>
    <w:rsid w:val="2F5798E8"/>
    <w:rsid w:val="2F708811"/>
    <w:rsid w:val="2F778AF0"/>
    <w:rsid w:val="2F7AACE7"/>
    <w:rsid w:val="2F9CC056"/>
    <w:rsid w:val="2FA3A5F0"/>
    <w:rsid w:val="2FD5D7B0"/>
    <w:rsid w:val="2FD7F206"/>
    <w:rsid w:val="2FDC9924"/>
    <w:rsid w:val="2FDDA296"/>
    <w:rsid w:val="2FFDADED"/>
    <w:rsid w:val="3019790F"/>
    <w:rsid w:val="30282360"/>
    <w:rsid w:val="302DFF9D"/>
    <w:rsid w:val="30408698"/>
    <w:rsid w:val="30433B78"/>
    <w:rsid w:val="3051D143"/>
    <w:rsid w:val="30637084"/>
    <w:rsid w:val="306BFB12"/>
    <w:rsid w:val="306E679E"/>
    <w:rsid w:val="3073F658"/>
    <w:rsid w:val="307E5E2D"/>
    <w:rsid w:val="30A41D64"/>
    <w:rsid w:val="30A44828"/>
    <w:rsid w:val="30B8F3E3"/>
    <w:rsid w:val="30C2AF03"/>
    <w:rsid w:val="30D47C3B"/>
    <w:rsid w:val="30D69F17"/>
    <w:rsid w:val="30EFF760"/>
    <w:rsid w:val="310638BB"/>
    <w:rsid w:val="3109F7D6"/>
    <w:rsid w:val="313091DA"/>
    <w:rsid w:val="31338D7E"/>
    <w:rsid w:val="3134B17D"/>
    <w:rsid w:val="3148FE36"/>
    <w:rsid w:val="31844774"/>
    <w:rsid w:val="318C9E25"/>
    <w:rsid w:val="318D18BC"/>
    <w:rsid w:val="31B53673"/>
    <w:rsid w:val="31C509C7"/>
    <w:rsid w:val="31D6C008"/>
    <w:rsid w:val="31D9EBF1"/>
    <w:rsid w:val="31DCF854"/>
    <w:rsid w:val="31DD23D2"/>
    <w:rsid w:val="31FBCEAB"/>
    <w:rsid w:val="3207CB73"/>
    <w:rsid w:val="320EF574"/>
    <w:rsid w:val="3216F97F"/>
    <w:rsid w:val="32239F2C"/>
    <w:rsid w:val="323AF875"/>
    <w:rsid w:val="323CB60A"/>
    <w:rsid w:val="32621074"/>
    <w:rsid w:val="32886DF4"/>
    <w:rsid w:val="32A68080"/>
    <w:rsid w:val="32B49F53"/>
    <w:rsid w:val="32C65550"/>
    <w:rsid w:val="32E27BF4"/>
    <w:rsid w:val="33041BA3"/>
    <w:rsid w:val="3325D09E"/>
    <w:rsid w:val="3332B755"/>
    <w:rsid w:val="333581D6"/>
    <w:rsid w:val="333BB7B9"/>
    <w:rsid w:val="333E05D9"/>
    <w:rsid w:val="334874FD"/>
    <w:rsid w:val="337EBA31"/>
    <w:rsid w:val="339578CA"/>
    <w:rsid w:val="339CF8EA"/>
    <w:rsid w:val="33A6FC8D"/>
    <w:rsid w:val="33B15277"/>
    <w:rsid w:val="33D3455C"/>
    <w:rsid w:val="33F2CE46"/>
    <w:rsid w:val="33F7A59F"/>
    <w:rsid w:val="33FF09AC"/>
    <w:rsid w:val="33FFCBFF"/>
    <w:rsid w:val="3401304A"/>
    <w:rsid w:val="34022005"/>
    <w:rsid w:val="34025AA1"/>
    <w:rsid w:val="3430EA22"/>
    <w:rsid w:val="3439E6E8"/>
    <w:rsid w:val="343F8D69"/>
    <w:rsid w:val="3445C6FE"/>
    <w:rsid w:val="3446520A"/>
    <w:rsid w:val="34496F6A"/>
    <w:rsid w:val="344EC4EE"/>
    <w:rsid w:val="3452B2B4"/>
    <w:rsid w:val="3464017B"/>
    <w:rsid w:val="347344EA"/>
    <w:rsid w:val="3473D28B"/>
    <w:rsid w:val="3481083F"/>
    <w:rsid w:val="348CC680"/>
    <w:rsid w:val="34B4FB1A"/>
    <w:rsid w:val="34D8B765"/>
    <w:rsid w:val="34DA9310"/>
    <w:rsid w:val="34DDCFDC"/>
    <w:rsid w:val="34E5B747"/>
    <w:rsid w:val="34F02AB6"/>
    <w:rsid w:val="34FC17AC"/>
    <w:rsid w:val="350022A0"/>
    <w:rsid w:val="3501CC15"/>
    <w:rsid w:val="35051C35"/>
    <w:rsid w:val="3505AA2D"/>
    <w:rsid w:val="350BF4FC"/>
    <w:rsid w:val="35150160"/>
    <w:rsid w:val="3532F2E5"/>
    <w:rsid w:val="3546D114"/>
    <w:rsid w:val="35541775"/>
    <w:rsid w:val="35860391"/>
    <w:rsid w:val="35A4EFE5"/>
    <w:rsid w:val="35B639B7"/>
    <w:rsid w:val="35B8A3DD"/>
    <w:rsid w:val="35BA189D"/>
    <w:rsid w:val="35CD5AEC"/>
    <w:rsid w:val="35D4A68C"/>
    <w:rsid w:val="35E0EA14"/>
    <w:rsid w:val="35EB85A2"/>
    <w:rsid w:val="35F3F6AF"/>
    <w:rsid w:val="35F5D820"/>
    <w:rsid w:val="360675CA"/>
    <w:rsid w:val="3642106E"/>
    <w:rsid w:val="3657B1E6"/>
    <w:rsid w:val="36704294"/>
    <w:rsid w:val="3678B13B"/>
    <w:rsid w:val="368EC117"/>
    <w:rsid w:val="3695BB45"/>
    <w:rsid w:val="3697045D"/>
    <w:rsid w:val="3698CA02"/>
    <w:rsid w:val="369E09DF"/>
    <w:rsid w:val="36A7EAD9"/>
    <w:rsid w:val="36E9DD8C"/>
    <w:rsid w:val="3727C93C"/>
    <w:rsid w:val="3732B27F"/>
    <w:rsid w:val="373597CE"/>
    <w:rsid w:val="3746A4BD"/>
    <w:rsid w:val="37470C11"/>
    <w:rsid w:val="3764C8AA"/>
    <w:rsid w:val="3766F38E"/>
    <w:rsid w:val="377D8CEA"/>
    <w:rsid w:val="37AE55E9"/>
    <w:rsid w:val="37B4E188"/>
    <w:rsid w:val="37DCE3F4"/>
    <w:rsid w:val="37E7F2FC"/>
    <w:rsid w:val="37E81F66"/>
    <w:rsid w:val="37FA350A"/>
    <w:rsid w:val="3815A6B5"/>
    <w:rsid w:val="3817C30A"/>
    <w:rsid w:val="383163ED"/>
    <w:rsid w:val="3852F0DB"/>
    <w:rsid w:val="38638030"/>
    <w:rsid w:val="386B86D9"/>
    <w:rsid w:val="386C6B7D"/>
    <w:rsid w:val="38751EBD"/>
    <w:rsid w:val="387EF7A0"/>
    <w:rsid w:val="3880D8CA"/>
    <w:rsid w:val="38B01BE2"/>
    <w:rsid w:val="38CC6E5B"/>
    <w:rsid w:val="38CEEEFA"/>
    <w:rsid w:val="38DA8C6C"/>
    <w:rsid w:val="38F2A8B7"/>
    <w:rsid w:val="38F9A32E"/>
    <w:rsid w:val="39128C8A"/>
    <w:rsid w:val="39171EAD"/>
    <w:rsid w:val="391B05BF"/>
    <w:rsid w:val="391FDD6A"/>
    <w:rsid w:val="39269B05"/>
    <w:rsid w:val="3927FF98"/>
    <w:rsid w:val="395AF643"/>
    <w:rsid w:val="395E8FD0"/>
    <w:rsid w:val="396B4237"/>
    <w:rsid w:val="396F1DF0"/>
    <w:rsid w:val="397409F8"/>
    <w:rsid w:val="39788807"/>
    <w:rsid w:val="399D3E02"/>
    <w:rsid w:val="39A485D4"/>
    <w:rsid w:val="39A5D4B3"/>
    <w:rsid w:val="39AC7D1C"/>
    <w:rsid w:val="39B28B41"/>
    <w:rsid w:val="39B73E72"/>
    <w:rsid w:val="39BF61FE"/>
    <w:rsid w:val="39C6A587"/>
    <w:rsid w:val="39C7E872"/>
    <w:rsid w:val="39CEA51F"/>
    <w:rsid w:val="39E59A5F"/>
    <w:rsid w:val="39F760DD"/>
    <w:rsid w:val="39FAFE5C"/>
    <w:rsid w:val="39FFDC36"/>
    <w:rsid w:val="3A01E7BF"/>
    <w:rsid w:val="3A33A55A"/>
    <w:rsid w:val="3A35A7D4"/>
    <w:rsid w:val="3A44EDC6"/>
    <w:rsid w:val="3A4CB4FB"/>
    <w:rsid w:val="3A525DA2"/>
    <w:rsid w:val="3A55DDE6"/>
    <w:rsid w:val="3A5829ED"/>
    <w:rsid w:val="3A67C15A"/>
    <w:rsid w:val="3A81684B"/>
    <w:rsid w:val="3A9981D2"/>
    <w:rsid w:val="3AA697F4"/>
    <w:rsid w:val="3AC9B32F"/>
    <w:rsid w:val="3ADBD46D"/>
    <w:rsid w:val="3AE0278B"/>
    <w:rsid w:val="3AEBC3AA"/>
    <w:rsid w:val="3B0ACA23"/>
    <w:rsid w:val="3B0CB78B"/>
    <w:rsid w:val="3B246D18"/>
    <w:rsid w:val="3B2EED6F"/>
    <w:rsid w:val="3B43EDF5"/>
    <w:rsid w:val="3B4AE54B"/>
    <w:rsid w:val="3B553504"/>
    <w:rsid w:val="3B683C0B"/>
    <w:rsid w:val="3B6A7580"/>
    <w:rsid w:val="3B70D2B5"/>
    <w:rsid w:val="3B7E7B19"/>
    <w:rsid w:val="3BA00393"/>
    <w:rsid w:val="3BA0BA8C"/>
    <w:rsid w:val="3BB0228D"/>
    <w:rsid w:val="3BBE3E7E"/>
    <w:rsid w:val="3BC57E33"/>
    <w:rsid w:val="3BC97C46"/>
    <w:rsid w:val="3BF26EE0"/>
    <w:rsid w:val="3BFA5803"/>
    <w:rsid w:val="3C03CDCE"/>
    <w:rsid w:val="3C0A585E"/>
    <w:rsid w:val="3C197A68"/>
    <w:rsid w:val="3C2C6833"/>
    <w:rsid w:val="3C39C611"/>
    <w:rsid w:val="3C420978"/>
    <w:rsid w:val="3C59BFF0"/>
    <w:rsid w:val="3C76633F"/>
    <w:rsid w:val="3CB6B932"/>
    <w:rsid w:val="3CBCA3FE"/>
    <w:rsid w:val="3CDEAD97"/>
    <w:rsid w:val="3CE75D8F"/>
    <w:rsid w:val="3CE917D8"/>
    <w:rsid w:val="3CF66DBC"/>
    <w:rsid w:val="3D0BAB75"/>
    <w:rsid w:val="3D1516C1"/>
    <w:rsid w:val="3D2C598E"/>
    <w:rsid w:val="3D32F574"/>
    <w:rsid w:val="3D3C45B8"/>
    <w:rsid w:val="3D3E92E2"/>
    <w:rsid w:val="3D4E4BA7"/>
    <w:rsid w:val="3D68FF15"/>
    <w:rsid w:val="3D6F14F7"/>
    <w:rsid w:val="3D84EC4C"/>
    <w:rsid w:val="3D8574A4"/>
    <w:rsid w:val="3D92B0F5"/>
    <w:rsid w:val="3D9F9439"/>
    <w:rsid w:val="3DB7F13E"/>
    <w:rsid w:val="3DF272DE"/>
    <w:rsid w:val="3E299B95"/>
    <w:rsid w:val="3E2FB6B4"/>
    <w:rsid w:val="3E3E03A4"/>
    <w:rsid w:val="3E415FB3"/>
    <w:rsid w:val="3E447C44"/>
    <w:rsid w:val="3E84E839"/>
    <w:rsid w:val="3E88F234"/>
    <w:rsid w:val="3E98AE13"/>
    <w:rsid w:val="3E98DE67"/>
    <w:rsid w:val="3E9C5933"/>
    <w:rsid w:val="3E9FE09B"/>
    <w:rsid w:val="3EA21642"/>
    <w:rsid w:val="3EA6927B"/>
    <w:rsid w:val="3EAFCA73"/>
    <w:rsid w:val="3EB982EA"/>
    <w:rsid w:val="3ED69986"/>
    <w:rsid w:val="3EDBB521"/>
    <w:rsid w:val="3F01EAB7"/>
    <w:rsid w:val="3F0D5B93"/>
    <w:rsid w:val="3F1A29FB"/>
    <w:rsid w:val="3F2879C1"/>
    <w:rsid w:val="3F38A383"/>
    <w:rsid w:val="3F48CA61"/>
    <w:rsid w:val="3F5352D8"/>
    <w:rsid w:val="3F5AD78A"/>
    <w:rsid w:val="3F5F926A"/>
    <w:rsid w:val="3F694DC3"/>
    <w:rsid w:val="3F77C778"/>
    <w:rsid w:val="3F8A8CAB"/>
    <w:rsid w:val="3F8E89BE"/>
    <w:rsid w:val="3F9124B4"/>
    <w:rsid w:val="3FB7452A"/>
    <w:rsid w:val="3FD1428B"/>
    <w:rsid w:val="3FD197ED"/>
    <w:rsid w:val="3FE36FA1"/>
    <w:rsid w:val="3FF238EB"/>
    <w:rsid w:val="405537A4"/>
    <w:rsid w:val="409A795A"/>
    <w:rsid w:val="40D82077"/>
    <w:rsid w:val="40DB4A97"/>
    <w:rsid w:val="40F38EC3"/>
    <w:rsid w:val="41259A66"/>
    <w:rsid w:val="4131A996"/>
    <w:rsid w:val="4178119C"/>
    <w:rsid w:val="418C43F2"/>
    <w:rsid w:val="418D522F"/>
    <w:rsid w:val="4197F82E"/>
    <w:rsid w:val="41BF4C76"/>
    <w:rsid w:val="41CEF80D"/>
    <w:rsid w:val="41D261F1"/>
    <w:rsid w:val="41D9B704"/>
    <w:rsid w:val="41DD45A0"/>
    <w:rsid w:val="421E7D9A"/>
    <w:rsid w:val="422EF83E"/>
    <w:rsid w:val="4257BC4C"/>
    <w:rsid w:val="42597D7F"/>
    <w:rsid w:val="4262779C"/>
    <w:rsid w:val="4264110D"/>
    <w:rsid w:val="4280481D"/>
    <w:rsid w:val="4291B5D8"/>
    <w:rsid w:val="4296FAC0"/>
    <w:rsid w:val="42A29159"/>
    <w:rsid w:val="42AC078B"/>
    <w:rsid w:val="42AD5957"/>
    <w:rsid w:val="42B6A713"/>
    <w:rsid w:val="42CB62AC"/>
    <w:rsid w:val="42CD79F7"/>
    <w:rsid w:val="42F77B03"/>
    <w:rsid w:val="43014BEC"/>
    <w:rsid w:val="43043953"/>
    <w:rsid w:val="43049398"/>
    <w:rsid w:val="430755B2"/>
    <w:rsid w:val="430E5C80"/>
    <w:rsid w:val="431174C7"/>
    <w:rsid w:val="43211065"/>
    <w:rsid w:val="43610C45"/>
    <w:rsid w:val="43758765"/>
    <w:rsid w:val="437A64C3"/>
    <w:rsid w:val="4380764A"/>
    <w:rsid w:val="4380A75F"/>
    <w:rsid w:val="43978763"/>
    <w:rsid w:val="43A0B5A6"/>
    <w:rsid w:val="43CE42C7"/>
    <w:rsid w:val="43D81073"/>
    <w:rsid w:val="43DD5D78"/>
    <w:rsid w:val="43E61316"/>
    <w:rsid w:val="43F7A512"/>
    <w:rsid w:val="43FFAC96"/>
    <w:rsid w:val="4400F198"/>
    <w:rsid w:val="44087385"/>
    <w:rsid w:val="44139037"/>
    <w:rsid w:val="44172A07"/>
    <w:rsid w:val="443604C7"/>
    <w:rsid w:val="44435075"/>
    <w:rsid w:val="44459E76"/>
    <w:rsid w:val="44511A4A"/>
    <w:rsid w:val="448F97B5"/>
    <w:rsid w:val="44AF2675"/>
    <w:rsid w:val="44B63903"/>
    <w:rsid w:val="44B8FDC8"/>
    <w:rsid w:val="44DB0160"/>
    <w:rsid w:val="44DD4D34"/>
    <w:rsid w:val="44EE5CAE"/>
    <w:rsid w:val="44FC14D6"/>
    <w:rsid w:val="44FE2F61"/>
    <w:rsid w:val="45050DD9"/>
    <w:rsid w:val="451157C6"/>
    <w:rsid w:val="451D415B"/>
    <w:rsid w:val="45295F07"/>
    <w:rsid w:val="4538F9A7"/>
    <w:rsid w:val="4544B64B"/>
    <w:rsid w:val="4555B0DF"/>
    <w:rsid w:val="455AB61C"/>
    <w:rsid w:val="45711201"/>
    <w:rsid w:val="457C6D17"/>
    <w:rsid w:val="459A5DE7"/>
    <w:rsid w:val="45A3E6D7"/>
    <w:rsid w:val="45A571B7"/>
    <w:rsid w:val="45BF65FC"/>
    <w:rsid w:val="45C1FAA3"/>
    <w:rsid w:val="45C4AFFB"/>
    <w:rsid w:val="45CE14B6"/>
    <w:rsid w:val="45D41690"/>
    <w:rsid w:val="45F0352C"/>
    <w:rsid w:val="45F2BC1C"/>
    <w:rsid w:val="45FE5D1E"/>
    <w:rsid w:val="460B21E0"/>
    <w:rsid w:val="4614EE1B"/>
    <w:rsid w:val="46211A62"/>
    <w:rsid w:val="463271BE"/>
    <w:rsid w:val="46526106"/>
    <w:rsid w:val="46599DD0"/>
    <w:rsid w:val="465C72A3"/>
    <w:rsid w:val="4668802C"/>
    <w:rsid w:val="466DE331"/>
    <w:rsid w:val="46B911BC"/>
    <w:rsid w:val="46C234D1"/>
    <w:rsid w:val="46CA6803"/>
    <w:rsid w:val="46E663BD"/>
    <w:rsid w:val="46F8994E"/>
    <w:rsid w:val="46FE55F8"/>
    <w:rsid w:val="46FF2AFD"/>
    <w:rsid w:val="47380640"/>
    <w:rsid w:val="4744E25B"/>
    <w:rsid w:val="47510EEE"/>
    <w:rsid w:val="475E572F"/>
    <w:rsid w:val="4767BB3F"/>
    <w:rsid w:val="47689066"/>
    <w:rsid w:val="4769E90A"/>
    <w:rsid w:val="4791BA92"/>
    <w:rsid w:val="47AE61B7"/>
    <w:rsid w:val="47AE9373"/>
    <w:rsid w:val="47CBFAF6"/>
    <w:rsid w:val="47E4ACD7"/>
    <w:rsid w:val="47E592E7"/>
    <w:rsid w:val="47ECBD45"/>
    <w:rsid w:val="48008987"/>
    <w:rsid w:val="4800DE57"/>
    <w:rsid w:val="48024223"/>
    <w:rsid w:val="483DC1D5"/>
    <w:rsid w:val="484FC1B6"/>
    <w:rsid w:val="48590867"/>
    <w:rsid w:val="485F7E35"/>
    <w:rsid w:val="486A902E"/>
    <w:rsid w:val="4874FAF1"/>
    <w:rsid w:val="4890AC3B"/>
    <w:rsid w:val="489620A5"/>
    <w:rsid w:val="4899D089"/>
    <w:rsid w:val="48A0AFD0"/>
    <w:rsid w:val="48B2206A"/>
    <w:rsid w:val="48BCE42A"/>
    <w:rsid w:val="48D8E646"/>
    <w:rsid w:val="4903759B"/>
    <w:rsid w:val="4911D2DD"/>
    <w:rsid w:val="491FEB30"/>
    <w:rsid w:val="492A1F7B"/>
    <w:rsid w:val="4932CB1F"/>
    <w:rsid w:val="495710F5"/>
    <w:rsid w:val="498F7E97"/>
    <w:rsid w:val="499E8FEB"/>
    <w:rsid w:val="49A6DD3F"/>
    <w:rsid w:val="49D55928"/>
    <w:rsid w:val="49D5E5E9"/>
    <w:rsid w:val="49DD9369"/>
    <w:rsid w:val="49E340E5"/>
    <w:rsid w:val="49E4C8E9"/>
    <w:rsid w:val="49EC3ADF"/>
    <w:rsid w:val="49F2D5C9"/>
    <w:rsid w:val="4A0260F6"/>
    <w:rsid w:val="4A175F96"/>
    <w:rsid w:val="4A21A2CB"/>
    <w:rsid w:val="4A2F67CA"/>
    <w:rsid w:val="4A305EAC"/>
    <w:rsid w:val="4A373A4E"/>
    <w:rsid w:val="4A48D6D9"/>
    <w:rsid w:val="4A74793E"/>
    <w:rsid w:val="4A76E4A9"/>
    <w:rsid w:val="4A9EC29B"/>
    <w:rsid w:val="4A9FA8DE"/>
    <w:rsid w:val="4AB2E548"/>
    <w:rsid w:val="4ABC5631"/>
    <w:rsid w:val="4AD0CF1E"/>
    <w:rsid w:val="4AE07CB6"/>
    <w:rsid w:val="4AE2CA42"/>
    <w:rsid w:val="4AE885E4"/>
    <w:rsid w:val="4B007673"/>
    <w:rsid w:val="4B04E97D"/>
    <w:rsid w:val="4B152B97"/>
    <w:rsid w:val="4B25F27F"/>
    <w:rsid w:val="4B2B64C1"/>
    <w:rsid w:val="4B33B508"/>
    <w:rsid w:val="4B35A929"/>
    <w:rsid w:val="4B3C93E2"/>
    <w:rsid w:val="4B52F801"/>
    <w:rsid w:val="4B69F995"/>
    <w:rsid w:val="4B988322"/>
    <w:rsid w:val="4BB5DFEE"/>
    <w:rsid w:val="4BC5FBD8"/>
    <w:rsid w:val="4BEB8F53"/>
    <w:rsid w:val="4BEFAB33"/>
    <w:rsid w:val="4BF055F4"/>
    <w:rsid w:val="4C03886A"/>
    <w:rsid w:val="4C0E1147"/>
    <w:rsid w:val="4C431175"/>
    <w:rsid w:val="4C767B1A"/>
    <w:rsid w:val="4C784A07"/>
    <w:rsid w:val="4C7C778D"/>
    <w:rsid w:val="4C882F85"/>
    <w:rsid w:val="4C8FE848"/>
    <w:rsid w:val="4CBEF5D9"/>
    <w:rsid w:val="4CC02E68"/>
    <w:rsid w:val="4CC3D81B"/>
    <w:rsid w:val="4CCABE90"/>
    <w:rsid w:val="4CEC2F93"/>
    <w:rsid w:val="4CF44424"/>
    <w:rsid w:val="4CFB7299"/>
    <w:rsid w:val="4D10591C"/>
    <w:rsid w:val="4D1C69AB"/>
    <w:rsid w:val="4D220510"/>
    <w:rsid w:val="4D245281"/>
    <w:rsid w:val="4D245731"/>
    <w:rsid w:val="4D44CFF1"/>
    <w:rsid w:val="4D474A3F"/>
    <w:rsid w:val="4D4F19BF"/>
    <w:rsid w:val="4D540577"/>
    <w:rsid w:val="4D5DB4A9"/>
    <w:rsid w:val="4D6264C7"/>
    <w:rsid w:val="4D70B822"/>
    <w:rsid w:val="4D764DBC"/>
    <w:rsid w:val="4D8640F5"/>
    <w:rsid w:val="4D8F78CC"/>
    <w:rsid w:val="4DA2670D"/>
    <w:rsid w:val="4DB216DA"/>
    <w:rsid w:val="4DD91AFC"/>
    <w:rsid w:val="4DFF419A"/>
    <w:rsid w:val="4DFF6201"/>
    <w:rsid w:val="4E11C61B"/>
    <w:rsid w:val="4E1C4809"/>
    <w:rsid w:val="4E1D81AF"/>
    <w:rsid w:val="4E28154B"/>
    <w:rsid w:val="4E281FCF"/>
    <w:rsid w:val="4E38D18E"/>
    <w:rsid w:val="4E6EC88F"/>
    <w:rsid w:val="4E7D7858"/>
    <w:rsid w:val="4E84ED20"/>
    <w:rsid w:val="4E9B3A5A"/>
    <w:rsid w:val="4EAC591D"/>
    <w:rsid w:val="4EB97D93"/>
    <w:rsid w:val="4F05C2DE"/>
    <w:rsid w:val="4F2B0FDB"/>
    <w:rsid w:val="4F2EDC95"/>
    <w:rsid w:val="4F34885C"/>
    <w:rsid w:val="4F5BEB13"/>
    <w:rsid w:val="4F7EA18F"/>
    <w:rsid w:val="4F857517"/>
    <w:rsid w:val="4F882277"/>
    <w:rsid w:val="4F8C1707"/>
    <w:rsid w:val="4F8F2A65"/>
    <w:rsid w:val="4F906876"/>
    <w:rsid w:val="4F908010"/>
    <w:rsid w:val="4F998445"/>
    <w:rsid w:val="4FB17439"/>
    <w:rsid w:val="4FBBF0E6"/>
    <w:rsid w:val="4FC6E304"/>
    <w:rsid w:val="4FD4B34A"/>
    <w:rsid w:val="4FD985DD"/>
    <w:rsid w:val="4FDCE2A7"/>
    <w:rsid w:val="4FE53120"/>
    <w:rsid w:val="4FF0E529"/>
    <w:rsid w:val="50080612"/>
    <w:rsid w:val="50105E4F"/>
    <w:rsid w:val="5013BD23"/>
    <w:rsid w:val="5023E86B"/>
    <w:rsid w:val="502FAB70"/>
    <w:rsid w:val="50301345"/>
    <w:rsid w:val="503EA5AD"/>
    <w:rsid w:val="506D8988"/>
    <w:rsid w:val="50701A57"/>
    <w:rsid w:val="5091EF4A"/>
    <w:rsid w:val="50A1589D"/>
    <w:rsid w:val="50A44BE1"/>
    <w:rsid w:val="50AB6EA4"/>
    <w:rsid w:val="50C55DF7"/>
    <w:rsid w:val="50DFFA33"/>
    <w:rsid w:val="50E3A8FE"/>
    <w:rsid w:val="50F10871"/>
    <w:rsid w:val="510052FD"/>
    <w:rsid w:val="51126ECB"/>
    <w:rsid w:val="512D60E3"/>
    <w:rsid w:val="5133A549"/>
    <w:rsid w:val="5148316B"/>
    <w:rsid w:val="51678569"/>
    <w:rsid w:val="51828079"/>
    <w:rsid w:val="518B29E2"/>
    <w:rsid w:val="51B5EBDD"/>
    <w:rsid w:val="51B6F983"/>
    <w:rsid w:val="51B9E595"/>
    <w:rsid w:val="51DD5BD7"/>
    <w:rsid w:val="51DEA446"/>
    <w:rsid w:val="5201B86D"/>
    <w:rsid w:val="520598E8"/>
    <w:rsid w:val="52095B49"/>
    <w:rsid w:val="520E5776"/>
    <w:rsid w:val="520F65DE"/>
    <w:rsid w:val="52193EFF"/>
    <w:rsid w:val="521FC2C6"/>
    <w:rsid w:val="5222C108"/>
    <w:rsid w:val="52252F5F"/>
    <w:rsid w:val="52256F74"/>
    <w:rsid w:val="523C0552"/>
    <w:rsid w:val="523D9359"/>
    <w:rsid w:val="524434CD"/>
    <w:rsid w:val="52578046"/>
    <w:rsid w:val="525DEE0A"/>
    <w:rsid w:val="52649587"/>
    <w:rsid w:val="52814FDF"/>
    <w:rsid w:val="5291E27F"/>
    <w:rsid w:val="52B0EB4F"/>
    <w:rsid w:val="52B9992B"/>
    <w:rsid w:val="52BFE8E4"/>
    <w:rsid w:val="52C0A2FD"/>
    <w:rsid w:val="52C42569"/>
    <w:rsid w:val="52ECA033"/>
    <w:rsid w:val="531D1093"/>
    <w:rsid w:val="532D4127"/>
    <w:rsid w:val="5333B22A"/>
    <w:rsid w:val="5348BADB"/>
    <w:rsid w:val="534B8F47"/>
    <w:rsid w:val="535635AC"/>
    <w:rsid w:val="536AD452"/>
    <w:rsid w:val="537712D2"/>
    <w:rsid w:val="53792C38"/>
    <w:rsid w:val="537E6604"/>
    <w:rsid w:val="537F38B3"/>
    <w:rsid w:val="53A5106E"/>
    <w:rsid w:val="53AC0E6C"/>
    <w:rsid w:val="53EB10B7"/>
    <w:rsid w:val="53F3D4B7"/>
    <w:rsid w:val="53F7A0BB"/>
    <w:rsid w:val="540C798D"/>
    <w:rsid w:val="5411E94E"/>
    <w:rsid w:val="541D4EB5"/>
    <w:rsid w:val="541D4F6C"/>
    <w:rsid w:val="5426D917"/>
    <w:rsid w:val="542BD679"/>
    <w:rsid w:val="54302FF2"/>
    <w:rsid w:val="5464101E"/>
    <w:rsid w:val="54657741"/>
    <w:rsid w:val="5477012F"/>
    <w:rsid w:val="547CB110"/>
    <w:rsid w:val="54A39C85"/>
    <w:rsid w:val="54B09CE8"/>
    <w:rsid w:val="54B6D7A7"/>
    <w:rsid w:val="54BE2747"/>
    <w:rsid w:val="54FC9CCF"/>
    <w:rsid w:val="55111CCC"/>
    <w:rsid w:val="55164508"/>
    <w:rsid w:val="5547616A"/>
    <w:rsid w:val="5559F093"/>
    <w:rsid w:val="556843B6"/>
    <w:rsid w:val="55798961"/>
    <w:rsid w:val="55BDD6FC"/>
    <w:rsid w:val="55C47994"/>
    <w:rsid w:val="55CA349C"/>
    <w:rsid w:val="55EC62B6"/>
    <w:rsid w:val="55FD52BA"/>
    <w:rsid w:val="5600D206"/>
    <w:rsid w:val="560C8CAB"/>
    <w:rsid w:val="561D3C1C"/>
    <w:rsid w:val="562AFAF4"/>
    <w:rsid w:val="5658CA91"/>
    <w:rsid w:val="566A72FB"/>
    <w:rsid w:val="56713283"/>
    <w:rsid w:val="5675D9A7"/>
    <w:rsid w:val="56788B44"/>
    <w:rsid w:val="56793D48"/>
    <w:rsid w:val="5680378D"/>
    <w:rsid w:val="5693D3B6"/>
    <w:rsid w:val="569B2D59"/>
    <w:rsid w:val="56AD1E0F"/>
    <w:rsid w:val="56BF982C"/>
    <w:rsid w:val="56D436BB"/>
    <w:rsid w:val="57198D9A"/>
    <w:rsid w:val="574A54FE"/>
    <w:rsid w:val="576008FF"/>
    <w:rsid w:val="5769A2BF"/>
    <w:rsid w:val="577DBAEE"/>
    <w:rsid w:val="57957F2A"/>
    <w:rsid w:val="57A18888"/>
    <w:rsid w:val="57B62533"/>
    <w:rsid w:val="57BEFFBE"/>
    <w:rsid w:val="57DCD0E9"/>
    <w:rsid w:val="57E5E551"/>
    <w:rsid w:val="57F1B39D"/>
    <w:rsid w:val="57F98504"/>
    <w:rsid w:val="57FCB079"/>
    <w:rsid w:val="5826B234"/>
    <w:rsid w:val="582A4EDA"/>
    <w:rsid w:val="583ED141"/>
    <w:rsid w:val="585528EB"/>
    <w:rsid w:val="586E3381"/>
    <w:rsid w:val="58711081"/>
    <w:rsid w:val="5881D0E3"/>
    <w:rsid w:val="58901E5F"/>
    <w:rsid w:val="5891224B"/>
    <w:rsid w:val="58AA85FC"/>
    <w:rsid w:val="58BE0C90"/>
    <w:rsid w:val="58CAE539"/>
    <w:rsid w:val="58CB11DE"/>
    <w:rsid w:val="58D15207"/>
    <w:rsid w:val="58DBDBC5"/>
    <w:rsid w:val="58FC1A56"/>
    <w:rsid w:val="590B6CC5"/>
    <w:rsid w:val="59107F6D"/>
    <w:rsid w:val="5915D134"/>
    <w:rsid w:val="5919EF36"/>
    <w:rsid w:val="5924EAEE"/>
    <w:rsid w:val="59301D98"/>
    <w:rsid w:val="59308CEF"/>
    <w:rsid w:val="5945AF00"/>
    <w:rsid w:val="594D4543"/>
    <w:rsid w:val="5965B08A"/>
    <w:rsid w:val="598FD7C0"/>
    <w:rsid w:val="599A6215"/>
    <w:rsid w:val="599D196D"/>
    <w:rsid w:val="59A3B7EE"/>
    <w:rsid w:val="59A49423"/>
    <w:rsid w:val="59AAAF08"/>
    <w:rsid w:val="59D3C53D"/>
    <w:rsid w:val="59E58056"/>
    <w:rsid w:val="59E86DBC"/>
    <w:rsid w:val="59FA5FB7"/>
    <w:rsid w:val="5A31C322"/>
    <w:rsid w:val="5A357116"/>
    <w:rsid w:val="5A3848B8"/>
    <w:rsid w:val="5A5B947D"/>
    <w:rsid w:val="5A5F4F68"/>
    <w:rsid w:val="5A7E4AF6"/>
    <w:rsid w:val="5A8B7A62"/>
    <w:rsid w:val="5AAE5472"/>
    <w:rsid w:val="5AD53189"/>
    <w:rsid w:val="5AFC5422"/>
    <w:rsid w:val="5B0B0FDA"/>
    <w:rsid w:val="5B1762B1"/>
    <w:rsid w:val="5B2E5CBD"/>
    <w:rsid w:val="5B3D0D99"/>
    <w:rsid w:val="5B6E7F73"/>
    <w:rsid w:val="5B715718"/>
    <w:rsid w:val="5B874DFC"/>
    <w:rsid w:val="5B99B086"/>
    <w:rsid w:val="5BA59E5A"/>
    <w:rsid w:val="5BB7CBA8"/>
    <w:rsid w:val="5BC4DB0B"/>
    <w:rsid w:val="5BD2697B"/>
    <w:rsid w:val="5BE19A82"/>
    <w:rsid w:val="5BE72194"/>
    <w:rsid w:val="5C1EF612"/>
    <w:rsid w:val="5C2145BE"/>
    <w:rsid w:val="5C2B2AC3"/>
    <w:rsid w:val="5C3A7096"/>
    <w:rsid w:val="5C3D3195"/>
    <w:rsid w:val="5C489EF8"/>
    <w:rsid w:val="5C4E5C92"/>
    <w:rsid w:val="5C4EE86F"/>
    <w:rsid w:val="5C5D9CED"/>
    <w:rsid w:val="5C6A1B77"/>
    <w:rsid w:val="5C70321C"/>
    <w:rsid w:val="5C9A9239"/>
    <w:rsid w:val="5CB3ADC9"/>
    <w:rsid w:val="5D018FEF"/>
    <w:rsid w:val="5D0EF34C"/>
    <w:rsid w:val="5D1761A1"/>
    <w:rsid w:val="5D1F6947"/>
    <w:rsid w:val="5D326FA5"/>
    <w:rsid w:val="5D334864"/>
    <w:rsid w:val="5D3A31FF"/>
    <w:rsid w:val="5D3A7AFB"/>
    <w:rsid w:val="5D4AA485"/>
    <w:rsid w:val="5D4F4BCA"/>
    <w:rsid w:val="5D50BEAB"/>
    <w:rsid w:val="5D64B930"/>
    <w:rsid w:val="5D67C7F0"/>
    <w:rsid w:val="5D6AC468"/>
    <w:rsid w:val="5D7BFB85"/>
    <w:rsid w:val="5D865084"/>
    <w:rsid w:val="5DAFDD98"/>
    <w:rsid w:val="5DB6631C"/>
    <w:rsid w:val="5DBD161F"/>
    <w:rsid w:val="5DC4B500"/>
    <w:rsid w:val="5DD0C453"/>
    <w:rsid w:val="5DDFBDAF"/>
    <w:rsid w:val="5DE0CBCB"/>
    <w:rsid w:val="5DF18F20"/>
    <w:rsid w:val="5DF59539"/>
    <w:rsid w:val="5E07B606"/>
    <w:rsid w:val="5E1EC8D0"/>
    <w:rsid w:val="5E20073E"/>
    <w:rsid w:val="5E22EF57"/>
    <w:rsid w:val="5E465109"/>
    <w:rsid w:val="5E4BD4ED"/>
    <w:rsid w:val="5E57185F"/>
    <w:rsid w:val="5E607C0C"/>
    <w:rsid w:val="5E84E944"/>
    <w:rsid w:val="5E9245F4"/>
    <w:rsid w:val="5EC7073A"/>
    <w:rsid w:val="5ED11EB3"/>
    <w:rsid w:val="5EFAB010"/>
    <w:rsid w:val="5F24F418"/>
    <w:rsid w:val="5F3DD5F0"/>
    <w:rsid w:val="5F3F94B8"/>
    <w:rsid w:val="5F41B065"/>
    <w:rsid w:val="5F547E0A"/>
    <w:rsid w:val="5F5E1D58"/>
    <w:rsid w:val="5F9787F6"/>
    <w:rsid w:val="5FA81693"/>
    <w:rsid w:val="5FACC4A7"/>
    <w:rsid w:val="5FD472E7"/>
    <w:rsid w:val="5FE948C4"/>
    <w:rsid w:val="5FF30C79"/>
    <w:rsid w:val="5FFA4665"/>
    <w:rsid w:val="60333ABF"/>
    <w:rsid w:val="60431059"/>
    <w:rsid w:val="6086B6EA"/>
    <w:rsid w:val="60A18203"/>
    <w:rsid w:val="60A4AC39"/>
    <w:rsid w:val="60ACFA07"/>
    <w:rsid w:val="60E0F6EC"/>
    <w:rsid w:val="60F7881F"/>
    <w:rsid w:val="610A879B"/>
    <w:rsid w:val="611A6AA4"/>
    <w:rsid w:val="611C605D"/>
    <w:rsid w:val="612CD3AF"/>
    <w:rsid w:val="6133DE49"/>
    <w:rsid w:val="61406058"/>
    <w:rsid w:val="6159EA38"/>
    <w:rsid w:val="618F3A32"/>
    <w:rsid w:val="6199D8F2"/>
    <w:rsid w:val="61CBA806"/>
    <w:rsid w:val="61CC4D73"/>
    <w:rsid w:val="61CD58B8"/>
    <w:rsid w:val="61DA58B5"/>
    <w:rsid w:val="61F2FE66"/>
    <w:rsid w:val="62063601"/>
    <w:rsid w:val="620C8E90"/>
    <w:rsid w:val="622D81BD"/>
    <w:rsid w:val="62309079"/>
    <w:rsid w:val="62330F0D"/>
    <w:rsid w:val="623AA83F"/>
    <w:rsid w:val="623F7825"/>
    <w:rsid w:val="624A0AAB"/>
    <w:rsid w:val="626BD916"/>
    <w:rsid w:val="6273145A"/>
    <w:rsid w:val="6284B050"/>
    <w:rsid w:val="628C3DBD"/>
    <w:rsid w:val="62A61C68"/>
    <w:rsid w:val="62A67E3F"/>
    <w:rsid w:val="62AFC9F8"/>
    <w:rsid w:val="62B19171"/>
    <w:rsid w:val="6301CA16"/>
    <w:rsid w:val="6315ED97"/>
    <w:rsid w:val="632906E7"/>
    <w:rsid w:val="63314BCC"/>
    <w:rsid w:val="63323E9F"/>
    <w:rsid w:val="63369C8D"/>
    <w:rsid w:val="6341EDC4"/>
    <w:rsid w:val="634383CC"/>
    <w:rsid w:val="63504B17"/>
    <w:rsid w:val="6365B717"/>
    <w:rsid w:val="63844A35"/>
    <w:rsid w:val="63A385A9"/>
    <w:rsid w:val="63A97383"/>
    <w:rsid w:val="63BB825D"/>
    <w:rsid w:val="63FAE80A"/>
    <w:rsid w:val="64095080"/>
    <w:rsid w:val="641B9B10"/>
    <w:rsid w:val="642B2B40"/>
    <w:rsid w:val="64338061"/>
    <w:rsid w:val="643DE3DB"/>
    <w:rsid w:val="644B8EEA"/>
    <w:rsid w:val="6473F719"/>
    <w:rsid w:val="647E33EA"/>
    <w:rsid w:val="6491A4FA"/>
    <w:rsid w:val="649E8555"/>
    <w:rsid w:val="64A54DE4"/>
    <w:rsid w:val="64AC75E8"/>
    <w:rsid w:val="64ACBEB5"/>
    <w:rsid w:val="64D9E17C"/>
    <w:rsid w:val="64DB9E4B"/>
    <w:rsid w:val="650FB65E"/>
    <w:rsid w:val="6530046B"/>
    <w:rsid w:val="65388E3C"/>
    <w:rsid w:val="6549F2AB"/>
    <w:rsid w:val="655F0E98"/>
    <w:rsid w:val="655FD06D"/>
    <w:rsid w:val="656BC353"/>
    <w:rsid w:val="6570447B"/>
    <w:rsid w:val="65756248"/>
    <w:rsid w:val="6591DED1"/>
    <w:rsid w:val="6599DB54"/>
    <w:rsid w:val="65A3DC00"/>
    <w:rsid w:val="65AA5ED0"/>
    <w:rsid w:val="65B0DC7B"/>
    <w:rsid w:val="65B30FC4"/>
    <w:rsid w:val="65C36BD6"/>
    <w:rsid w:val="65D6CBB6"/>
    <w:rsid w:val="65D74A0A"/>
    <w:rsid w:val="65EECC92"/>
    <w:rsid w:val="65FC7B94"/>
    <w:rsid w:val="6613E295"/>
    <w:rsid w:val="66484649"/>
    <w:rsid w:val="665D3F14"/>
    <w:rsid w:val="665FD572"/>
    <w:rsid w:val="6664610D"/>
    <w:rsid w:val="66674150"/>
    <w:rsid w:val="66726AD9"/>
    <w:rsid w:val="668BD7D1"/>
    <w:rsid w:val="668C6923"/>
    <w:rsid w:val="669AAED1"/>
    <w:rsid w:val="669DE097"/>
    <w:rsid w:val="66C5958A"/>
    <w:rsid w:val="66ED6419"/>
    <w:rsid w:val="66F7F6B0"/>
    <w:rsid w:val="67216D5D"/>
    <w:rsid w:val="6722616A"/>
    <w:rsid w:val="67341AD8"/>
    <w:rsid w:val="6739170B"/>
    <w:rsid w:val="6739C83C"/>
    <w:rsid w:val="6741239F"/>
    <w:rsid w:val="674124DD"/>
    <w:rsid w:val="675A80CF"/>
    <w:rsid w:val="675CD1CD"/>
    <w:rsid w:val="676BE5EB"/>
    <w:rsid w:val="678F6DD1"/>
    <w:rsid w:val="67984BF5"/>
    <w:rsid w:val="67B46115"/>
    <w:rsid w:val="67E416AA"/>
    <w:rsid w:val="67F36702"/>
    <w:rsid w:val="67F68071"/>
    <w:rsid w:val="67FB588C"/>
    <w:rsid w:val="6825599D"/>
    <w:rsid w:val="68264FF8"/>
    <w:rsid w:val="682A9FAA"/>
    <w:rsid w:val="682D2BD2"/>
    <w:rsid w:val="68306905"/>
    <w:rsid w:val="68408DE1"/>
    <w:rsid w:val="6843BAA6"/>
    <w:rsid w:val="686E708E"/>
    <w:rsid w:val="689EBACF"/>
    <w:rsid w:val="68A58F28"/>
    <w:rsid w:val="68CD9A35"/>
    <w:rsid w:val="68E1072C"/>
    <w:rsid w:val="68E25DAD"/>
    <w:rsid w:val="68F3861D"/>
    <w:rsid w:val="68FC5557"/>
    <w:rsid w:val="69068639"/>
    <w:rsid w:val="69341C56"/>
    <w:rsid w:val="693EA42A"/>
    <w:rsid w:val="69417A70"/>
    <w:rsid w:val="694A68AD"/>
    <w:rsid w:val="698EA7A5"/>
    <w:rsid w:val="69A44BED"/>
    <w:rsid w:val="69A87229"/>
    <w:rsid w:val="69AB6DC8"/>
    <w:rsid w:val="69E65789"/>
    <w:rsid w:val="69E92022"/>
    <w:rsid w:val="69EF5A86"/>
    <w:rsid w:val="6A21146C"/>
    <w:rsid w:val="6A321592"/>
    <w:rsid w:val="6A61441D"/>
    <w:rsid w:val="6A69AD93"/>
    <w:rsid w:val="6A776FD5"/>
    <w:rsid w:val="6A8F2733"/>
    <w:rsid w:val="6AA47A3F"/>
    <w:rsid w:val="6AB3B6F9"/>
    <w:rsid w:val="6AC2165A"/>
    <w:rsid w:val="6ACCF85A"/>
    <w:rsid w:val="6ACD10B1"/>
    <w:rsid w:val="6AD69FE8"/>
    <w:rsid w:val="6AE18457"/>
    <w:rsid w:val="6AE39EF1"/>
    <w:rsid w:val="6AF39899"/>
    <w:rsid w:val="6AFA2443"/>
    <w:rsid w:val="6B03FDF8"/>
    <w:rsid w:val="6B047BF9"/>
    <w:rsid w:val="6B130CFE"/>
    <w:rsid w:val="6B143B31"/>
    <w:rsid w:val="6B1C6D05"/>
    <w:rsid w:val="6B2D79CB"/>
    <w:rsid w:val="6B37BE6A"/>
    <w:rsid w:val="6B54A0AF"/>
    <w:rsid w:val="6B6048A2"/>
    <w:rsid w:val="6B63ECEA"/>
    <w:rsid w:val="6B7B5B68"/>
    <w:rsid w:val="6BA137A8"/>
    <w:rsid w:val="6BAD2696"/>
    <w:rsid w:val="6BB48568"/>
    <w:rsid w:val="6BB83DA5"/>
    <w:rsid w:val="6BC5BBE6"/>
    <w:rsid w:val="6BDB7849"/>
    <w:rsid w:val="6BEF3BEE"/>
    <w:rsid w:val="6BF2A5E3"/>
    <w:rsid w:val="6BF9254B"/>
    <w:rsid w:val="6BFB0359"/>
    <w:rsid w:val="6C055186"/>
    <w:rsid w:val="6C2C188A"/>
    <w:rsid w:val="6C322546"/>
    <w:rsid w:val="6C3BB396"/>
    <w:rsid w:val="6C5D7289"/>
    <w:rsid w:val="6C5F92A2"/>
    <w:rsid w:val="6C607240"/>
    <w:rsid w:val="6C62CB8C"/>
    <w:rsid w:val="6C672367"/>
    <w:rsid w:val="6C9E38FA"/>
    <w:rsid w:val="6CD4E8CA"/>
    <w:rsid w:val="6CE04D93"/>
    <w:rsid w:val="6CEE1F0E"/>
    <w:rsid w:val="6D0E100D"/>
    <w:rsid w:val="6D1E6EDE"/>
    <w:rsid w:val="6D421D7E"/>
    <w:rsid w:val="6D4BBFB1"/>
    <w:rsid w:val="6D7C2529"/>
    <w:rsid w:val="6D9E08E1"/>
    <w:rsid w:val="6D9F844B"/>
    <w:rsid w:val="6DA4E07A"/>
    <w:rsid w:val="6DCF0B04"/>
    <w:rsid w:val="6DCF61C4"/>
    <w:rsid w:val="6E009B77"/>
    <w:rsid w:val="6E0E4C30"/>
    <w:rsid w:val="6E2B395B"/>
    <w:rsid w:val="6E5BBCFD"/>
    <w:rsid w:val="6E955A0F"/>
    <w:rsid w:val="6EC0229B"/>
    <w:rsid w:val="6EC2A05D"/>
    <w:rsid w:val="6EC5AC1D"/>
    <w:rsid w:val="6EEB1685"/>
    <w:rsid w:val="6EEC262A"/>
    <w:rsid w:val="6EEF5458"/>
    <w:rsid w:val="6EF75AA7"/>
    <w:rsid w:val="6F0A9305"/>
    <w:rsid w:val="6F1311C3"/>
    <w:rsid w:val="6F293600"/>
    <w:rsid w:val="6F6B3225"/>
    <w:rsid w:val="6F71ED54"/>
    <w:rsid w:val="6F737944"/>
    <w:rsid w:val="6FAAB99D"/>
    <w:rsid w:val="6FBABFCF"/>
    <w:rsid w:val="6FD32527"/>
    <w:rsid w:val="6FDAD449"/>
    <w:rsid w:val="6FE12B47"/>
    <w:rsid w:val="6FFF2AC4"/>
    <w:rsid w:val="6FFFAD8F"/>
    <w:rsid w:val="701D1C83"/>
    <w:rsid w:val="705C63ED"/>
    <w:rsid w:val="707B944D"/>
    <w:rsid w:val="708E2652"/>
    <w:rsid w:val="708E66EF"/>
    <w:rsid w:val="7093921B"/>
    <w:rsid w:val="7096F9C9"/>
    <w:rsid w:val="709AEA0B"/>
    <w:rsid w:val="70D2DEC0"/>
    <w:rsid w:val="70DFDCF2"/>
    <w:rsid w:val="70E6623D"/>
    <w:rsid w:val="71048DC1"/>
    <w:rsid w:val="71069D3F"/>
    <w:rsid w:val="71070286"/>
    <w:rsid w:val="710FC31E"/>
    <w:rsid w:val="71178E57"/>
    <w:rsid w:val="71247C0F"/>
    <w:rsid w:val="71461129"/>
    <w:rsid w:val="71474C03"/>
    <w:rsid w:val="7167C0C4"/>
    <w:rsid w:val="716EF588"/>
    <w:rsid w:val="717393B7"/>
    <w:rsid w:val="7184910C"/>
    <w:rsid w:val="71AA6459"/>
    <w:rsid w:val="71CBF805"/>
    <w:rsid w:val="71CE7303"/>
    <w:rsid w:val="71D1748F"/>
    <w:rsid w:val="71D17CA3"/>
    <w:rsid w:val="71D1A27E"/>
    <w:rsid w:val="71D53C9D"/>
    <w:rsid w:val="71EA6188"/>
    <w:rsid w:val="720EA15B"/>
    <w:rsid w:val="7211B0F6"/>
    <w:rsid w:val="724170C2"/>
    <w:rsid w:val="72432F87"/>
    <w:rsid w:val="7257D6AF"/>
    <w:rsid w:val="7285C27A"/>
    <w:rsid w:val="728C1F5A"/>
    <w:rsid w:val="72AD89A1"/>
    <w:rsid w:val="72AF8A2C"/>
    <w:rsid w:val="72C8CAD2"/>
    <w:rsid w:val="72DA8A55"/>
    <w:rsid w:val="72E398CA"/>
    <w:rsid w:val="72E7B35C"/>
    <w:rsid w:val="72EBDA12"/>
    <w:rsid w:val="73262C6C"/>
    <w:rsid w:val="73269D7E"/>
    <w:rsid w:val="733358BF"/>
    <w:rsid w:val="733819B3"/>
    <w:rsid w:val="733CF683"/>
    <w:rsid w:val="735B28CC"/>
    <w:rsid w:val="7360A988"/>
    <w:rsid w:val="7370ABE3"/>
    <w:rsid w:val="738E27DC"/>
    <w:rsid w:val="7393A460"/>
    <w:rsid w:val="73B48998"/>
    <w:rsid w:val="73B4E514"/>
    <w:rsid w:val="73B59D0E"/>
    <w:rsid w:val="73BDED84"/>
    <w:rsid w:val="73C325CB"/>
    <w:rsid w:val="73C334A5"/>
    <w:rsid w:val="73C784D3"/>
    <w:rsid w:val="73D4B8C7"/>
    <w:rsid w:val="7423AB7F"/>
    <w:rsid w:val="7423F339"/>
    <w:rsid w:val="74295C62"/>
    <w:rsid w:val="743B70FA"/>
    <w:rsid w:val="74482FDF"/>
    <w:rsid w:val="744A68F3"/>
    <w:rsid w:val="745AB243"/>
    <w:rsid w:val="747F692B"/>
    <w:rsid w:val="748E70BC"/>
    <w:rsid w:val="74953B82"/>
    <w:rsid w:val="7498A7F9"/>
    <w:rsid w:val="749A7ADF"/>
    <w:rsid w:val="749B0DF8"/>
    <w:rsid w:val="74A36765"/>
    <w:rsid w:val="74B34510"/>
    <w:rsid w:val="74C76C30"/>
    <w:rsid w:val="74DBB47A"/>
    <w:rsid w:val="74EF7881"/>
    <w:rsid w:val="750AC56A"/>
    <w:rsid w:val="751646F7"/>
    <w:rsid w:val="75282DAC"/>
    <w:rsid w:val="7538663A"/>
    <w:rsid w:val="75409EFE"/>
    <w:rsid w:val="754698BD"/>
    <w:rsid w:val="754D2300"/>
    <w:rsid w:val="754D524F"/>
    <w:rsid w:val="75635534"/>
    <w:rsid w:val="756BB87D"/>
    <w:rsid w:val="756F0428"/>
    <w:rsid w:val="757067F7"/>
    <w:rsid w:val="75750F53"/>
    <w:rsid w:val="758AD0F8"/>
    <w:rsid w:val="75D0761B"/>
    <w:rsid w:val="75D765BD"/>
    <w:rsid w:val="75F0835A"/>
    <w:rsid w:val="75F8CAD4"/>
    <w:rsid w:val="76332F09"/>
    <w:rsid w:val="7647A4EC"/>
    <w:rsid w:val="765DD1E3"/>
    <w:rsid w:val="766457DD"/>
    <w:rsid w:val="766948A2"/>
    <w:rsid w:val="768B4434"/>
    <w:rsid w:val="76C160FB"/>
    <w:rsid w:val="76E25476"/>
    <w:rsid w:val="76EB538B"/>
    <w:rsid w:val="76ED39F4"/>
    <w:rsid w:val="7701C8DA"/>
    <w:rsid w:val="770C1577"/>
    <w:rsid w:val="771F2827"/>
    <w:rsid w:val="77651286"/>
    <w:rsid w:val="777DAEA6"/>
    <w:rsid w:val="777E28C4"/>
    <w:rsid w:val="77800990"/>
    <w:rsid w:val="7784CE45"/>
    <w:rsid w:val="77891EA8"/>
    <w:rsid w:val="778D178E"/>
    <w:rsid w:val="778E0250"/>
    <w:rsid w:val="77939134"/>
    <w:rsid w:val="77B0009C"/>
    <w:rsid w:val="77B3677C"/>
    <w:rsid w:val="77D00589"/>
    <w:rsid w:val="77E02306"/>
    <w:rsid w:val="77F07B07"/>
    <w:rsid w:val="7805D075"/>
    <w:rsid w:val="78133E89"/>
    <w:rsid w:val="78397BD5"/>
    <w:rsid w:val="783C86A8"/>
    <w:rsid w:val="7843BA95"/>
    <w:rsid w:val="784A6BBC"/>
    <w:rsid w:val="784E03C2"/>
    <w:rsid w:val="78665F08"/>
    <w:rsid w:val="7877CC5F"/>
    <w:rsid w:val="787BE802"/>
    <w:rsid w:val="788D16D0"/>
    <w:rsid w:val="78945371"/>
    <w:rsid w:val="78F13A5A"/>
    <w:rsid w:val="78F2F8BC"/>
    <w:rsid w:val="78FFCADC"/>
    <w:rsid w:val="790FE8EC"/>
    <w:rsid w:val="791D20F0"/>
    <w:rsid w:val="79327028"/>
    <w:rsid w:val="79483BED"/>
    <w:rsid w:val="79593FDE"/>
    <w:rsid w:val="796DEC02"/>
    <w:rsid w:val="796F4357"/>
    <w:rsid w:val="797839C1"/>
    <w:rsid w:val="7987B9FC"/>
    <w:rsid w:val="7990E21D"/>
    <w:rsid w:val="79A1FD42"/>
    <w:rsid w:val="79B2738E"/>
    <w:rsid w:val="79BCBC8C"/>
    <w:rsid w:val="79C0B135"/>
    <w:rsid w:val="79C38664"/>
    <w:rsid w:val="79CC04E8"/>
    <w:rsid w:val="79D009E0"/>
    <w:rsid w:val="79D1EAA4"/>
    <w:rsid w:val="79D42AB5"/>
    <w:rsid w:val="79E3FA91"/>
    <w:rsid w:val="79F0C5B5"/>
    <w:rsid w:val="7A04AB75"/>
    <w:rsid w:val="7A11542A"/>
    <w:rsid w:val="7A166841"/>
    <w:rsid w:val="7A16B37B"/>
    <w:rsid w:val="7A2828FA"/>
    <w:rsid w:val="7A36C657"/>
    <w:rsid w:val="7A5A02CC"/>
    <w:rsid w:val="7A7637EB"/>
    <w:rsid w:val="7A98C703"/>
    <w:rsid w:val="7ACEF8FE"/>
    <w:rsid w:val="7AD88E3D"/>
    <w:rsid w:val="7AE7D318"/>
    <w:rsid w:val="7B23072A"/>
    <w:rsid w:val="7B2B965C"/>
    <w:rsid w:val="7B375F94"/>
    <w:rsid w:val="7B519C6A"/>
    <w:rsid w:val="7B5985CB"/>
    <w:rsid w:val="7B7E4A42"/>
    <w:rsid w:val="7B8D384C"/>
    <w:rsid w:val="7BC8A7A1"/>
    <w:rsid w:val="7BD8D492"/>
    <w:rsid w:val="7BDB5C7C"/>
    <w:rsid w:val="7BE36FC6"/>
    <w:rsid w:val="7BF5375F"/>
    <w:rsid w:val="7BFB49AF"/>
    <w:rsid w:val="7C041C8F"/>
    <w:rsid w:val="7C0C2F93"/>
    <w:rsid w:val="7C29B7BB"/>
    <w:rsid w:val="7C5099F6"/>
    <w:rsid w:val="7C5871B8"/>
    <w:rsid w:val="7C66F7D8"/>
    <w:rsid w:val="7C7FAFD3"/>
    <w:rsid w:val="7C86941A"/>
    <w:rsid w:val="7C93226C"/>
    <w:rsid w:val="7C9A302E"/>
    <w:rsid w:val="7CA340AB"/>
    <w:rsid w:val="7CA4C96E"/>
    <w:rsid w:val="7CA82B75"/>
    <w:rsid w:val="7CA92281"/>
    <w:rsid w:val="7CAB96B4"/>
    <w:rsid w:val="7CC89098"/>
    <w:rsid w:val="7CDA5315"/>
    <w:rsid w:val="7CE51ECF"/>
    <w:rsid w:val="7CF1DA98"/>
    <w:rsid w:val="7D0E7FDB"/>
    <w:rsid w:val="7D159DA2"/>
    <w:rsid w:val="7D2E8CCB"/>
    <w:rsid w:val="7D338C1C"/>
    <w:rsid w:val="7D34A056"/>
    <w:rsid w:val="7D6E6719"/>
    <w:rsid w:val="7D74DCFC"/>
    <w:rsid w:val="7DA0265C"/>
    <w:rsid w:val="7DAA38B6"/>
    <w:rsid w:val="7DAE2EEE"/>
    <w:rsid w:val="7DB27D5E"/>
    <w:rsid w:val="7DC12999"/>
    <w:rsid w:val="7DD57F63"/>
    <w:rsid w:val="7DF67F46"/>
    <w:rsid w:val="7E06F2F5"/>
    <w:rsid w:val="7E322ED4"/>
    <w:rsid w:val="7E43E0C8"/>
    <w:rsid w:val="7E4DE2BA"/>
    <w:rsid w:val="7E50A6F7"/>
    <w:rsid w:val="7E6123D3"/>
    <w:rsid w:val="7E839E67"/>
    <w:rsid w:val="7E9D6A58"/>
    <w:rsid w:val="7EE1E7A7"/>
    <w:rsid w:val="7EEFCAA8"/>
    <w:rsid w:val="7F05A830"/>
    <w:rsid w:val="7F0DF3D8"/>
    <w:rsid w:val="7F3E0078"/>
    <w:rsid w:val="7F3EB988"/>
    <w:rsid w:val="7F44B54C"/>
    <w:rsid w:val="7F5FD967"/>
    <w:rsid w:val="7F86CFA7"/>
    <w:rsid w:val="7F8A6415"/>
    <w:rsid w:val="7F9DDD14"/>
    <w:rsid w:val="7FB86A5E"/>
    <w:rsid w:val="7FE58D9F"/>
    <w:rsid w:val="7FEC0ECC"/>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619B40"/>
  <w15:chartTrackingRefBased/>
  <w15:docId w15:val="{31D2D2CD-4A2F-49B1-A3DE-2EFF7F517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3" w:qFormat="1"/>
    <w:lsdException w:name="heading 2" w:semiHidden="1" w:uiPriority="4" w:unhideWhenUsed="1" w:qFormat="1"/>
    <w:lsdException w:name="heading 3" w:semiHidden="1" w:uiPriority="5" w:unhideWhenUsed="1" w:qFormat="1"/>
    <w:lsdException w:name="heading 4" w:semiHidden="1" w:uiPriority="6" w:unhideWhenUsed="1" w:qFormat="1"/>
    <w:lsdException w:name="heading 5" w:semiHidden="1" w:uiPriority="7" w:unhideWhenUsed="1" w:qFormat="1"/>
    <w:lsdException w:name="heading 6" w:semiHidden="1" w:uiPriority="8" w:unhideWhenUsed="1" w:qFormat="1"/>
    <w:lsdException w:name="heading 7" w:semiHidden="1" w:uiPriority="8" w:unhideWhenUsed="1" w:qFormat="1"/>
    <w:lsdException w:name="heading 8" w:semiHidden="1" w:uiPriority="8" w:unhideWhenUsed="1" w:qFormat="1"/>
    <w:lsdException w:name="heading 9" w:semiHidden="1" w:uiPriority="8" w:unhideWhenUsed="1" w:qFormat="1"/>
    <w:lsdException w:name="index 1" w:semiHidden="1" w:uiPriority="8" w:unhideWhenUsed="1"/>
    <w:lsdException w:name="index 2" w:semiHidden="1" w:uiPriority="8" w:unhideWhenUsed="1"/>
    <w:lsdException w:name="index 3" w:semiHidden="1" w:uiPriority="8" w:unhideWhenUsed="1"/>
    <w:lsdException w:name="index 4" w:semiHidden="1" w:uiPriority="8" w:unhideWhenUsed="1"/>
    <w:lsdException w:name="index 5" w:semiHidden="1" w:uiPriority="8" w:unhideWhenUsed="1"/>
    <w:lsdException w:name="index 6" w:semiHidden="1" w:uiPriority="8" w:unhideWhenUsed="1"/>
    <w:lsdException w:name="index 7" w:semiHidden="1" w:uiPriority="8" w:unhideWhenUsed="1"/>
    <w:lsdException w:name="index 8" w:semiHidden="1" w:uiPriority="8" w:unhideWhenUsed="1"/>
    <w:lsdException w:name="index 9" w:semiHidden="1" w:uiPriority="8"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2" w:unhideWhenUsed="1" w:qFormat="1"/>
    <w:lsdException w:name="List Number" w:semiHidden="1" w:uiPriority="8"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8" w:unhideWhenUsed="1"/>
    <w:lsdException w:name="List Bullet 3" w:semiHidden="1" w:uiPriority="8" w:unhideWhenUsed="1"/>
    <w:lsdException w:name="List Bullet 4" w:semiHidden="1" w:uiPriority="8" w:unhideWhenUsed="1"/>
    <w:lsdException w:name="List Bullet 5" w:semiHidden="1" w:uiPriority="8"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8" w:qFormat="1"/>
    <w:lsdException w:name="Closing" w:semiHidden="1" w:unhideWhenUsed="1"/>
    <w:lsdException w:name="Signature" w:semiHidden="1" w:unhideWhenUsed="1"/>
    <w:lsdException w:name="Default Paragraph Font" w:semiHidden="1" w:uiPriority="1" w:unhideWhenUsed="1"/>
    <w:lsdException w:name="Body Text" w:semiHidden="1" w:uiPriority="8"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6CB9"/>
    <w:pPr>
      <w:spacing w:after="0" w:line="264" w:lineRule="auto"/>
    </w:pPr>
    <w:rPr>
      <w:rFonts w:ascii="Arial" w:hAnsi="Arial" w:cs="Times New Roman"/>
      <w:szCs w:val="24"/>
    </w:rPr>
  </w:style>
  <w:style w:type="paragraph" w:styleId="Heading1">
    <w:name w:val="heading 1"/>
    <w:basedOn w:val="Normal"/>
    <w:next w:val="Normal"/>
    <w:link w:val="Heading1Char"/>
    <w:uiPriority w:val="3"/>
    <w:qFormat/>
    <w:rsid w:val="00064001"/>
    <w:pPr>
      <w:outlineLvl w:val="0"/>
    </w:pPr>
    <w:rPr>
      <w:rFonts w:cs="Arial"/>
      <w:b/>
      <w:iCs/>
    </w:rPr>
  </w:style>
  <w:style w:type="paragraph" w:styleId="Heading2">
    <w:name w:val="heading 2"/>
    <w:basedOn w:val="Normal"/>
    <w:next w:val="Normal"/>
    <w:link w:val="Heading2Char"/>
    <w:uiPriority w:val="4"/>
    <w:qFormat/>
    <w:rsid w:val="00064001"/>
    <w:pPr>
      <w:outlineLvl w:val="1"/>
    </w:pPr>
    <w:rPr>
      <w:rFonts w:cs="Arial"/>
      <w:b/>
      <w:iCs/>
    </w:rPr>
  </w:style>
  <w:style w:type="paragraph" w:styleId="Heading3">
    <w:name w:val="heading 3"/>
    <w:basedOn w:val="Normal"/>
    <w:next w:val="Normal"/>
    <w:link w:val="Heading3Char"/>
    <w:uiPriority w:val="5"/>
    <w:qFormat/>
    <w:rsid w:val="008A3DEB"/>
    <w:pPr>
      <w:keepNext/>
      <w:spacing w:after="240"/>
      <w:outlineLvl w:val="2"/>
    </w:pPr>
    <w:rPr>
      <w:rFonts w:cs="Arial"/>
      <w:b/>
      <w:bCs/>
      <w:szCs w:val="26"/>
    </w:rPr>
  </w:style>
  <w:style w:type="paragraph" w:styleId="Heading4">
    <w:name w:val="heading 4"/>
    <w:basedOn w:val="Normal"/>
    <w:next w:val="Normal"/>
    <w:link w:val="Heading4Char"/>
    <w:uiPriority w:val="6"/>
    <w:qFormat/>
    <w:rsid w:val="008A3DEB"/>
    <w:pPr>
      <w:keepNext/>
      <w:spacing w:after="240"/>
      <w:outlineLvl w:val="3"/>
    </w:pPr>
    <w:rPr>
      <w:b/>
      <w:bCs/>
      <w:i/>
      <w:szCs w:val="28"/>
    </w:rPr>
  </w:style>
  <w:style w:type="paragraph" w:styleId="Heading5">
    <w:name w:val="heading 5"/>
    <w:basedOn w:val="Normal"/>
    <w:next w:val="Normal"/>
    <w:link w:val="Heading5Char"/>
    <w:uiPriority w:val="7"/>
    <w:qFormat/>
    <w:rsid w:val="00741384"/>
    <w:pPr>
      <w:keepNext/>
      <w:spacing w:after="240"/>
      <w:outlineLvl w:val="4"/>
    </w:pPr>
    <w:rPr>
      <w:rFonts w:asciiTheme="minorHAnsi" w:hAnsiTheme="minorHAnsi"/>
      <w:b/>
      <w:bCs/>
      <w:i/>
      <w:iCs/>
      <w:szCs w:val="26"/>
    </w:rPr>
  </w:style>
  <w:style w:type="paragraph" w:styleId="Heading6">
    <w:name w:val="heading 6"/>
    <w:basedOn w:val="Normal"/>
    <w:next w:val="Normal"/>
    <w:link w:val="Heading6Char"/>
    <w:uiPriority w:val="8"/>
    <w:rsid w:val="008A3DEB"/>
    <w:pPr>
      <w:outlineLvl w:val="5"/>
    </w:pPr>
    <w:rPr>
      <w:bCs/>
      <w:szCs w:val="22"/>
    </w:rPr>
  </w:style>
  <w:style w:type="paragraph" w:styleId="Heading7">
    <w:name w:val="heading 7"/>
    <w:basedOn w:val="Normal"/>
    <w:next w:val="Normal"/>
    <w:link w:val="Heading7Char"/>
    <w:uiPriority w:val="8"/>
    <w:rsid w:val="008A3DEB"/>
    <w:pPr>
      <w:outlineLvl w:val="6"/>
    </w:pPr>
  </w:style>
  <w:style w:type="paragraph" w:styleId="Heading8">
    <w:name w:val="heading 8"/>
    <w:basedOn w:val="Normal"/>
    <w:next w:val="Normal"/>
    <w:link w:val="Heading8Char"/>
    <w:uiPriority w:val="8"/>
    <w:rsid w:val="008A3DEB"/>
    <w:pPr>
      <w:outlineLvl w:val="7"/>
    </w:pPr>
    <w:rPr>
      <w:iCs/>
    </w:rPr>
  </w:style>
  <w:style w:type="paragraph" w:styleId="Heading9">
    <w:name w:val="heading 9"/>
    <w:basedOn w:val="Normal"/>
    <w:next w:val="Normal"/>
    <w:link w:val="Heading9Char"/>
    <w:uiPriority w:val="8"/>
    <w:rsid w:val="008A3DEB"/>
    <w:pPr>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pendix">
    <w:name w:val="Appendix"/>
    <w:basedOn w:val="Normal"/>
    <w:uiPriority w:val="8"/>
    <w:qFormat/>
    <w:rsid w:val="008A3DEB"/>
    <w:pPr>
      <w:jc w:val="center"/>
    </w:pPr>
    <w:rPr>
      <w:b/>
    </w:rPr>
  </w:style>
  <w:style w:type="paragraph" w:styleId="BodyText">
    <w:name w:val="Body Text"/>
    <w:basedOn w:val="Normal"/>
    <w:link w:val="BodyTextChar"/>
    <w:uiPriority w:val="8"/>
    <w:rsid w:val="008A3DEB"/>
    <w:pPr>
      <w:spacing w:after="120"/>
    </w:pPr>
  </w:style>
  <w:style w:type="character" w:customStyle="1" w:styleId="BodyTextChar">
    <w:name w:val="Body Text Char"/>
    <w:basedOn w:val="DefaultParagraphFont"/>
    <w:link w:val="BodyText"/>
    <w:uiPriority w:val="8"/>
    <w:rsid w:val="008A3DEB"/>
    <w:rPr>
      <w:rFonts w:ascii="Times New Roman" w:hAnsi="Times New Roman" w:cs="Times New Roman"/>
      <w:sz w:val="24"/>
      <w:szCs w:val="24"/>
    </w:rPr>
  </w:style>
  <w:style w:type="paragraph" w:styleId="Footer">
    <w:name w:val="footer"/>
    <w:basedOn w:val="Normal"/>
    <w:link w:val="FooterChar"/>
    <w:uiPriority w:val="99"/>
    <w:qFormat/>
    <w:rsid w:val="008A3DEB"/>
    <w:pPr>
      <w:tabs>
        <w:tab w:val="center" w:pos="4320"/>
        <w:tab w:val="right" w:pos="8640"/>
      </w:tabs>
    </w:pPr>
  </w:style>
  <w:style w:type="character" w:customStyle="1" w:styleId="FooterChar">
    <w:name w:val="Footer Char"/>
    <w:basedOn w:val="DefaultParagraphFont"/>
    <w:link w:val="Footer"/>
    <w:uiPriority w:val="99"/>
    <w:rsid w:val="008A3DEB"/>
    <w:rPr>
      <w:rFonts w:ascii="Times New Roman" w:hAnsi="Times New Roman" w:cs="Times New Roman"/>
      <w:sz w:val="24"/>
      <w:szCs w:val="24"/>
    </w:rPr>
  </w:style>
  <w:style w:type="character" w:styleId="FootnoteReference">
    <w:name w:val="footnote reference"/>
    <w:basedOn w:val="DefaultParagraphFont"/>
    <w:rsid w:val="008A3DEB"/>
    <w:rPr>
      <w:sz w:val="20"/>
      <w:vertAlign w:val="superscript"/>
    </w:rPr>
  </w:style>
  <w:style w:type="paragraph" w:styleId="FootnoteText">
    <w:name w:val="footnote text"/>
    <w:basedOn w:val="Normal"/>
    <w:link w:val="FootnoteTextChar"/>
    <w:rsid w:val="008A3DEB"/>
    <w:pPr>
      <w:spacing w:after="200"/>
    </w:pPr>
    <w:rPr>
      <w:sz w:val="20"/>
      <w:szCs w:val="20"/>
    </w:rPr>
  </w:style>
  <w:style w:type="character" w:customStyle="1" w:styleId="FootnoteTextChar">
    <w:name w:val="Footnote Text Char"/>
    <w:basedOn w:val="DefaultParagraphFont"/>
    <w:link w:val="FootnoteText"/>
    <w:uiPriority w:val="8"/>
    <w:rsid w:val="008A3DEB"/>
    <w:rPr>
      <w:rFonts w:ascii="Times New Roman" w:hAnsi="Times New Roman" w:cs="Times New Roman"/>
      <w:sz w:val="20"/>
      <w:szCs w:val="20"/>
    </w:rPr>
  </w:style>
  <w:style w:type="paragraph" w:styleId="Header">
    <w:name w:val="header"/>
    <w:basedOn w:val="Normal"/>
    <w:link w:val="HeaderChar"/>
    <w:uiPriority w:val="99"/>
    <w:rsid w:val="008A3DEB"/>
    <w:pPr>
      <w:tabs>
        <w:tab w:val="center" w:pos="4320"/>
        <w:tab w:val="right" w:pos="8640"/>
      </w:tabs>
    </w:pPr>
  </w:style>
  <w:style w:type="character" w:customStyle="1" w:styleId="HeaderChar">
    <w:name w:val="Header Char"/>
    <w:basedOn w:val="DefaultParagraphFont"/>
    <w:link w:val="Header"/>
    <w:uiPriority w:val="99"/>
    <w:rsid w:val="008A3DEB"/>
    <w:rPr>
      <w:rFonts w:ascii="Times New Roman" w:hAnsi="Times New Roman" w:cs="Times New Roman"/>
      <w:sz w:val="24"/>
      <w:szCs w:val="24"/>
    </w:rPr>
  </w:style>
  <w:style w:type="character" w:customStyle="1" w:styleId="Heading1Char">
    <w:name w:val="Heading 1 Char"/>
    <w:basedOn w:val="DefaultParagraphFont"/>
    <w:link w:val="Heading1"/>
    <w:uiPriority w:val="3"/>
    <w:rsid w:val="00064001"/>
    <w:rPr>
      <w:rFonts w:ascii="Arial" w:hAnsi="Arial" w:cs="Arial"/>
      <w:b/>
      <w:iCs/>
      <w:sz w:val="24"/>
      <w:szCs w:val="24"/>
    </w:rPr>
  </w:style>
  <w:style w:type="character" w:customStyle="1" w:styleId="Heading2Char">
    <w:name w:val="Heading 2 Char"/>
    <w:basedOn w:val="DefaultParagraphFont"/>
    <w:link w:val="Heading2"/>
    <w:uiPriority w:val="4"/>
    <w:rsid w:val="00064001"/>
    <w:rPr>
      <w:rFonts w:ascii="Arial" w:hAnsi="Arial" w:cs="Arial"/>
      <w:b/>
      <w:iCs/>
      <w:sz w:val="24"/>
      <w:szCs w:val="24"/>
    </w:rPr>
  </w:style>
  <w:style w:type="character" w:customStyle="1" w:styleId="Heading3Char">
    <w:name w:val="Heading 3 Char"/>
    <w:basedOn w:val="DefaultParagraphFont"/>
    <w:link w:val="Heading3"/>
    <w:uiPriority w:val="5"/>
    <w:rsid w:val="008A3DEB"/>
    <w:rPr>
      <w:rFonts w:ascii="Times New Roman" w:hAnsi="Times New Roman" w:cs="Arial"/>
      <w:b/>
      <w:bCs/>
      <w:sz w:val="24"/>
      <w:szCs w:val="26"/>
    </w:rPr>
  </w:style>
  <w:style w:type="character" w:customStyle="1" w:styleId="Heading4Char">
    <w:name w:val="Heading 4 Char"/>
    <w:basedOn w:val="DefaultParagraphFont"/>
    <w:link w:val="Heading4"/>
    <w:uiPriority w:val="6"/>
    <w:rsid w:val="008A3DEB"/>
    <w:rPr>
      <w:rFonts w:ascii="Times New Roman" w:hAnsi="Times New Roman" w:cs="Times New Roman"/>
      <w:b/>
      <w:bCs/>
      <w:i/>
      <w:sz w:val="24"/>
      <w:szCs w:val="28"/>
    </w:rPr>
  </w:style>
  <w:style w:type="character" w:customStyle="1" w:styleId="Heading5Char">
    <w:name w:val="Heading 5 Char"/>
    <w:basedOn w:val="DefaultParagraphFont"/>
    <w:link w:val="Heading5"/>
    <w:uiPriority w:val="7"/>
    <w:rsid w:val="00741384"/>
    <w:rPr>
      <w:rFonts w:cs="Times New Roman"/>
      <w:b/>
      <w:bCs/>
      <w:i/>
      <w:iCs/>
      <w:sz w:val="24"/>
      <w:szCs w:val="26"/>
    </w:rPr>
  </w:style>
  <w:style w:type="character" w:customStyle="1" w:styleId="Heading6Char">
    <w:name w:val="Heading 6 Char"/>
    <w:basedOn w:val="DefaultParagraphFont"/>
    <w:link w:val="Heading6"/>
    <w:uiPriority w:val="8"/>
    <w:rsid w:val="008A3DEB"/>
    <w:rPr>
      <w:rFonts w:ascii="Times New Roman" w:hAnsi="Times New Roman" w:cs="Times New Roman"/>
      <w:bCs/>
      <w:sz w:val="24"/>
    </w:rPr>
  </w:style>
  <w:style w:type="character" w:customStyle="1" w:styleId="Heading7Char">
    <w:name w:val="Heading 7 Char"/>
    <w:basedOn w:val="DefaultParagraphFont"/>
    <w:link w:val="Heading7"/>
    <w:uiPriority w:val="8"/>
    <w:rsid w:val="008A3DEB"/>
    <w:rPr>
      <w:rFonts w:ascii="Times New Roman" w:hAnsi="Times New Roman" w:cs="Times New Roman"/>
      <w:sz w:val="24"/>
      <w:szCs w:val="24"/>
    </w:rPr>
  </w:style>
  <w:style w:type="character" w:customStyle="1" w:styleId="Heading8Char">
    <w:name w:val="Heading 8 Char"/>
    <w:basedOn w:val="DefaultParagraphFont"/>
    <w:link w:val="Heading8"/>
    <w:uiPriority w:val="8"/>
    <w:rsid w:val="008A3DEB"/>
    <w:rPr>
      <w:rFonts w:ascii="Times New Roman" w:hAnsi="Times New Roman" w:cs="Times New Roman"/>
      <w:iCs/>
      <w:sz w:val="24"/>
      <w:szCs w:val="24"/>
    </w:rPr>
  </w:style>
  <w:style w:type="character" w:customStyle="1" w:styleId="Heading9Char">
    <w:name w:val="Heading 9 Char"/>
    <w:basedOn w:val="DefaultParagraphFont"/>
    <w:link w:val="Heading9"/>
    <w:uiPriority w:val="8"/>
    <w:rsid w:val="008A3DEB"/>
    <w:rPr>
      <w:rFonts w:ascii="Times New Roman" w:hAnsi="Times New Roman" w:cs="Arial"/>
      <w:sz w:val="24"/>
    </w:rPr>
  </w:style>
  <w:style w:type="paragraph" w:customStyle="1" w:styleId="Indent">
    <w:name w:val="Indent"/>
    <w:basedOn w:val="Normal"/>
    <w:uiPriority w:val="8"/>
    <w:qFormat/>
    <w:rsid w:val="008A3DEB"/>
    <w:pPr>
      <w:ind w:left="720" w:hanging="720"/>
    </w:pPr>
  </w:style>
  <w:style w:type="paragraph" w:styleId="Index1">
    <w:name w:val="index 1"/>
    <w:basedOn w:val="Normal"/>
    <w:next w:val="Normal"/>
    <w:uiPriority w:val="8"/>
    <w:rsid w:val="008A3DEB"/>
    <w:pPr>
      <w:ind w:left="240" w:hanging="240"/>
    </w:pPr>
  </w:style>
  <w:style w:type="paragraph" w:styleId="Index2">
    <w:name w:val="index 2"/>
    <w:basedOn w:val="Normal"/>
    <w:next w:val="Normal"/>
    <w:uiPriority w:val="8"/>
    <w:rsid w:val="008A3DEB"/>
    <w:pPr>
      <w:ind w:left="480" w:hanging="240"/>
    </w:pPr>
  </w:style>
  <w:style w:type="paragraph" w:styleId="Index3">
    <w:name w:val="index 3"/>
    <w:basedOn w:val="Normal"/>
    <w:next w:val="Normal"/>
    <w:uiPriority w:val="8"/>
    <w:rsid w:val="008A3DEB"/>
    <w:pPr>
      <w:ind w:left="720" w:hanging="240"/>
    </w:pPr>
  </w:style>
  <w:style w:type="paragraph" w:styleId="Index4">
    <w:name w:val="index 4"/>
    <w:basedOn w:val="Normal"/>
    <w:next w:val="Normal"/>
    <w:uiPriority w:val="8"/>
    <w:rsid w:val="008A3DEB"/>
    <w:pPr>
      <w:ind w:left="960" w:hanging="240"/>
    </w:pPr>
  </w:style>
  <w:style w:type="paragraph" w:styleId="Index5">
    <w:name w:val="index 5"/>
    <w:basedOn w:val="Normal"/>
    <w:next w:val="Normal"/>
    <w:uiPriority w:val="8"/>
    <w:rsid w:val="008A3DEB"/>
    <w:pPr>
      <w:ind w:left="1200" w:hanging="240"/>
    </w:pPr>
  </w:style>
  <w:style w:type="paragraph" w:styleId="Index6">
    <w:name w:val="index 6"/>
    <w:basedOn w:val="Normal"/>
    <w:next w:val="Normal"/>
    <w:uiPriority w:val="8"/>
    <w:rsid w:val="008A3DEB"/>
    <w:pPr>
      <w:ind w:left="1440" w:hanging="240"/>
    </w:pPr>
  </w:style>
  <w:style w:type="paragraph" w:styleId="Index7">
    <w:name w:val="index 7"/>
    <w:basedOn w:val="Normal"/>
    <w:next w:val="Normal"/>
    <w:uiPriority w:val="8"/>
    <w:rsid w:val="008A3DEB"/>
    <w:pPr>
      <w:ind w:left="1680" w:hanging="240"/>
    </w:pPr>
  </w:style>
  <w:style w:type="paragraph" w:styleId="Index8">
    <w:name w:val="index 8"/>
    <w:basedOn w:val="Normal"/>
    <w:next w:val="Normal"/>
    <w:uiPriority w:val="8"/>
    <w:rsid w:val="008A3DEB"/>
    <w:pPr>
      <w:ind w:left="1920" w:hanging="240"/>
    </w:pPr>
  </w:style>
  <w:style w:type="paragraph" w:styleId="Index9">
    <w:name w:val="index 9"/>
    <w:basedOn w:val="Normal"/>
    <w:next w:val="Normal"/>
    <w:uiPriority w:val="8"/>
    <w:rsid w:val="008A3DEB"/>
    <w:pPr>
      <w:ind w:left="2160" w:hanging="240"/>
    </w:pPr>
  </w:style>
  <w:style w:type="paragraph" w:styleId="ListBullet">
    <w:name w:val="List Bullet"/>
    <w:basedOn w:val="Normal"/>
    <w:uiPriority w:val="2"/>
    <w:qFormat/>
    <w:rsid w:val="008A3DEB"/>
    <w:pPr>
      <w:numPr>
        <w:numId w:val="3"/>
      </w:numPr>
      <w:tabs>
        <w:tab w:val="clear" w:pos="360"/>
        <w:tab w:val="num" w:pos="720"/>
      </w:tabs>
      <w:spacing w:after="240"/>
      <w:ind w:left="720" w:hanging="720"/>
    </w:pPr>
  </w:style>
  <w:style w:type="paragraph" w:styleId="ListBullet2">
    <w:name w:val="List Bullet 2"/>
    <w:basedOn w:val="Normal"/>
    <w:uiPriority w:val="8"/>
    <w:rsid w:val="008A3DEB"/>
    <w:pPr>
      <w:numPr>
        <w:numId w:val="4"/>
      </w:numPr>
    </w:pPr>
  </w:style>
  <w:style w:type="paragraph" w:styleId="ListBullet3">
    <w:name w:val="List Bullet 3"/>
    <w:basedOn w:val="Normal"/>
    <w:uiPriority w:val="8"/>
    <w:rsid w:val="008A3DEB"/>
    <w:pPr>
      <w:numPr>
        <w:numId w:val="5"/>
      </w:numPr>
    </w:pPr>
  </w:style>
  <w:style w:type="paragraph" w:styleId="ListBullet4">
    <w:name w:val="List Bullet 4"/>
    <w:basedOn w:val="Normal"/>
    <w:uiPriority w:val="8"/>
    <w:rsid w:val="008A3DEB"/>
    <w:pPr>
      <w:numPr>
        <w:numId w:val="6"/>
      </w:numPr>
    </w:pPr>
  </w:style>
  <w:style w:type="paragraph" w:styleId="ListBullet5">
    <w:name w:val="List Bullet 5"/>
    <w:basedOn w:val="Normal"/>
    <w:uiPriority w:val="8"/>
    <w:rsid w:val="008A3DEB"/>
    <w:pPr>
      <w:numPr>
        <w:numId w:val="7"/>
      </w:numPr>
    </w:pPr>
  </w:style>
  <w:style w:type="paragraph" w:styleId="ListNumber">
    <w:name w:val="List Number"/>
    <w:basedOn w:val="Normal"/>
    <w:uiPriority w:val="8"/>
    <w:rsid w:val="008A3DEB"/>
    <w:pPr>
      <w:numPr>
        <w:numId w:val="8"/>
      </w:numPr>
      <w:contextualSpacing/>
    </w:pPr>
  </w:style>
  <w:style w:type="paragraph" w:styleId="ListParagraph">
    <w:name w:val="List Paragraph"/>
    <w:aliases w:val="Ítens de Lista"/>
    <w:basedOn w:val="Normal"/>
    <w:link w:val="ListParagraphChar"/>
    <w:uiPriority w:val="34"/>
    <w:qFormat/>
    <w:rsid w:val="008A3DEB"/>
    <w:pPr>
      <w:ind w:left="720"/>
      <w:contextualSpacing/>
    </w:pPr>
  </w:style>
  <w:style w:type="paragraph" w:customStyle="1" w:styleId="ParagraphNumbering">
    <w:name w:val="Paragraph Numbering"/>
    <w:basedOn w:val="Normal"/>
    <w:qFormat/>
    <w:rsid w:val="008A3DEB"/>
    <w:pPr>
      <w:spacing w:after="240"/>
    </w:pPr>
  </w:style>
  <w:style w:type="paragraph" w:styleId="Title">
    <w:name w:val="Title"/>
    <w:basedOn w:val="Normal"/>
    <w:link w:val="TitleChar"/>
    <w:uiPriority w:val="8"/>
    <w:rsid w:val="008A3DEB"/>
    <w:pPr>
      <w:spacing w:before="240" w:after="60"/>
      <w:jc w:val="center"/>
      <w:outlineLvl w:val="0"/>
    </w:pPr>
    <w:rPr>
      <w:rFonts w:cs="Arial"/>
      <w:b/>
      <w:bCs/>
      <w:kern w:val="28"/>
      <w:sz w:val="32"/>
      <w:szCs w:val="32"/>
    </w:rPr>
  </w:style>
  <w:style w:type="character" w:customStyle="1" w:styleId="TitleChar">
    <w:name w:val="Title Char"/>
    <w:basedOn w:val="DefaultParagraphFont"/>
    <w:link w:val="Title"/>
    <w:uiPriority w:val="8"/>
    <w:rsid w:val="008A3DEB"/>
    <w:rPr>
      <w:rFonts w:ascii="Arial" w:hAnsi="Arial" w:cs="Arial"/>
      <w:b/>
      <w:bCs/>
      <w:kern w:val="28"/>
      <w:sz w:val="32"/>
      <w:szCs w:val="32"/>
    </w:rPr>
  </w:style>
  <w:style w:type="paragraph" w:styleId="TOC1">
    <w:name w:val="toc 1"/>
    <w:basedOn w:val="Normal"/>
    <w:next w:val="Normal"/>
    <w:uiPriority w:val="39"/>
    <w:rsid w:val="008A3DEB"/>
  </w:style>
  <w:style w:type="paragraph" w:styleId="TOC2">
    <w:name w:val="toc 2"/>
    <w:basedOn w:val="Normal"/>
    <w:next w:val="Normal"/>
    <w:uiPriority w:val="39"/>
    <w:rsid w:val="008A3DEB"/>
    <w:pPr>
      <w:ind w:left="240"/>
    </w:pPr>
  </w:style>
  <w:style w:type="paragraph" w:styleId="TOC3">
    <w:name w:val="toc 3"/>
    <w:basedOn w:val="Normal"/>
    <w:next w:val="Normal"/>
    <w:uiPriority w:val="39"/>
    <w:rsid w:val="008A3DEB"/>
    <w:pPr>
      <w:ind w:left="480"/>
    </w:pPr>
  </w:style>
  <w:style w:type="paragraph" w:styleId="TOC4">
    <w:name w:val="toc 4"/>
    <w:basedOn w:val="Normal"/>
    <w:next w:val="Normal"/>
    <w:uiPriority w:val="39"/>
    <w:rsid w:val="008A3DEB"/>
    <w:pPr>
      <w:ind w:left="720"/>
    </w:pPr>
  </w:style>
  <w:style w:type="paragraph" w:styleId="TOC5">
    <w:name w:val="toc 5"/>
    <w:basedOn w:val="Normal"/>
    <w:next w:val="Normal"/>
    <w:uiPriority w:val="39"/>
    <w:rsid w:val="008A3DEB"/>
    <w:pPr>
      <w:ind w:left="960"/>
    </w:pPr>
  </w:style>
  <w:style w:type="paragraph" w:styleId="TOC6">
    <w:name w:val="toc 6"/>
    <w:basedOn w:val="Normal"/>
    <w:next w:val="Normal"/>
    <w:uiPriority w:val="39"/>
    <w:rsid w:val="008A3DEB"/>
    <w:pPr>
      <w:ind w:left="1200"/>
    </w:pPr>
  </w:style>
  <w:style w:type="paragraph" w:styleId="TOC7">
    <w:name w:val="toc 7"/>
    <w:basedOn w:val="Normal"/>
    <w:next w:val="Normal"/>
    <w:uiPriority w:val="39"/>
    <w:rsid w:val="008A3DEB"/>
    <w:pPr>
      <w:ind w:left="1440"/>
    </w:pPr>
  </w:style>
  <w:style w:type="paragraph" w:styleId="TOC8">
    <w:name w:val="toc 8"/>
    <w:basedOn w:val="Normal"/>
    <w:next w:val="Normal"/>
    <w:uiPriority w:val="39"/>
    <w:rsid w:val="008A3DEB"/>
    <w:pPr>
      <w:ind w:left="1680"/>
    </w:pPr>
  </w:style>
  <w:style w:type="paragraph" w:styleId="TOC9">
    <w:name w:val="toc 9"/>
    <w:basedOn w:val="Normal"/>
    <w:next w:val="Normal"/>
    <w:uiPriority w:val="39"/>
    <w:rsid w:val="008A3DEB"/>
    <w:pPr>
      <w:ind w:left="1920"/>
    </w:pPr>
  </w:style>
  <w:style w:type="paragraph" w:customStyle="1" w:styleId="UnNumberedHeading1">
    <w:name w:val="UnNumbered Heading 1"/>
    <w:basedOn w:val="Normal"/>
    <w:next w:val="Normal"/>
    <w:uiPriority w:val="8"/>
    <w:rsid w:val="008A3DEB"/>
    <w:pPr>
      <w:jc w:val="center"/>
    </w:pPr>
    <w:rPr>
      <w:b/>
      <w:smallCaps/>
    </w:rPr>
  </w:style>
  <w:style w:type="character" w:styleId="PageNumber">
    <w:name w:val="page number"/>
    <w:basedOn w:val="DefaultParagraphFont"/>
    <w:uiPriority w:val="99"/>
    <w:semiHidden/>
    <w:unhideWhenUsed/>
    <w:rsid w:val="005F722E"/>
  </w:style>
  <w:style w:type="table" w:styleId="TableGrid">
    <w:name w:val="Table Grid"/>
    <w:basedOn w:val="TableNormal"/>
    <w:uiPriority w:val="59"/>
    <w:rsid w:val="00BB7F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BB7F0B"/>
    <w:pPr>
      <w:spacing w:after="0" w:line="240" w:lineRule="auto"/>
    </w:pPr>
    <w:rPr>
      <w:rFonts w:eastAsiaTheme="minorEastAsia"/>
    </w:rPr>
  </w:style>
  <w:style w:type="character" w:customStyle="1" w:styleId="NoSpacingChar">
    <w:name w:val="No Spacing Char"/>
    <w:basedOn w:val="DefaultParagraphFont"/>
    <w:link w:val="NoSpacing"/>
    <w:uiPriority w:val="1"/>
    <w:rsid w:val="00BB7F0B"/>
    <w:rPr>
      <w:rFonts w:eastAsiaTheme="minorEastAsia"/>
    </w:rPr>
  </w:style>
  <w:style w:type="character" w:styleId="Hyperlink">
    <w:name w:val="Hyperlink"/>
    <w:basedOn w:val="DefaultParagraphFont"/>
    <w:uiPriority w:val="99"/>
    <w:unhideWhenUsed/>
    <w:rsid w:val="00E95E31"/>
    <w:rPr>
      <w:color w:val="0563C1" w:themeColor="hyperlink"/>
      <w:u w:val="single"/>
    </w:rPr>
  </w:style>
  <w:style w:type="character" w:styleId="UnresolvedMention">
    <w:name w:val="Unresolved Mention"/>
    <w:basedOn w:val="DefaultParagraphFont"/>
    <w:uiPriority w:val="99"/>
    <w:semiHidden/>
    <w:unhideWhenUsed/>
    <w:rsid w:val="00E95E31"/>
    <w:rPr>
      <w:color w:val="808080"/>
      <w:shd w:val="clear" w:color="auto" w:fill="E6E6E6"/>
    </w:rPr>
  </w:style>
  <w:style w:type="character" w:styleId="CommentReference">
    <w:name w:val="annotation reference"/>
    <w:basedOn w:val="DefaultParagraphFont"/>
    <w:uiPriority w:val="99"/>
    <w:semiHidden/>
    <w:unhideWhenUsed/>
    <w:rsid w:val="00973CA6"/>
    <w:rPr>
      <w:sz w:val="16"/>
      <w:szCs w:val="16"/>
    </w:rPr>
  </w:style>
  <w:style w:type="paragraph" w:styleId="CommentText">
    <w:name w:val="annotation text"/>
    <w:basedOn w:val="Normal"/>
    <w:link w:val="CommentTextChar"/>
    <w:uiPriority w:val="99"/>
    <w:unhideWhenUsed/>
    <w:rsid w:val="00973CA6"/>
    <w:pPr>
      <w:spacing w:line="240" w:lineRule="auto"/>
    </w:pPr>
    <w:rPr>
      <w:sz w:val="20"/>
      <w:szCs w:val="20"/>
    </w:rPr>
  </w:style>
  <w:style w:type="character" w:customStyle="1" w:styleId="CommentTextChar">
    <w:name w:val="Comment Text Char"/>
    <w:basedOn w:val="DefaultParagraphFont"/>
    <w:link w:val="CommentText"/>
    <w:uiPriority w:val="99"/>
    <w:rsid w:val="00973CA6"/>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73CA6"/>
    <w:rPr>
      <w:b/>
      <w:bCs/>
    </w:rPr>
  </w:style>
  <w:style w:type="character" w:customStyle="1" w:styleId="CommentSubjectChar">
    <w:name w:val="Comment Subject Char"/>
    <w:basedOn w:val="CommentTextChar"/>
    <w:link w:val="CommentSubject"/>
    <w:uiPriority w:val="99"/>
    <w:semiHidden/>
    <w:rsid w:val="00973CA6"/>
    <w:rPr>
      <w:rFonts w:ascii="Times New Roman" w:hAnsi="Times New Roman" w:cs="Times New Roman"/>
      <w:b/>
      <w:bCs/>
      <w:sz w:val="20"/>
      <w:szCs w:val="20"/>
    </w:rPr>
  </w:style>
  <w:style w:type="paragraph" w:styleId="BalloonText">
    <w:name w:val="Balloon Text"/>
    <w:basedOn w:val="Normal"/>
    <w:link w:val="BalloonTextChar"/>
    <w:uiPriority w:val="99"/>
    <w:semiHidden/>
    <w:unhideWhenUsed/>
    <w:rsid w:val="00973CA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73CA6"/>
    <w:rPr>
      <w:rFonts w:ascii="Segoe UI" w:hAnsi="Segoe UI" w:cs="Segoe UI"/>
      <w:sz w:val="18"/>
      <w:szCs w:val="18"/>
    </w:rPr>
  </w:style>
  <w:style w:type="character" w:styleId="FollowedHyperlink">
    <w:name w:val="FollowedHyperlink"/>
    <w:basedOn w:val="DefaultParagraphFont"/>
    <w:uiPriority w:val="99"/>
    <w:semiHidden/>
    <w:unhideWhenUsed/>
    <w:rsid w:val="003A01B9"/>
    <w:rPr>
      <w:color w:val="954F72" w:themeColor="followedHyperlink"/>
      <w:u w:val="single"/>
    </w:rPr>
  </w:style>
  <w:style w:type="character" w:customStyle="1" w:styleId="ListParagraphChar">
    <w:name w:val="List Paragraph Char"/>
    <w:aliases w:val="Ítens de Lista Char"/>
    <w:link w:val="ListParagraph"/>
    <w:uiPriority w:val="34"/>
    <w:rsid w:val="008F015F"/>
    <w:rPr>
      <w:rFonts w:ascii="Times New Roman" w:hAnsi="Times New Roman" w:cs="Times New Roman"/>
      <w:sz w:val="24"/>
      <w:szCs w:val="24"/>
    </w:rPr>
  </w:style>
  <w:style w:type="paragraph" w:styleId="TOCHeading">
    <w:name w:val="TOC Heading"/>
    <w:basedOn w:val="Heading1"/>
    <w:next w:val="Normal"/>
    <w:uiPriority w:val="39"/>
    <w:unhideWhenUsed/>
    <w:qFormat/>
    <w:rsid w:val="0098789F"/>
    <w:pPr>
      <w:keepNext/>
      <w:keepLines/>
      <w:spacing w:before="240" w:line="259" w:lineRule="auto"/>
      <w:outlineLvl w:val="9"/>
    </w:pPr>
    <w:rPr>
      <w:rFonts w:asciiTheme="majorHAnsi" w:eastAsiaTheme="majorEastAsia" w:hAnsiTheme="majorHAnsi" w:cstheme="majorBidi"/>
      <w:b w:val="0"/>
      <w:iCs w:val="0"/>
      <w:color w:val="2F5496" w:themeColor="accent1" w:themeShade="BF"/>
      <w:sz w:val="32"/>
      <w:szCs w:val="32"/>
    </w:rPr>
  </w:style>
  <w:style w:type="character" w:styleId="PlaceholderText">
    <w:name w:val="Placeholder Text"/>
    <w:basedOn w:val="DefaultParagraphFont"/>
    <w:uiPriority w:val="99"/>
    <w:semiHidden/>
    <w:rsid w:val="00836C6C"/>
    <w:rPr>
      <w:color w:val="808080"/>
    </w:rPr>
  </w:style>
  <w:style w:type="paragraph" w:styleId="Revision">
    <w:name w:val="Revision"/>
    <w:hidden/>
    <w:uiPriority w:val="99"/>
    <w:semiHidden/>
    <w:rsid w:val="00153065"/>
    <w:pPr>
      <w:spacing w:after="0" w:line="240" w:lineRule="auto"/>
    </w:pPr>
    <w:rPr>
      <w:rFonts w:ascii="Times New Roman" w:hAnsi="Times New Roman" w:cs="Times New Roman"/>
      <w:sz w:val="24"/>
      <w:szCs w:val="24"/>
    </w:rPr>
  </w:style>
  <w:style w:type="paragraph" w:styleId="NormalWeb">
    <w:name w:val="Normal (Web)"/>
    <w:basedOn w:val="Normal"/>
    <w:uiPriority w:val="99"/>
    <w:semiHidden/>
    <w:unhideWhenUsed/>
    <w:rsid w:val="00286C98"/>
    <w:pPr>
      <w:spacing w:before="100" w:beforeAutospacing="1" w:after="100" w:afterAutospacing="1" w:line="240" w:lineRule="auto"/>
    </w:pPr>
    <w:rPr>
      <w:rFonts w:eastAsia="Times New Roman"/>
      <w:lang w:eastAsia="zh-CN"/>
    </w:rPr>
  </w:style>
  <w:style w:type="character" w:styleId="HTMLCite">
    <w:name w:val="HTML Cite"/>
    <w:basedOn w:val="DefaultParagraphFont"/>
    <w:uiPriority w:val="99"/>
    <w:semiHidden/>
    <w:unhideWhenUsed/>
    <w:rsid w:val="00EF6106"/>
    <w:rPr>
      <w:i/>
      <w:iCs/>
    </w:rPr>
  </w:style>
  <w:style w:type="character" w:customStyle="1" w:styleId="apple-converted-space">
    <w:name w:val="apple-converted-space"/>
    <w:basedOn w:val="DefaultParagraphFont"/>
    <w:rsid w:val="00162DB4"/>
  </w:style>
  <w:style w:type="character" w:styleId="Mention">
    <w:name w:val="Mention"/>
    <w:basedOn w:val="DefaultParagraphFont"/>
    <w:uiPriority w:val="99"/>
    <w:unhideWhenUsed/>
    <w:rsid w:val="00C96021"/>
    <w:rPr>
      <w:color w:val="2B579A"/>
      <w:shd w:val="clear" w:color="auto" w:fill="E1DFDD"/>
    </w:rPr>
  </w:style>
  <w:style w:type="paragraph" w:customStyle="1" w:styleId="paragraph">
    <w:name w:val="paragraph"/>
    <w:basedOn w:val="Normal"/>
    <w:rsid w:val="0019482B"/>
    <w:pPr>
      <w:spacing w:before="100" w:beforeAutospacing="1" w:after="100" w:afterAutospacing="1" w:line="240" w:lineRule="auto"/>
    </w:pPr>
    <w:rPr>
      <w:rFonts w:ascii="Times New Roman" w:eastAsia="Times New Roman" w:hAnsi="Times New Roman"/>
      <w:sz w:val="24"/>
    </w:rPr>
  </w:style>
  <w:style w:type="character" w:customStyle="1" w:styleId="eop">
    <w:name w:val="eop"/>
    <w:basedOn w:val="DefaultParagraphFont"/>
    <w:rsid w:val="0019482B"/>
  </w:style>
  <w:style w:type="character" w:customStyle="1" w:styleId="normaltextrun">
    <w:name w:val="normaltextrun"/>
    <w:basedOn w:val="DefaultParagraphFont"/>
    <w:rsid w:val="0019482B"/>
  </w:style>
  <w:style w:type="table" w:styleId="GridTable4-Accent1">
    <w:name w:val="Grid Table 4 Accent 1"/>
    <w:basedOn w:val="TableNormal"/>
    <w:uiPriority w:val="49"/>
    <w:rsid w:val="0019482B"/>
    <w:pPr>
      <w:spacing w:after="0" w:line="240" w:lineRule="auto"/>
    </w:pPr>
    <w:rPr>
      <w:kern w:val="2"/>
      <w:sz w:val="24"/>
      <w:szCs w:val="24"/>
      <w14:ligatures w14:val="standardContextual"/>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customStyle="1" w:styleId="p1">
    <w:name w:val="p1"/>
    <w:basedOn w:val="Normal"/>
    <w:rsid w:val="00EA75D1"/>
    <w:pPr>
      <w:spacing w:before="180" w:line="240" w:lineRule="auto"/>
      <w:ind w:left="195" w:hanging="195"/>
    </w:pPr>
    <w:rPr>
      <w:rFonts w:ascii=".AppleSystemUIFont" w:eastAsia="Times New Roman" w:hAnsi=".AppleSystemUIFont"/>
      <w:color w:val="0E0E0E"/>
      <w:sz w:val="21"/>
      <w:szCs w:val="21"/>
    </w:rPr>
  </w:style>
  <w:style w:type="character" w:customStyle="1" w:styleId="apple-tab-span">
    <w:name w:val="apple-tab-span"/>
    <w:basedOn w:val="DefaultParagraphFont"/>
    <w:rsid w:val="00EA75D1"/>
  </w:style>
  <w:style w:type="character" w:styleId="Strong">
    <w:name w:val="Strong"/>
    <w:basedOn w:val="DefaultParagraphFont"/>
    <w:uiPriority w:val="22"/>
    <w:qFormat/>
    <w:rsid w:val="00DB04A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27962">
      <w:bodyDiv w:val="1"/>
      <w:marLeft w:val="0"/>
      <w:marRight w:val="0"/>
      <w:marTop w:val="0"/>
      <w:marBottom w:val="0"/>
      <w:divBdr>
        <w:top w:val="none" w:sz="0" w:space="0" w:color="auto"/>
        <w:left w:val="none" w:sz="0" w:space="0" w:color="auto"/>
        <w:bottom w:val="none" w:sz="0" w:space="0" w:color="auto"/>
        <w:right w:val="none" w:sz="0" w:space="0" w:color="auto"/>
      </w:divBdr>
    </w:div>
    <w:div w:id="27336848">
      <w:bodyDiv w:val="1"/>
      <w:marLeft w:val="0"/>
      <w:marRight w:val="0"/>
      <w:marTop w:val="0"/>
      <w:marBottom w:val="0"/>
      <w:divBdr>
        <w:top w:val="none" w:sz="0" w:space="0" w:color="auto"/>
        <w:left w:val="none" w:sz="0" w:space="0" w:color="auto"/>
        <w:bottom w:val="none" w:sz="0" w:space="0" w:color="auto"/>
        <w:right w:val="none" w:sz="0" w:space="0" w:color="auto"/>
      </w:divBdr>
      <w:divsChild>
        <w:div w:id="5789393">
          <w:marLeft w:val="0"/>
          <w:marRight w:val="0"/>
          <w:marTop w:val="0"/>
          <w:marBottom w:val="0"/>
          <w:divBdr>
            <w:top w:val="none" w:sz="0" w:space="0" w:color="auto"/>
            <w:left w:val="none" w:sz="0" w:space="0" w:color="auto"/>
            <w:bottom w:val="none" w:sz="0" w:space="0" w:color="auto"/>
            <w:right w:val="none" w:sz="0" w:space="0" w:color="auto"/>
          </w:divBdr>
        </w:div>
        <w:div w:id="11496803">
          <w:marLeft w:val="0"/>
          <w:marRight w:val="0"/>
          <w:marTop w:val="0"/>
          <w:marBottom w:val="0"/>
          <w:divBdr>
            <w:top w:val="none" w:sz="0" w:space="0" w:color="auto"/>
            <w:left w:val="none" w:sz="0" w:space="0" w:color="auto"/>
            <w:bottom w:val="none" w:sz="0" w:space="0" w:color="auto"/>
            <w:right w:val="none" w:sz="0" w:space="0" w:color="auto"/>
          </w:divBdr>
        </w:div>
        <w:div w:id="50884213">
          <w:marLeft w:val="0"/>
          <w:marRight w:val="0"/>
          <w:marTop w:val="0"/>
          <w:marBottom w:val="0"/>
          <w:divBdr>
            <w:top w:val="none" w:sz="0" w:space="0" w:color="auto"/>
            <w:left w:val="none" w:sz="0" w:space="0" w:color="auto"/>
            <w:bottom w:val="none" w:sz="0" w:space="0" w:color="auto"/>
            <w:right w:val="none" w:sz="0" w:space="0" w:color="auto"/>
          </w:divBdr>
        </w:div>
        <w:div w:id="97599958">
          <w:marLeft w:val="0"/>
          <w:marRight w:val="0"/>
          <w:marTop w:val="0"/>
          <w:marBottom w:val="0"/>
          <w:divBdr>
            <w:top w:val="none" w:sz="0" w:space="0" w:color="auto"/>
            <w:left w:val="none" w:sz="0" w:space="0" w:color="auto"/>
            <w:bottom w:val="none" w:sz="0" w:space="0" w:color="auto"/>
            <w:right w:val="none" w:sz="0" w:space="0" w:color="auto"/>
          </w:divBdr>
        </w:div>
        <w:div w:id="272369582">
          <w:marLeft w:val="0"/>
          <w:marRight w:val="0"/>
          <w:marTop w:val="0"/>
          <w:marBottom w:val="0"/>
          <w:divBdr>
            <w:top w:val="none" w:sz="0" w:space="0" w:color="auto"/>
            <w:left w:val="none" w:sz="0" w:space="0" w:color="auto"/>
            <w:bottom w:val="none" w:sz="0" w:space="0" w:color="auto"/>
            <w:right w:val="none" w:sz="0" w:space="0" w:color="auto"/>
          </w:divBdr>
        </w:div>
        <w:div w:id="332227703">
          <w:marLeft w:val="0"/>
          <w:marRight w:val="0"/>
          <w:marTop w:val="0"/>
          <w:marBottom w:val="0"/>
          <w:divBdr>
            <w:top w:val="none" w:sz="0" w:space="0" w:color="auto"/>
            <w:left w:val="none" w:sz="0" w:space="0" w:color="auto"/>
            <w:bottom w:val="none" w:sz="0" w:space="0" w:color="auto"/>
            <w:right w:val="none" w:sz="0" w:space="0" w:color="auto"/>
          </w:divBdr>
        </w:div>
        <w:div w:id="372462937">
          <w:marLeft w:val="0"/>
          <w:marRight w:val="0"/>
          <w:marTop w:val="0"/>
          <w:marBottom w:val="0"/>
          <w:divBdr>
            <w:top w:val="none" w:sz="0" w:space="0" w:color="auto"/>
            <w:left w:val="none" w:sz="0" w:space="0" w:color="auto"/>
            <w:bottom w:val="none" w:sz="0" w:space="0" w:color="auto"/>
            <w:right w:val="none" w:sz="0" w:space="0" w:color="auto"/>
          </w:divBdr>
        </w:div>
        <w:div w:id="426467429">
          <w:marLeft w:val="0"/>
          <w:marRight w:val="0"/>
          <w:marTop w:val="0"/>
          <w:marBottom w:val="0"/>
          <w:divBdr>
            <w:top w:val="none" w:sz="0" w:space="0" w:color="auto"/>
            <w:left w:val="none" w:sz="0" w:space="0" w:color="auto"/>
            <w:bottom w:val="none" w:sz="0" w:space="0" w:color="auto"/>
            <w:right w:val="none" w:sz="0" w:space="0" w:color="auto"/>
          </w:divBdr>
        </w:div>
        <w:div w:id="484667564">
          <w:marLeft w:val="0"/>
          <w:marRight w:val="0"/>
          <w:marTop w:val="0"/>
          <w:marBottom w:val="0"/>
          <w:divBdr>
            <w:top w:val="none" w:sz="0" w:space="0" w:color="auto"/>
            <w:left w:val="none" w:sz="0" w:space="0" w:color="auto"/>
            <w:bottom w:val="none" w:sz="0" w:space="0" w:color="auto"/>
            <w:right w:val="none" w:sz="0" w:space="0" w:color="auto"/>
          </w:divBdr>
        </w:div>
        <w:div w:id="590702092">
          <w:marLeft w:val="0"/>
          <w:marRight w:val="0"/>
          <w:marTop w:val="0"/>
          <w:marBottom w:val="0"/>
          <w:divBdr>
            <w:top w:val="none" w:sz="0" w:space="0" w:color="auto"/>
            <w:left w:val="none" w:sz="0" w:space="0" w:color="auto"/>
            <w:bottom w:val="none" w:sz="0" w:space="0" w:color="auto"/>
            <w:right w:val="none" w:sz="0" w:space="0" w:color="auto"/>
          </w:divBdr>
        </w:div>
        <w:div w:id="605427474">
          <w:marLeft w:val="0"/>
          <w:marRight w:val="0"/>
          <w:marTop w:val="0"/>
          <w:marBottom w:val="0"/>
          <w:divBdr>
            <w:top w:val="none" w:sz="0" w:space="0" w:color="auto"/>
            <w:left w:val="none" w:sz="0" w:space="0" w:color="auto"/>
            <w:bottom w:val="none" w:sz="0" w:space="0" w:color="auto"/>
            <w:right w:val="none" w:sz="0" w:space="0" w:color="auto"/>
          </w:divBdr>
        </w:div>
        <w:div w:id="722679450">
          <w:marLeft w:val="0"/>
          <w:marRight w:val="0"/>
          <w:marTop w:val="0"/>
          <w:marBottom w:val="0"/>
          <w:divBdr>
            <w:top w:val="none" w:sz="0" w:space="0" w:color="auto"/>
            <w:left w:val="none" w:sz="0" w:space="0" w:color="auto"/>
            <w:bottom w:val="none" w:sz="0" w:space="0" w:color="auto"/>
            <w:right w:val="none" w:sz="0" w:space="0" w:color="auto"/>
          </w:divBdr>
        </w:div>
        <w:div w:id="737480765">
          <w:marLeft w:val="0"/>
          <w:marRight w:val="0"/>
          <w:marTop w:val="0"/>
          <w:marBottom w:val="0"/>
          <w:divBdr>
            <w:top w:val="none" w:sz="0" w:space="0" w:color="auto"/>
            <w:left w:val="none" w:sz="0" w:space="0" w:color="auto"/>
            <w:bottom w:val="none" w:sz="0" w:space="0" w:color="auto"/>
            <w:right w:val="none" w:sz="0" w:space="0" w:color="auto"/>
          </w:divBdr>
        </w:div>
        <w:div w:id="759955971">
          <w:marLeft w:val="0"/>
          <w:marRight w:val="0"/>
          <w:marTop w:val="0"/>
          <w:marBottom w:val="0"/>
          <w:divBdr>
            <w:top w:val="none" w:sz="0" w:space="0" w:color="auto"/>
            <w:left w:val="none" w:sz="0" w:space="0" w:color="auto"/>
            <w:bottom w:val="none" w:sz="0" w:space="0" w:color="auto"/>
            <w:right w:val="none" w:sz="0" w:space="0" w:color="auto"/>
          </w:divBdr>
        </w:div>
        <w:div w:id="769157368">
          <w:marLeft w:val="0"/>
          <w:marRight w:val="0"/>
          <w:marTop w:val="0"/>
          <w:marBottom w:val="0"/>
          <w:divBdr>
            <w:top w:val="none" w:sz="0" w:space="0" w:color="auto"/>
            <w:left w:val="none" w:sz="0" w:space="0" w:color="auto"/>
            <w:bottom w:val="none" w:sz="0" w:space="0" w:color="auto"/>
            <w:right w:val="none" w:sz="0" w:space="0" w:color="auto"/>
          </w:divBdr>
        </w:div>
        <w:div w:id="776220632">
          <w:marLeft w:val="0"/>
          <w:marRight w:val="0"/>
          <w:marTop w:val="0"/>
          <w:marBottom w:val="0"/>
          <w:divBdr>
            <w:top w:val="none" w:sz="0" w:space="0" w:color="auto"/>
            <w:left w:val="none" w:sz="0" w:space="0" w:color="auto"/>
            <w:bottom w:val="none" w:sz="0" w:space="0" w:color="auto"/>
            <w:right w:val="none" w:sz="0" w:space="0" w:color="auto"/>
          </w:divBdr>
        </w:div>
        <w:div w:id="1147556515">
          <w:marLeft w:val="0"/>
          <w:marRight w:val="0"/>
          <w:marTop w:val="0"/>
          <w:marBottom w:val="0"/>
          <w:divBdr>
            <w:top w:val="none" w:sz="0" w:space="0" w:color="auto"/>
            <w:left w:val="none" w:sz="0" w:space="0" w:color="auto"/>
            <w:bottom w:val="none" w:sz="0" w:space="0" w:color="auto"/>
            <w:right w:val="none" w:sz="0" w:space="0" w:color="auto"/>
          </w:divBdr>
        </w:div>
        <w:div w:id="1176110869">
          <w:marLeft w:val="0"/>
          <w:marRight w:val="0"/>
          <w:marTop w:val="0"/>
          <w:marBottom w:val="0"/>
          <w:divBdr>
            <w:top w:val="none" w:sz="0" w:space="0" w:color="auto"/>
            <w:left w:val="none" w:sz="0" w:space="0" w:color="auto"/>
            <w:bottom w:val="none" w:sz="0" w:space="0" w:color="auto"/>
            <w:right w:val="none" w:sz="0" w:space="0" w:color="auto"/>
          </w:divBdr>
        </w:div>
        <w:div w:id="1205869198">
          <w:marLeft w:val="0"/>
          <w:marRight w:val="0"/>
          <w:marTop w:val="0"/>
          <w:marBottom w:val="0"/>
          <w:divBdr>
            <w:top w:val="none" w:sz="0" w:space="0" w:color="auto"/>
            <w:left w:val="none" w:sz="0" w:space="0" w:color="auto"/>
            <w:bottom w:val="none" w:sz="0" w:space="0" w:color="auto"/>
            <w:right w:val="none" w:sz="0" w:space="0" w:color="auto"/>
          </w:divBdr>
        </w:div>
        <w:div w:id="1289897646">
          <w:marLeft w:val="0"/>
          <w:marRight w:val="0"/>
          <w:marTop w:val="0"/>
          <w:marBottom w:val="0"/>
          <w:divBdr>
            <w:top w:val="none" w:sz="0" w:space="0" w:color="auto"/>
            <w:left w:val="none" w:sz="0" w:space="0" w:color="auto"/>
            <w:bottom w:val="none" w:sz="0" w:space="0" w:color="auto"/>
            <w:right w:val="none" w:sz="0" w:space="0" w:color="auto"/>
          </w:divBdr>
        </w:div>
        <w:div w:id="1301498662">
          <w:marLeft w:val="0"/>
          <w:marRight w:val="0"/>
          <w:marTop w:val="0"/>
          <w:marBottom w:val="0"/>
          <w:divBdr>
            <w:top w:val="none" w:sz="0" w:space="0" w:color="auto"/>
            <w:left w:val="none" w:sz="0" w:space="0" w:color="auto"/>
            <w:bottom w:val="none" w:sz="0" w:space="0" w:color="auto"/>
            <w:right w:val="none" w:sz="0" w:space="0" w:color="auto"/>
          </w:divBdr>
        </w:div>
        <w:div w:id="1451513234">
          <w:marLeft w:val="0"/>
          <w:marRight w:val="0"/>
          <w:marTop w:val="0"/>
          <w:marBottom w:val="0"/>
          <w:divBdr>
            <w:top w:val="none" w:sz="0" w:space="0" w:color="auto"/>
            <w:left w:val="none" w:sz="0" w:space="0" w:color="auto"/>
            <w:bottom w:val="none" w:sz="0" w:space="0" w:color="auto"/>
            <w:right w:val="none" w:sz="0" w:space="0" w:color="auto"/>
          </w:divBdr>
        </w:div>
        <w:div w:id="1482497433">
          <w:marLeft w:val="0"/>
          <w:marRight w:val="0"/>
          <w:marTop w:val="0"/>
          <w:marBottom w:val="0"/>
          <w:divBdr>
            <w:top w:val="none" w:sz="0" w:space="0" w:color="auto"/>
            <w:left w:val="none" w:sz="0" w:space="0" w:color="auto"/>
            <w:bottom w:val="none" w:sz="0" w:space="0" w:color="auto"/>
            <w:right w:val="none" w:sz="0" w:space="0" w:color="auto"/>
          </w:divBdr>
        </w:div>
        <w:div w:id="1494030955">
          <w:marLeft w:val="0"/>
          <w:marRight w:val="0"/>
          <w:marTop w:val="0"/>
          <w:marBottom w:val="0"/>
          <w:divBdr>
            <w:top w:val="none" w:sz="0" w:space="0" w:color="auto"/>
            <w:left w:val="none" w:sz="0" w:space="0" w:color="auto"/>
            <w:bottom w:val="none" w:sz="0" w:space="0" w:color="auto"/>
            <w:right w:val="none" w:sz="0" w:space="0" w:color="auto"/>
          </w:divBdr>
        </w:div>
        <w:div w:id="2026978945">
          <w:marLeft w:val="0"/>
          <w:marRight w:val="0"/>
          <w:marTop w:val="0"/>
          <w:marBottom w:val="0"/>
          <w:divBdr>
            <w:top w:val="none" w:sz="0" w:space="0" w:color="auto"/>
            <w:left w:val="none" w:sz="0" w:space="0" w:color="auto"/>
            <w:bottom w:val="none" w:sz="0" w:space="0" w:color="auto"/>
            <w:right w:val="none" w:sz="0" w:space="0" w:color="auto"/>
          </w:divBdr>
        </w:div>
        <w:div w:id="2057386529">
          <w:marLeft w:val="0"/>
          <w:marRight w:val="0"/>
          <w:marTop w:val="0"/>
          <w:marBottom w:val="0"/>
          <w:divBdr>
            <w:top w:val="none" w:sz="0" w:space="0" w:color="auto"/>
            <w:left w:val="none" w:sz="0" w:space="0" w:color="auto"/>
            <w:bottom w:val="none" w:sz="0" w:space="0" w:color="auto"/>
            <w:right w:val="none" w:sz="0" w:space="0" w:color="auto"/>
          </w:divBdr>
        </w:div>
      </w:divsChild>
    </w:div>
    <w:div w:id="82073504">
      <w:bodyDiv w:val="1"/>
      <w:marLeft w:val="0"/>
      <w:marRight w:val="0"/>
      <w:marTop w:val="0"/>
      <w:marBottom w:val="0"/>
      <w:divBdr>
        <w:top w:val="none" w:sz="0" w:space="0" w:color="auto"/>
        <w:left w:val="none" w:sz="0" w:space="0" w:color="auto"/>
        <w:bottom w:val="none" w:sz="0" w:space="0" w:color="auto"/>
        <w:right w:val="none" w:sz="0" w:space="0" w:color="auto"/>
      </w:divBdr>
      <w:divsChild>
        <w:div w:id="25833732">
          <w:blockQuote w:val="1"/>
          <w:marLeft w:val="0"/>
          <w:marRight w:val="0"/>
          <w:marTop w:val="240"/>
          <w:marBottom w:val="240"/>
          <w:divBdr>
            <w:top w:val="none" w:sz="0" w:space="0" w:color="auto"/>
            <w:left w:val="none" w:sz="0" w:space="0" w:color="auto"/>
            <w:bottom w:val="none" w:sz="0" w:space="0" w:color="auto"/>
            <w:right w:val="none" w:sz="0" w:space="0" w:color="auto"/>
          </w:divBdr>
        </w:div>
        <w:div w:id="970087100">
          <w:blockQuote w:val="1"/>
          <w:marLeft w:val="0"/>
          <w:marRight w:val="0"/>
          <w:marTop w:val="240"/>
          <w:marBottom w:val="240"/>
          <w:divBdr>
            <w:top w:val="none" w:sz="0" w:space="0" w:color="auto"/>
            <w:left w:val="none" w:sz="0" w:space="0" w:color="auto"/>
            <w:bottom w:val="none" w:sz="0" w:space="0" w:color="auto"/>
            <w:right w:val="none" w:sz="0" w:space="0" w:color="auto"/>
          </w:divBdr>
        </w:div>
        <w:div w:id="1038165183">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 w:id="164707697">
      <w:bodyDiv w:val="1"/>
      <w:marLeft w:val="0"/>
      <w:marRight w:val="0"/>
      <w:marTop w:val="0"/>
      <w:marBottom w:val="0"/>
      <w:divBdr>
        <w:top w:val="none" w:sz="0" w:space="0" w:color="auto"/>
        <w:left w:val="none" w:sz="0" w:space="0" w:color="auto"/>
        <w:bottom w:val="none" w:sz="0" w:space="0" w:color="auto"/>
        <w:right w:val="none" w:sz="0" w:space="0" w:color="auto"/>
      </w:divBdr>
    </w:div>
    <w:div w:id="248391353">
      <w:bodyDiv w:val="1"/>
      <w:marLeft w:val="0"/>
      <w:marRight w:val="0"/>
      <w:marTop w:val="0"/>
      <w:marBottom w:val="0"/>
      <w:divBdr>
        <w:top w:val="none" w:sz="0" w:space="0" w:color="auto"/>
        <w:left w:val="none" w:sz="0" w:space="0" w:color="auto"/>
        <w:bottom w:val="none" w:sz="0" w:space="0" w:color="auto"/>
        <w:right w:val="none" w:sz="0" w:space="0" w:color="auto"/>
      </w:divBdr>
    </w:div>
    <w:div w:id="297152922">
      <w:bodyDiv w:val="1"/>
      <w:marLeft w:val="0"/>
      <w:marRight w:val="0"/>
      <w:marTop w:val="0"/>
      <w:marBottom w:val="0"/>
      <w:divBdr>
        <w:top w:val="none" w:sz="0" w:space="0" w:color="auto"/>
        <w:left w:val="none" w:sz="0" w:space="0" w:color="auto"/>
        <w:bottom w:val="none" w:sz="0" w:space="0" w:color="auto"/>
        <w:right w:val="none" w:sz="0" w:space="0" w:color="auto"/>
      </w:divBdr>
    </w:div>
    <w:div w:id="390203042">
      <w:bodyDiv w:val="1"/>
      <w:marLeft w:val="0"/>
      <w:marRight w:val="0"/>
      <w:marTop w:val="0"/>
      <w:marBottom w:val="0"/>
      <w:divBdr>
        <w:top w:val="none" w:sz="0" w:space="0" w:color="auto"/>
        <w:left w:val="none" w:sz="0" w:space="0" w:color="auto"/>
        <w:bottom w:val="none" w:sz="0" w:space="0" w:color="auto"/>
        <w:right w:val="none" w:sz="0" w:space="0" w:color="auto"/>
      </w:divBdr>
    </w:div>
    <w:div w:id="391782317">
      <w:bodyDiv w:val="1"/>
      <w:marLeft w:val="0"/>
      <w:marRight w:val="0"/>
      <w:marTop w:val="0"/>
      <w:marBottom w:val="0"/>
      <w:divBdr>
        <w:top w:val="none" w:sz="0" w:space="0" w:color="auto"/>
        <w:left w:val="none" w:sz="0" w:space="0" w:color="auto"/>
        <w:bottom w:val="none" w:sz="0" w:space="0" w:color="auto"/>
        <w:right w:val="none" w:sz="0" w:space="0" w:color="auto"/>
      </w:divBdr>
    </w:div>
    <w:div w:id="437484960">
      <w:bodyDiv w:val="1"/>
      <w:marLeft w:val="0"/>
      <w:marRight w:val="0"/>
      <w:marTop w:val="0"/>
      <w:marBottom w:val="0"/>
      <w:divBdr>
        <w:top w:val="none" w:sz="0" w:space="0" w:color="auto"/>
        <w:left w:val="none" w:sz="0" w:space="0" w:color="auto"/>
        <w:bottom w:val="none" w:sz="0" w:space="0" w:color="auto"/>
        <w:right w:val="none" w:sz="0" w:space="0" w:color="auto"/>
      </w:divBdr>
    </w:div>
    <w:div w:id="544177120">
      <w:bodyDiv w:val="1"/>
      <w:marLeft w:val="0"/>
      <w:marRight w:val="0"/>
      <w:marTop w:val="0"/>
      <w:marBottom w:val="0"/>
      <w:divBdr>
        <w:top w:val="none" w:sz="0" w:space="0" w:color="auto"/>
        <w:left w:val="none" w:sz="0" w:space="0" w:color="auto"/>
        <w:bottom w:val="none" w:sz="0" w:space="0" w:color="auto"/>
        <w:right w:val="none" w:sz="0" w:space="0" w:color="auto"/>
      </w:divBdr>
    </w:div>
    <w:div w:id="551424349">
      <w:bodyDiv w:val="1"/>
      <w:marLeft w:val="0"/>
      <w:marRight w:val="0"/>
      <w:marTop w:val="0"/>
      <w:marBottom w:val="0"/>
      <w:divBdr>
        <w:top w:val="none" w:sz="0" w:space="0" w:color="auto"/>
        <w:left w:val="none" w:sz="0" w:space="0" w:color="auto"/>
        <w:bottom w:val="none" w:sz="0" w:space="0" w:color="auto"/>
        <w:right w:val="none" w:sz="0" w:space="0" w:color="auto"/>
      </w:divBdr>
      <w:divsChild>
        <w:div w:id="203492949">
          <w:marLeft w:val="547"/>
          <w:marRight w:val="0"/>
          <w:marTop w:val="200"/>
          <w:marBottom w:val="0"/>
          <w:divBdr>
            <w:top w:val="none" w:sz="0" w:space="0" w:color="auto"/>
            <w:left w:val="none" w:sz="0" w:space="0" w:color="auto"/>
            <w:bottom w:val="none" w:sz="0" w:space="0" w:color="auto"/>
            <w:right w:val="none" w:sz="0" w:space="0" w:color="auto"/>
          </w:divBdr>
        </w:div>
        <w:div w:id="464736852">
          <w:marLeft w:val="547"/>
          <w:marRight w:val="0"/>
          <w:marTop w:val="200"/>
          <w:marBottom w:val="0"/>
          <w:divBdr>
            <w:top w:val="none" w:sz="0" w:space="0" w:color="auto"/>
            <w:left w:val="none" w:sz="0" w:space="0" w:color="auto"/>
            <w:bottom w:val="none" w:sz="0" w:space="0" w:color="auto"/>
            <w:right w:val="none" w:sz="0" w:space="0" w:color="auto"/>
          </w:divBdr>
        </w:div>
        <w:div w:id="545219209">
          <w:marLeft w:val="547"/>
          <w:marRight w:val="0"/>
          <w:marTop w:val="200"/>
          <w:marBottom w:val="0"/>
          <w:divBdr>
            <w:top w:val="none" w:sz="0" w:space="0" w:color="auto"/>
            <w:left w:val="none" w:sz="0" w:space="0" w:color="auto"/>
            <w:bottom w:val="none" w:sz="0" w:space="0" w:color="auto"/>
            <w:right w:val="none" w:sz="0" w:space="0" w:color="auto"/>
          </w:divBdr>
        </w:div>
        <w:div w:id="593439902">
          <w:marLeft w:val="547"/>
          <w:marRight w:val="0"/>
          <w:marTop w:val="200"/>
          <w:marBottom w:val="0"/>
          <w:divBdr>
            <w:top w:val="none" w:sz="0" w:space="0" w:color="auto"/>
            <w:left w:val="none" w:sz="0" w:space="0" w:color="auto"/>
            <w:bottom w:val="none" w:sz="0" w:space="0" w:color="auto"/>
            <w:right w:val="none" w:sz="0" w:space="0" w:color="auto"/>
          </w:divBdr>
        </w:div>
        <w:div w:id="919607456">
          <w:marLeft w:val="547"/>
          <w:marRight w:val="0"/>
          <w:marTop w:val="200"/>
          <w:marBottom w:val="0"/>
          <w:divBdr>
            <w:top w:val="none" w:sz="0" w:space="0" w:color="auto"/>
            <w:left w:val="none" w:sz="0" w:space="0" w:color="auto"/>
            <w:bottom w:val="none" w:sz="0" w:space="0" w:color="auto"/>
            <w:right w:val="none" w:sz="0" w:space="0" w:color="auto"/>
          </w:divBdr>
        </w:div>
        <w:div w:id="1338539358">
          <w:marLeft w:val="547"/>
          <w:marRight w:val="0"/>
          <w:marTop w:val="200"/>
          <w:marBottom w:val="0"/>
          <w:divBdr>
            <w:top w:val="none" w:sz="0" w:space="0" w:color="auto"/>
            <w:left w:val="none" w:sz="0" w:space="0" w:color="auto"/>
            <w:bottom w:val="none" w:sz="0" w:space="0" w:color="auto"/>
            <w:right w:val="none" w:sz="0" w:space="0" w:color="auto"/>
          </w:divBdr>
        </w:div>
        <w:div w:id="1469856320">
          <w:marLeft w:val="547"/>
          <w:marRight w:val="0"/>
          <w:marTop w:val="200"/>
          <w:marBottom w:val="0"/>
          <w:divBdr>
            <w:top w:val="none" w:sz="0" w:space="0" w:color="auto"/>
            <w:left w:val="none" w:sz="0" w:space="0" w:color="auto"/>
            <w:bottom w:val="none" w:sz="0" w:space="0" w:color="auto"/>
            <w:right w:val="none" w:sz="0" w:space="0" w:color="auto"/>
          </w:divBdr>
        </w:div>
        <w:div w:id="1567185171">
          <w:marLeft w:val="547"/>
          <w:marRight w:val="0"/>
          <w:marTop w:val="200"/>
          <w:marBottom w:val="0"/>
          <w:divBdr>
            <w:top w:val="none" w:sz="0" w:space="0" w:color="auto"/>
            <w:left w:val="none" w:sz="0" w:space="0" w:color="auto"/>
            <w:bottom w:val="none" w:sz="0" w:space="0" w:color="auto"/>
            <w:right w:val="none" w:sz="0" w:space="0" w:color="auto"/>
          </w:divBdr>
        </w:div>
      </w:divsChild>
    </w:div>
    <w:div w:id="637538116">
      <w:bodyDiv w:val="1"/>
      <w:marLeft w:val="0"/>
      <w:marRight w:val="0"/>
      <w:marTop w:val="0"/>
      <w:marBottom w:val="0"/>
      <w:divBdr>
        <w:top w:val="none" w:sz="0" w:space="0" w:color="auto"/>
        <w:left w:val="none" w:sz="0" w:space="0" w:color="auto"/>
        <w:bottom w:val="none" w:sz="0" w:space="0" w:color="auto"/>
        <w:right w:val="none" w:sz="0" w:space="0" w:color="auto"/>
      </w:divBdr>
    </w:div>
    <w:div w:id="678311680">
      <w:bodyDiv w:val="1"/>
      <w:marLeft w:val="0"/>
      <w:marRight w:val="0"/>
      <w:marTop w:val="0"/>
      <w:marBottom w:val="0"/>
      <w:divBdr>
        <w:top w:val="none" w:sz="0" w:space="0" w:color="auto"/>
        <w:left w:val="none" w:sz="0" w:space="0" w:color="auto"/>
        <w:bottom w:val="none" w:sz="0" w:space="0" w:color="auto"/>
        <w:right w:val="none" w:sz="0" w:space="0" w:color="auto"/>
      </w:divBdr>
    </w:div>
    <w:div w:id="862354815">
      <w:bodyDiv w:val="1"/>
      <w:marLeft w:val="0"/>
      <w:marRight w:val="0"/>
      <w:marTop w:val="0"/>
      <w:marBottom w:val="0"/>
      <w:divBdr>
        <w:top w:val="none" w:sz="0" w:space="0" w:color="auto"/>
        <w:left w:val="none" w:sz="0" w:space="0" w:color="auto"/>
        <w:bottom w:val="none" w:sz="0" w:space="0" w:color="auto"/>
        <w:right w:val="none" w:sz="0" w:space="0" w:color="auto"/>
      </w:divBdr>
    </w:div>
    <w:div w:id="911280333">
      <w:bodyDiv w:val="1"/>
      <w:marLeft w:val="0"/>
      <w:marRight w:val="0"/>
      <w:marTop w:val="0"/>
      <w:marBottom w:val="0"/>
      <w:divBdr>
        <w:top w:val="none" w:sz="0" w:space="0" w:color="auto"/>
        <w:left w:val="none" w:sz="0" w:space="0" w:color="auto"/>
        <w:bottom w:val="none" w:sz="0" w:space="0" w:color="auto"/>
        <w:right w:val="none" w:sz="0" w:space="0" w:color="auto"/>
      </w:divBdr>
    </w:div>
    <w:div w:id="967928416">
      <w:bodyDiv w:val="1"/>
      <w:marLeft w:val="0"/>
      <w:marRight w:val="0"/>
      <w:marTop w:val="0"/>
      <w:marBottom w:val="0"/>
      <w:divBdr>
        <w:top w:val="none" w:sz="0" w:space="0" w:color="auto"/>
        <w:left w:val="none" w:sz="0" w:space="0" w:color="auto"/>
        <w:bottom w:val="none" w:sz="0" w:space="0" w:color="auto"/>
        <w:right w:val="none" w:sz="0" w:space="0" w:color="auto"/>
      </w:divBdr>
    </w:div>
    <w:div w:id="973633569">
      <w:bodyDiv w:val="1"/>
      <w:marLeft w:val="0"/>
      <w:marRight w:val="0"/>
      <w:marTop w:val="0"/>
      <w:marBottom w:val="0"/>
      <w:divBdr>
        <w:top w:val="none" w:sz="0" w:space="0" w:color="auto"/>
        <w:left w:val="none" w:sz="0" w:space="0" w:color="auto"/>
        <w:bottom w:val="none" w:sz="0" w:space="0" w:color="auto"/>
        <w:right w:val="none" w:sz="0" w:space="0" w:color="auto"/>
      </w:divBdr>
    </w:div>
    <w:div w:id="1033458093">
      <w:bodyDiv w:val="1"/>
      <w:marLeft w:val="0"/>
      <w:marRight w:val="0"/>
      <w:marTop w:val="0"/>
      <w:marBottom w:val="0"/>
      <w:divBdr>
        <w:top w:val="none" w:sz="0" w:space="0" w:color="auto"/>
        <w:left w:val="none" w:sz="0" w:space="0" w:color="auto"/>
        <w:bottom w:val="none" w:sz="0" w:space="0" w:color="auto"/>
        <w:right w:val="none" w:sz="0" w:space="0" w:color="auto"/>
      </w:divBdr>
    </w:div>
    <w:div w:id="1108038044">
      <w:bodyDiv w:val="1"/>
      <w:marLeft w:val="0"/>
      <w:marRight w:val="0"/>
      <w:marTop w:val="0"/>
      <w:marBottom w:val="0"/>
      <w:divBdr>
        <w:top w:val="none" w:sz="0" w:space="0" w:color="auto"/>
        <w:left w:val="none" w:sz="0" w:space="0" w:color="auto"/>
        <w:bottom w:val="none" w:sz="0" w:space="0" w:color="auto"/>
        <w:right w:val="none" w:sz="0" w:space="0" w:color="auto"/>
      </w:divBdr>
    </w:div>
    <w:div w:id="1125385716">
      <w:bodyDiv w:val="1"/>
      <w:marLeft w:val="0"/>
      <w:marRight w:val="0"/>
      <w:marTop w:val="0"/>
      <w:marBottom w:val="0"/>
      <w:divBdr>
        <w:top w:val="none" w:sz="0" w:space="0" w:color="auto"/>
        <w:left w:val="none" w:sz="0" w:space="0" w:color="auto"/>
        <w:bottom w:val="none" w:sz="0" w:space="0" w:color="auto"/>
        <w:right w:val="none" w:sz="0" w:space="0" w:color="auto"/>
      </w:divBdr>
    </w:div>
    <w:div w:id="1466504922">
      <w:bodyDiv w:val="1"/>
      <w:marLeft w:val="0"/>
      <w:marRight w:val="0"/>
      <w:marTop w:val="0"/>
      <w:marBottom w:val="0"/>
      <w:divBdr>
        <w:top w:val="none" w:sz="0" w:space="0" w:color="auto"/>
        <w:left w:val="none" w:sz="0" w:space="0" w:color="auto"/>
        <w:bottom w:val="none" w:sz="0" w:space="0" w:color="auto"/>
        <w:right w:val="none" w:sz="0" w:space="0" w:color="auto"/>
      </w:divBdr>
    </w:div>
    <w:div w:id="1482114710">
      <w:bodyDiv w:val="1"/>
      <w:marLeft w:val="0"/>
      <w:marRight w:val="0"/>
      <w:marTop w:val="0"/>
      <w:marBottom w:val="0"/>
      <w:divBdr>
        <w:top w:val="none" w:sz="0" w:space="0" w:color="auto"/>
        <w:left w:val="none" w:sz="0" w:space="0" w:color="auto"/>
        <w:bottom w:val="none" w:sz="0" w:space="0" w:color="auto"/>
        <w:right w:val="none" w:sz="0" w:space="0" w:color="auto"/>
      </w:divBdr>
    </w:div>
    <w:div w:id="1553078718">
      <w:bodyDiv w:val="1"/>
      <w:marLeft w:val="0"/>
      <w:marRight w:val="0"/>
      <w:marTop w:val="0"/>
      <w:marBottom w:val="0"/>
      <w:divBdr>
        <w:top w:val="none" w:sz="0" w:space="0" w:color="auto"/>
        <w:left w:val="none" w:sz="0" w:space="0" w:color="auto"/>
        <w:bottom w:val="none" w:sz="0" w:space="0" w:color="auto"/>
        <w:right w:val="none" w:sz="0" w:space="0" w:color="auto"/>
      </w:divBdr>
    </w:div>
    <w:div w:id="1609851776">
      <w:bodyDiv w:val="1"/>
      <w:marLeft w:val="0"/>
      <w:marRight w:val="0"/>
      <w:marTop w:val="0"/>
      <w:marBottom w:val="0"/>
      <w:divBdr>
        <w:top w:val="none" w:sz="0" w:space="0" w:color="auto"/>
        <w:left w:val="none" w:sz="0" w:space="0" w:color="auto"/>
        <w:bottom w:val="none" w:sz="0" w:space="0" w:color="auto"/>
        <w:right w:val="none" w:sz="0" w:space="0" w:color="auto"/>
      </w:divBdr>
    </w:div>
    <w:div w:id="1811970865">
      <w:bodyDiv w:val="1"/>
      <w:marLeft w:val="0"/>
      <w:marRight w:val="0"/>
      <w:marTop w:val="0"/>
      <w:marBottom w:val="0"/>
      <w:divBdr>
        <w:top w:val="none" w:sz="0" w:space="0" w:color="auto"/>
        <w:left w:val="none" w:sz="0" w:space="0" w:color="auto"/>
        <w:bottom w:val="none" w:sz="0" w:space="0" w:color="auto"/>
        <w:right w:val="none" w:sz="0" w:space="0" w:color="auto"/>
      </w:divBdr>
      <w:divsChild>
        <w:div w:id="216933820">
          <w:marLeft w:val="0"/>
          <w:marRight w:val="0"/>
          <w:marTop w:val="0"/>
          <w:marBottom w:val="0"/>
          <w:divBdr>
            <w:top w:val="none" w:sz="0" w:space="0" w:color="auto"/>
            <w:left w:val="none" w:sz="0" w:space="0" w:color="auto"/>
            <w:bottom w:val="none" w:sz="0" w:space="0" w:color="auto"/>
            <w:right w:val="none" w:sz="0" w:space="0" w:color="auto"/>
          </w:divBdr>
        </w:div>
        <w:div w:id="310863911">
          <w:marLeft w:val="0"/>
          <w:marRight w:val="0"/>
          <w:marTop w:val="0"/>
          <w:marBottom w:val="0"/>
          <w:divBdr>
            <w:top w:val="none" w:sz="0" w:space="0" w:color="auto"/>
            <w:left w:val="none" w:sz="0" w:space="0" w:color="auto"/>
            <w:bottom w:val="none" w:sz="0" w:space="0" w:color="auto"/>
            <w:right w:val="none" w:sz="0" w:space="0" w:color="auto"/>
          </w:divBdr>
        </w:div>
        <w:div w:id="373116386">
          <w:marLeft w:val="0"/>
          <w:marRight w:val="0"/>
          <w:marTop w:val="0"/>
          <w:marBottom w:val="0"/>
          <w:divBdr>
            <w:top w:val="none" w:sz="0" w:space="0" w:color="auto"/>
            <w:left w:val="none" w:sz="0" w:space="0" w:color="auto"/>
            <w:bottom w:val="none" w:sz="0" w:space="0" w:color="auto"/>
            <w:right w:val="none" w:sz="0" w:space="0" w:color="auto"/>
          </w:divBdr>
        </w:div>
        <w:div w:id="464005975">
          <w:marLeft w:val="0"/>
          <w:marRight w:val="0"/>
          <w:marTop w:val="0"/>
          <w:marBottom w:val="0"/>
          <w:divBdr>
            <w:top w:val="none" w:sz="0" w:space="0" w:color="auto"/>
            <w:left w:val="none" w:sz="0" w:space="0" w:color="auto"/>
            <w:bottom w:val="none" w:sz="0" w:space="0" w:color="auto"/>
            <w:right w:val="none" w:sz="0" w:space="0" w:color="auto"/>
          </w:divBdr>
        </w:div>
        <w:div w:id="550993570">
          <w:marLeft w:val="0"/>
          <w:marRight w:val="0"/>
          <w:marTop w:val="0"/>
          <w:marBottom w:val="0"/>
          <w:divBdr>
            <w:top w:val="none" w:sz="0" w:space="0" w:color="auto"/>
            <w:left w:val="none" w:sz="0" w:space="0" w:color="auto"/>
            <w:bottom w:val="none" w:sz="0" w:space="0" w:color="auto"/>
            <w:right w:val="none" w:sz="0" w:space="0" w:color="auto"/>
          </w:divBdr>
        </w:div>
        <w:div w:id="654265287">
          <w:marLeft w:val="0"/>
          <w:marRight w:val="0"/>
          <w:marTop w:val="0"/>
          <w:marBottom w:val="0"/>
          <w:divBdr>
            <w:top w:val="none" w:sz="0" w:space="0" w:color="auto"/>
            <w:left w:val="none" w:sz="0" w:space="0" w:color="auto"/>
            <w:bottom w:val="none" w:sz="0" w:space="0" w:color="auto"/>
            <w:right w:val="none" w:sz="0" w:space="0" w:color="auto"/>
          </w:divBdr>
        </w:div>
        <w:div w:id="684020459">
          <w:marLeft w:val="0"/>
          <w:marRight w:val="0"/>
          <w:marTop w:val="0"/>
          <w:marBottom w:val="0"/>
          <w:divBdr>
            <w:top w:val="none" w:sz="0" w:space="0" w:color="auto"/>
            <w:left w:val="none" w:sz="0" w:space="0" w:color="auto"/>
            <w:bottom w:val="none" w:sz="0" w:space="0" w:color="auto"/>
            <w:right w:val="none" w:sz="0" w:space="0" w:color="auto"/>
          </w:divBdr>
        </w:div>
        <w:div w:id="688484217">
          <w:marLeft w:val="0"/>
          <w:marRight w:val="0"/>
          <w:marTop w:val="0"/>
          <w:marBottom w:val="0"/>
          <w:divBdr>
            <w:top w:val="none" w:sz="0" w:space="0" w:color="auto"/>
            <w:left w:val="none" w:sz="0" w:space="0" w:color="auto"/>
            <w:bottom w:val="none" w:sz="0" w:space="0" w:color="auto"/>
            <w:right w:val="none" w:sz="0" w:space="0" w:color="auto"/>
          </w:divBdr>
        </w:div>
        <w:div w:id="704334544">
          <w:marLeft w:val="0"/>
          <w:marRight w:val="0"/>
          <w:marTop w:val="0"/>
          <w:marBottom w:val="0"/>
          <w:divBdr>
            <w:top w:val="none" w:sz="0" w:space="0" w:color="auto"/>
            <w:left w:val="none" w:sz="0" w:space="0" w:color="auto"/>
            <w:bottom w:val="none" w:sz="0" w:space="0" w:color="auto"/>
            <w:right w:val="none" w:sz="0" w:space="0" w:color="auto"/>
          </w:divBdr>
        </w:div>
        <w:div w:id="745341764">
          <w:marLeft w:val="0"/>
          <w:marRight w:val="0"/>
          <w:marTop w:val="0"/>
          <w:marBottom w:val="0"/>
          <w:divBdr>
            <w:top w:val="none" w:sz="0" w:space="0" w:color="auto"/>
            <w:left w:val="none" w:sz="0" w:space="0" w:color="auto"/>
            <w:bottom w:val="none" w:sz="0" w:space="0" w:color="auto"/>
            <w:right w:val="none" w:sz="0" w:space="0" w:color="auto"/>
          </w:divBdr>
        </w:div>
        <w:div w:id="749156627">
          <w:marLeft w:val="0"/>
          <w:marRight w:val="0"/>
          <w:marTop w:val="0"/>
          <w:marBottom w:val="0"/>
          <w:divBdr>
            <w:top w:val="none" w:sz="0" w:space="0" w:color="auto"/>
            <w:left w:val="none" w:sz="0" w:space="0" w:color="auto"/>
            <w:bottom w:val="none" w:sz="0" w:space="0" w:color="auto"/>
            <w:right w:val="none" w:sz="0" w:space="0" w:color="auto"/>
          </w:divBdr>
        </w:div>
        <w:div w:id="773211132">
          <w:marLeft w:val="0"/>
          <w:marRight w:val="0"/>
          <w:marTop w:val="0"/>
          <w:marBottom w:val="0"/>
          <w:divBdr>
            <w:top w:val="none" w:sz="0" w:space="0" w:color="auto"/>
            <w:left w:val="none" w:sz="0" w:space="0" w:color="auto"/>
            <w:bottom w:val="none" w:sz="0" w:space="0" w:color="auto"/>
            <w:right w:val="none" w:sz="0" w:space="0" w:color="auto"/>
          </w:divBdr>
        </w:div>
        <w:div w:id="826483814">
          <w:marLeft w:val="0"/>
          <w:marRight w:val="0"/>
          <w:marTop w:val="0"/>
          <w:marBottom w:val="0"/>
          <w:divBdr>
            <w:top w:val="none" w:sz="0" w:space="0" w:color="auto"/>
            <w:left w:val="none" w:sz="0" w:space="0" w:color="auto"/>
            <w:bottom w:val="none" w:sz="0" w:space="0" w:color="auto"/>
            <w:right w:val="none" w:sz="0" w:space="0" w:color="auto"/>
          </w:divBdr>
        </w:div>
        <w:div w:id="865291150">
          <w:marLeft w:val="0"/>
          <w:marRight w:val="0"/>
          <w:marTop w:val="0"/>
          <w:marBottom w:val="0"/>
          <w:divBdr>
            <w:top w:val="none" w:sz="0" w:space="0" w:color="auto"/>
            <w:left w:val="none" w:sz="0" w:space="0" w:color="auto"/>
            <w:bottom w:val="none" w:sz="0" w:space="0" w:color="auto"/>
            <w:right w:val="none" w:sz="0" w:space="0" w:color="auto"/>
          </w:divBdr>
        </w:div>
        <w:div w:id="1121269547">
          <w:marLeft w:val="0"/>
          <w:marRight w:val="0"/>
          <w:marTop w:val="0"/>
          <w:marBottom w:val="0"/>
          <w:divBdr>
            <w:top w:val="none" w:sz="0" w:space="0" w:color="auto"/>
            <w:left w:val="none" w:sz="0" w:space="0" w:color="auto"/>
            <w:bottom w:val="none" w:sz="0" w:space="0" w:color="auto"/>
            <w:right w:val="none" w:sz="0" w:space="0" w:color="auto"/>
          </w:divBdr>
        </w:div>
        <w:div w:id="1180850368">
          <w:marLeft w:val="0"/>
          <w:marRight w:val="0"/>
          <w:marTop w:val="0"/>
          <w:marBottom w:val="0"/>
          <w:divBdr>
            <w:top w:val="none" w:sz="0" w:space="0" w:color="auto"/>
            <w:left w:val="none" w:sz="0" w:space="0" w:color="auto"/>
            <w:bottom w:val="none" w:sz="0" w:space="0" w:color="auto"/>
            <w:right w:val="none" w:sz="0" w:space="0" w:color="auto"/>
          </w:divBdr>
        </w:div>
        <w:div w:id="1217552051">
          <w:marLeft w:val="0"/>
          <w:marRight w:val="0"/>
          <w:marTop w:val="0"/>
          <w:marBottom w:val="0"/>
          <w:divBdr>
            <w:top w:val="none" w:sz="0" w:space="0" w:color="auto"/>
            <w:left w:val="none" w:sz="0" w:space="0" w:color="auto"/>
            <w:bottom w:val="none" w:sz="0" w:space="0" w:color="auto"/>
            <w:right w:val="none" w:sz="0" w:space="0" w:color="auto"/>
          </w:divBdr>
        </w:div>
        <w:div w:id="1296251176">
          <w:marLeft w:val="0"/>
          <w:marRight w:val="0"/>
          <w:marTop w:val="0"/>
          <w:marBottom w:val="0"/>
          <w:divBdr>
            <w:top w:val="none" w:sz="0" w:space="0" w:color="auto"/>
            <w:left w:val="none" w:sz="0" w:space="0" w:color="auto"/>
            <w:bottom w:val="none" w:sz="0" w:space="0" w:color="auto"/>
            <w:right w:val="none" w:sz="0" w:space="0" w:color="auto"/>
          </w:divBdr>
        </w:div>
        <w:div w:id="1604681336">
          <w:marLeft w:val="0"/>
          <w:marRight w:val="0"/>
          <w:marTop w:val="0"/>
          <w:marBottom w:val="0"/>
          <w:divBdr>
            <w:top w:val="none" w:sz="0" w:space="0" w:color="auto"/>
            <w:left w:val="none" w:sz="0" w:space="0" w:color="auto"/>
            <w:bottom w:val="none" w:sz="0" w:space="0" w:color="auto"/>
            <w:right w:val="none" w:sz="0" w:space="0" w:color="auto"/>
          </w:divBdr>
        </w:div>
        <w:div w:id="1832716966">
          <w:marLeft w:val="0"/>
          <w:marRight w:val="0"/>
          <w:marTop w:val="0"/>
          <w:marBottom w:val="0"/>
          <w:divBdr>
            <w:top w:val="none" w:sz="0" w:space="0" w:color="auto"/>
            <w:left w:val="none" w:sz="0" w:space="0" w:color="auto"/>
            <w:bottom w:val="none" w:sz="0" w:space="0" w:color="auto"/>
            <w:right w:val="none" w:sz="0" w:space="0" w:color="auto"/>
          </w:divBdr>
        </w:div>
        <w:div w:id="1861704734">
          <w:marLeft w:val="0"/>
          <w:marRight w:val="0"/>
          <w:marTop w:val="0"/>
          <w:marBottom w:val="0"/>
          <w:divBdr>
            <w:top w:val="none" w:sz="0" w:space="0" w:color="auto"/>
            <w:left w:val="none" w:sz="0" w:space="0" w:color="auto"/>
            <w:bottom w:val="none" w:sz="0" w:space="0" w:color="auto"/>
            <w:right w:val="none" w:sz="0" w:space="0" w:color="auto"/>
          </w:divBdr>
        </w:div>
        <w:div w:id="2063140617">
          <w:marLeft w:val="0"/>
          <w:marRight w:val="0"/>
          <w:marTop w:val="0"/>
          <w:marBottom w:val="0"/>
          <w:divBdr>
            <w:top w:val="none" w:sz="0" w:space="0" w:color="auto"/>
            <w:left w:val="none" w:sz="0" w:space="0" w:color="auto"/>
            <w:bottom w:val="none" w:sz="0" w:space="0" w:color="auto"/>
            <w:right w:val="none" w:sz="0" w:space="0" w:color="auto"/>
          </w:divBdr>
        </w:div>
        <w:div w:id="2077125076">
          <w:marLeft w:val="0"/>
          <w:marRight w:val="0"/>
          <w:marTop w:val="0"/>
          <w:marBottom w:val="0"/>
          <w:divBdr>
            <w:top w:val="none" w:sz="0" w:space="0" w:color="auto"/>
            <w:left w:val="none" w:sz="0" w:space="0" w:color="auto"/>
            <w:bottom w:val="none" w:sz="0" w:space="0" w:color="auto"/>
            <w:right w:val="none" w:sz="0" w:space="0" w:color="auto"/>
          </w:divBdr>
        </w:div>
        <w:div w:id="2116173829">
          <w:marLeft w:val="0"/>
          <w:marRight w:val="0"/>
          <w:marTop w:val="0"/>
          <w:marBottom w:val="0"/>
          <w:divBdr>
            <w:top w:val="none" w:sz="0" w:space="0" w:color="auto"/>
            <w:left w:val="none" w:sz="0" w:space="0" w:color="auto"/>
            <w:bottom w:val="none" w:sz="0" w:space="0" w:color="auto"/>
            <w:right w:val="none" w:sz="0" w:space="0" w:color="auto"/>
          </w:divBdr>
        </w:div>
        <w:div w:id="2124298875">
          <w:marLeft w:val="0"/>
          <w:marRight w:val="0"/>
          <w:marTop w:val="0"/>
          <w:marBottom w:val="0"/>
          <w:divBdr>
            <w:top w:val="none" w:sz="0" w:space="0" w:color="auto"/>
            <w:left w:val="none" w:sz="0" w:space="0" w:color="auto"/>
            <w:bottom w:val="none" w:sz="0" w:space="0" w:color="auto"/>
            <w:right w:val="none" w:sz="0" w:space="0" w:color="auto"/>
          </w:divBdr>
        </w:div>
        <w:div w:id="2144420558">
          <w:marLeft w:val="0"/>
          <w:marRight w:val="0"/>
          <w:marTop w:val="0"/>
          <w:marBottom w:val="0"/>
          <w:divBdr>
            <w:top w:val="none" w:sz="0" w:space="0" w:color="auto"/>
            <w:left w:val="none" w:sz="0" w:space="0" w:color="auto"/>
            <w:bottom w:val="none" w:sz="0" w:space="0" w:color="auto"/>
            <w:right w:val="none" w:sz="0" w:space="0" w:color="auto"/>
          </w:divBdr>
        </w:div>
      </w:divsChild>
    </w:div>
    <w:div w:id="1845976433">
      <w:bodyDiv w:val="1"/>
      <w:marLeft w:val="0"/>
      <w:marRight w:val="0"/>
      <w:marTop w:val="0"/>
      <w:marBottom w:val="0"/>
      <w:divBdr>
        <w:top w:val="none" w:sz="0" w:space="0" w:color="auto"/>
        <w:left w:val="none" w:sz="0" w:space="0" w:color="auto"/>
        <w:bottom w:val="none" w:sz="0" w:space="0" w:color="auto"/>
        <w:right w:val="none" w:sz="0" w:space="0" w:color="auto"/>
      </w:divBdr>
    </w:div>
    <w:div w:id="1856381902">
      <w:bodyDiv w:val="1"/>
      <w:marLeft w:val="0"/>
      <w:marRight w:val="0"/>
      <w:marTop w:val="0"/>
      <w:marBottom w:val="0"/>
      <w:divBdr>
        <w:top w:val="none" w:sz="0" w:space="0" w:color="auto"/>
        <w:left w:val="none" w:sz="0" w:space="0" w:color="auto"/>
        <w:bottom w:val="none" w:sz="0" w:space="0" w:color="auto"/>
        <w:right w:val="none" w:sz="0" w:space="0" w:color="auto"/>
      </w:divBdr>
      <w:divsChild>
        <w:div w:id="46344725">
          <w:marLeft w:val="0"/>
          <w:marRight w:val="0"/>
          <w:marTop w:val="0"/>
          <w:marBottom w:val="0"/>
          <w:divBdr>
            <w:top w:val="none" w:sz="0" w:space="0" w:color="auto"/>
            <w:left w:val="none" w:sz="0" w:space="0" w:color="auto"/>
            <w:bottom w:val="none" w:sz="0" w:space="0" w:color="auto"/>
            <w:right w:val="none" w:sz="0" w:space="0" w:color="auto"/>
          </w:divBdr>
        </w:div>
        <w:div w:id="251939577">
          <w:marLeft w:val="0"/>
          <w:marRight w:val="0"/>
          <w:marTop w:val="0"/>
          <w:marBottom w:val="0"/>
          <w:divBdr>
            <w:top w:val="none" w:sz="0" w:space="0" w:color="auto"/>
            <w:left w:val="none" w:sz="0" w:space="0" w:color="auto"/>
            <w:bottom w:val="none" w:sz="0" w:space="0" w:color="auto"/>
            <w:right w:val="none" w:sz="0" w:space="0" w:color="auto"/>
          </w:divBdr>
        </w:div>
        <w:div w:id="279147049">
          <w:marLeft w:val="0"/>
          <w:marRight w:val="0"/>
          <w:marTop w:val="0"/>
          <w:marBottom w:val="0"/>
          <w:divBdr>
            <w:top w:val="none" w:sz="0" w:space="0" w:color="auto"/>
            <w:left w:val="none" w:sz="0" w:space="0" w:color="auto"/>
            <w:bottom w:val="none" w:sz="0" w:space="0" w:color="auto"/>
            <w:right w:val="none" w:sz="0" w:space="0" w:color="auto"/>
          </w:divBdr>
        </w:div>
        <w:div w:id="469522807">
          <w:marLeft w:val="0"/>
          <w:marRight w:val="0"/>
          <w:marTop w:val="0"/>
          <w:marBottom w:val="0"/>
          <w:divBdr>
            <w:top w:val="none" w:sz="0" w:space="0" w:color="auto"/>
            <w:left w:val="none" w:sz="0" w:space="0" w:color="auto"/>
            <w:bottom w:val="none" w:sz="0" w:space="0" w:color="auto"/>
            <w:right w:val="none" w:sz="0" w:space="0" w:color="auto"/>
          </w:divBdr>
        </w:div>
        <w:div w:id="470249167">
          <w:marLeft w:val="0"/>
          <w:marRight w:val="0"/>
          <w:marTop w:val="0"/>
          <w:marBottom w:val="0"/>
          <w:divBdr>
            <w:top w:val="none" w:sz="0" w:space="0" w:color="auto"/>
            <w:left w:val="none" w:sz="0" w:space="0" w:color="auto"/>
            <w:bottom w:val="none" w:sz="0" w:space="0" w:color="auto"/>
            <w:right w:val="none" w:sz="0" w:space="0" w:color="auto"/>
          </w:divBdr>
        </w:div>
        <w:div w:id="591859689">
          <w:marLeft w:val="0"/>
          <w:marRight w:val="0"/>
          <w:marTop w:val="0"/>
          <w:marBottom w:val="0"/>
          <w:divBdr>
            <w:top w:val="none" w:sz="0" w:space="0" w:color="auto"/>
            <w:left w:val="none" w:sz="0" w:space="0" w:color="auto"/>
            <w:bottom w:val="none" w:sz="0" w:space="0" w:color="auto"/>
            <w:right w:val="none" w:sz="0" w:space="0" w:color="auto"/>
          </w:divBdr>
        </w:div>
        <w:div w:id="613828996">
          <w:marLeft w:val="0"/>
          <w:marRight w:val="0"/>
          <w:marTop w:val="0"/>
          <w:marBottom w:val="0"/>
          <w:divBdr>
            <w:top w:val="none" w:sz="0" w:space="0" w:color="auto"/>
            <w:left w:val="none" w:sz="0" w:space="0" w:color="auto"/>
            <w:bottom w:val="none" w:sz="0" w:space="0" w:color="auto"/>
            <w:right w:val="none" w:sz="0" w:space="0" w:color="auto"/>
          </w:divBdr>
        </w:div>
        <w:div w:id="668798439">
          <w:marLeft w:val="0"/>
          <w:marRight w:val="0"/>
          <w:marTop w:val="0"/>
          <w:marBottom w:val="0"/>
          <w:divBdr>
            <w:top w:val="none" w:sz="0" w:space="0" w:color="auto"/>
            <w:left w:val="none" w:sz="0" w:space="0" w:color="auto"/>
            <w:bottom w:val="none" w:sz="0" w:space="0" w:color="auto"/>
            <w:right w:val="none" w:sz="0" w:space="0" w:color="auto"/>
          </w:divBdr>
        </w:div>
        <w:div w:id="678771950">
          <w:marLeft w:val="0"/>
          <w:marRight w:val="0"/>
          <w:marTop w:val="0"/>
          <w:marBottom w:val="0"/>
          <w:divBdr>
            <w:top w:val="none" w:sz="0" w:space="0" w:color="auto"/>
            <w:left w:val="none" w:sz="0" w:space="0" w:color="auto"/>
            <w:bottom w:val="none" w:sz="0" w:space="0" w:color="auto"/>
            <w:right w:val="none" w:sz="0" w:space="0" w:color="auto"/>
          </w:divBdr>
        </w:div>
        <w:div w:id="720907667">
          <w:marLeft w:val="0"/>
          <w:marRight w:val="0"/>
          <w:marTop w:val="0"/>
          <w:marBottom w:val="0"/>
          <w:divBdr>
            <w:top w:val="none" w:sz="0" w:space="0" w:color="auto"/>
            <w:left w:val="none" w:sz="0" w:space="0" w:color="auto"/>
            <w:bottom w:val="none" w:sz="0" w:space="0" w:color="auto"/>
            <w:right w:val="none" w:sz="0" w:space="0" w:color="auto"/>
          </w:divBdr>
        </w:div>
        <w:div w:id="891648906">
          <w:marLeft w:val="0"/>
          <w:marRight w:val="0"/>
          <w:marTop w:val="0"/>
          <w:marBottom w:val="0"/>
          <w:divBdr>
            <w:top w:val="none" w:sz="0" w:space="0" w:color="auto"/>
            <w:left w:val="none" w:sz="0" w:space="0" w:color="auto"/>
            <w:bottom w:val="none" w:sz="0" w:space="0" w:color="auto"/>
            <w:right w:val="none" w:sz="0" w:space="0" w:color="auto"/>
          </w:divBdr>
        </w:div>
        <w:div w:id="1010058298">
          <w:marLeft w:val="0"/>
          <w:marRight w:val="0"/>
          <w:marTop w:val="0"/>
          <w:marBottom w:val="0"/>
          <w:divBdr>
            <w:top w:val="none" w:sz="0" w:space="0" w:color="auto"/>
            <w:left w:val="none" w:sz="0" w:space="0" w:color="auto"/>
            <w:bottom w:val="none" w:sz="0" w:space="0" w:color="auto"/>
            <w:right w:val="none" w:sz="0" w:space="0" w:color="auto"/>
          </w:divBdr>
        </w:div>
        <w:div w:id="1124541913">
          <w:marLeft w:val="0"/>
          <w:marRight w:val="0"/>
          <w:marTop w:val="0"/>
          <w:marBottom w:val="0"/>
          <w:divBdr>
            <w:top w:val="none" w:sz="0" w:space="0" w:color="auto"/>
            <w:left w:val="none" w:sz="0" w:space="0" w:color="auto"/>
            <w:bottom w:val="none" w:sz="0" w:space="0" w:color="auto"/>
            <w:right w:val="none" w:sz="0" w:space="0" w:color="auto"/>
          </w:divBdr>
        </w:div>
        <w:div w:id="1244804037">
          <w:marLeft w:val="0"/>
          <w:marRight w:val="0"/>
          <w:marTop w:val="0"/>
          <w:marBottom w:val="0"/>
          <w:divBdr>
            <w:top w:val="none" w:sz="0" w:space="0" w:color="auto"/>
            <w:left w:val="none" w:sz="0" w:space="0" w:color="auto"/>
            <w:bottom w:val="none" w:sz="0" w:space="0" w:color="auto"/>
            <w:right w:val="none" w:sz="0" w:space="0" w:color="auto"/>
          </w:divBdr>
        </w:div>
        <w:div w:id="1259868020">
          <w:marLeft w:val="0"/>
          <w:marRight w:val="0"/>
          <w:marTop w:val="0"/>
          <w:marBottom w:val="0"/>
          <w:divBdr>
            <w:top w:val="none" w:sz="0" w:space="0" w:color="auto"/>
            <w:left w:val="none" w:sz="0" w:space="0" w:color="auto"/>
            <w:bottom w:val="none" w:sz="0" w:space="0" w:color="auto"/>
            <w:right w:val="none" w:sz="0" w:space="0" w:color="auto"/>
          </w:divBdr>
        </w:div>
        <w:div w:id="1317874420">
          <w:marLeft w:val="0"/>
          <w:marRight w:val="0"/>
          <w:marTop w:val="0"/>
          <w:marBottom w:val="0"/>
          <w:divBdr>
            <w:top w:val="none" w:sz="0" w:space="0" w:color="auto"/>
            <w:left w:val="none" w:sz="0" w:space="0" w:color="auto"/>
            <w:bottom w:val="none" w:sz="0" w:space="0" w:color="auto"/>
            <w:right w:val="none" w:sz="0" w:space="0" w:color="auto"/>
          </w:divBdr>
        </w:div>
        <w:div w:id="1476946667">
          <w:marLeft w:val="0"/>
          <w:marRight w:val="0"/>
          <w:marTop w:val="0"/>
          <w:marBottom w:val="0"/>
          <w:divBdr>
            <w:top w:val="none" w:sz="0" w:space="0" w:color="auto"/>
            <w:left w:val="none" w:sz="0" w:space="0" w:color="auto"/>
            <w:bottom w:val="none" w:sz="0" w:space="0" w:color="auto"/>
            <w:right w:val="none" w:sz="0" w:space="0" w:color="auto"/>
          </w:divBdr>
        </w:div>
        <w:div w:id="1514883129">
          <w:marLeft w:val="0"/>
          <w:marRight w:val="0"/>
          <w:marTop w:val="0"/>
          <w:marBottom w:val="0"/>
          <w:divBdr>
            <w:top w:val="none" w:sz="0" w:space="0" w:color="auto"/>
            <w:left w:val="none" w:sz="0" w:space="0" w:color="auto"/>
            <w:bottom w:val="none" w:sz="0" w:space="0" w:color="auto"/>
            <w:right w:val="none" w:sz="0" w:space="0" w:color="auto"/>
          </w:divBdr>
        </w:div>
        <w:div w:id="1549997719">
          <w:marLeft w:val="0"/>
          <w:marRight w:val="0"/>
          <w:marTop w:val="0"/>
          <w:marBottom w:val="0"/>
          <w:divBdr>
            <w:top w:val="none" w:sz="0" w:space="0" w:color="auto"/>
            <w:left w:val="none" w:sz="0" w:space="0" w:color="auto"/>
            <w:bottom w:val="none" w:sz="0" w:space="0" w:color="auto"/>
            <w:right w:val="none" w:sz="0" w:space="0" w:color="auto"/>
          </w:divBdr>
        </w:div>
        <w:div w:id="1598055596">
          <w:marLeft w:val="0"/>
          <w:marRight w:val="0"/>
          <w:marTop w:val="0"/>
          <w:marBottom w:val="0"/>
          <w:divBdr>
            <w:top w:val="none" w:sz="0" w:space="0" w:color="auto"/>
            <w:left w:val="none" w:sz="0" w:space="0" w:color="auto"/>
            <w:bottom w:val="none" w:sz="0" w:space="0" w:color="auto"/>
            <w:right w:val="none" w:sz="0" w:space="0" w:color="auto"/>
          </w:divBdr>
        </w:div>
        <w:div w:id="1729379702">
          <w:marLeft w:val="0"/>
          <w:marRight w:val="0"/>
          <w:marTop w:val="0"/>
          <w:marBottom w:val="0"/>
          <w:divBdr>
            <w:top w:val="none" w:sz="0" w:space="0" w:color="auto"/>
            <w:left w:val="none" w:sz="0" w:space="0" w:color="auto"/>
            <w:bottom w:val="none" w:sz="0" w:space="0" w:color="auto"/>
            <w:right w:val="none" w:sz="0" w:space="0" w:color="auto"/>
          </w:divBdr>
        </w:div>
        <w:div w:id="1780031243">
          <w:marLeft w:val="0"/>
          <w:marRight w:val="0"/>
          <w:marTop w:val="0"/>
          <w:marBottom w:val="0"/>
          <w:divBdr>
            <w:top w:val="none" w:sz="0" w:space="0" w:color="auto"/>
            <w:left w:val="none" w:sz="0" w:space="0" w:color="auto"/>
            <w:bottom w:val="none" w:sz="0" w:space="0" w:color="auto"/>
            <w:right w:val="none" w:sz="0" w:space="0" w:color="auto"/>
          </w:divBdr>
        </w:div>
        <w:div w:id="1807700802">
          <w:marLeft w:val="0"/>
          <w:marRight w:val="0"/>
          <w:marTop w:val="0"/>
          <w:marBottom w:val="0"/>
          <w:divBdr>
            <w:top w:val="none" w:sz="0" w:space="0" w:color="auto"/>
            <w:left w:val="none" w:sz="0" w:space="0" w:color="auto"/>
            <w:bottom w:val="none" w:sz="0" w:space="0" w:color="auto"/>
            <w:right w:val="none" w:sz="0" w:space="0" w:color="auto"/>
          </w:divBdr>
        </w:div>
        <w:div w:id="1976713102">
          <w:marLeft w:val="0"/>
          <w:marRight w:val="0"/>
          <w:marTop w:val="0"/>
          <w:marBottom w:val="0"/>
          <w:divBdr>
            <w:top w:val="none" w:sz="0" w:space="0" w:color="auto"/>
            <w:left w:val="none" w:sz="0" w:space="0" w:color="auto"/>
            <w:bottom w:val="none" w:sz="0" w:space="0" w:color="auto"/>
            <w:right w:val="none" w:sz="0" w:space="0" w:color="auto"/>
          </w:divBdr>
        </w:div>
        <w:div w:id="1978994086">
          <w:marLeft w:val="0"/>
          <w:marRight w:val="0"/>
          <w:marTop w:val="0"/>
          <w:marBottom w:val="0"/>
          <w:divBdr>
            <w:top w:val="none" w:sz="0" w:space="0" w:color="auto"/>
            <w:left w:val="none" w:sz="0" w:space="0" w:color="auto"/>
            <w:bottom w:val="none" w:sz="0" w:space="0" w:color="auto"/>
            <w:right w:val="none" w:sz="0" w:space="0" w:color="auto"/>
          </w:divBdr>
        </w:div>
        <w:div w:id="2054842435">
          <w:marLeft w:val="0"/>
          <w:marRight w:val="0"/>
          <w:marTop w:val="0"/>
          <w:marBottom w:val="0"/>
          <w:divBdr>
            <w:top w:val="none" w:sz="0" w:space="0" w:color="auto"/>
            <w:left w:val="none" w:sz="0" w:space="0" w:color="auto"/>
            <w:bottom w:val="none" w:sz="0" w:space="0" w:color="auto"/>
            <w:right w:val="none" w:sz="0" w:space="0" w:color="auto"/>
          </w:divBdr>
        </w:div>
        <w:div w:id="2138641257">
          <w:marLeft w:val="0"/>
          <w:marRight w:val="0"/>
          <w:marTop w:val="0"/>
          <w:marBottom w:val="0"/>
          <w:divBdr>
            <w:top w:val="none" w:sz="0" w:space="0" w:color="auto"/>
            <w:left w:val="none" w:sz="0" w:space="0" w:color="auto"/>
            <w:bottom w:val="none" w:sz="0" w:space="0" w:color="auto"/>
            <w:right w:val="none" w:sz="0" w:space="0" w:color="auto"/>
          </w:divBdr>
        </w:div>
      </w:divsChild>
    </w:div>
    <w:div w:id="1978564545">
      <w:bodyDiv w:val="1"/>
      <w:marLeft w:val="0"/>
      <w:marRight w:val="0"/>
      <w:marTop w:val="0"/>
      <w:marBottom w:val="0"/>
      <w:divBdr>
        <w:top w:val="none" w:sz="0" w:space="0" w:color="auto"/>
        <w:left w:val="none" w:sz="0" w:space="0" w:color="auto"/>
        <w:bottom w:val="none" w:sz="0" w:space="0" w:color="auto"/>
        <w:right w:val="none" w:sz="0" w:space="0" w:color="auto"/>
      </w:divBdr>
    </w:div>
    <w:div w:id="1982882443">
      <w:bodyDiv w:val="1"/>
      <w:marLeft w:val="0"/>
      <w:marRight w:val="0"/>
      <w:marTop w:val="0"/>
      <w:marBottom w:val="0"/>
      <w:divBdr>
        <w:top w:val="none" w:sz="0" w:space="0" w:color="auto"/>
        <w:left w:val="none" w:sz="0" w:space="0" w:color="auto"/>
        <w:bottom w:val="none" w:sz="0" w:space="0" w:color="auto"/>
        <w:right w:val="none" w:sz="0" w:space="0" w:color="auto"/>
      </w:divBdr>
      <w:divsChild>
        <w:div w:id="3632619">
          <w:marLeft w:val="0"/>
          <w:marRight w:val="0"/>
          <w:marTop w:val="0"/>
          <w:marBottom w:val="0"/>
          <w:divBdr>
            <w:top w:val="none" w:sz="0" w:space="0" w:color="auto"/>
            <w:left w:val="none" w:sz="0" w:space="0" w:color="auto"/>
            <w:bottom w:val="none" w:sz="0" w:space="0" w:color="auto"/>
            <w:right w:val="none" w:sz="0" w:space="0" w:color="auto"/>
          </w:divBdr>
        </w:div>
        <w:div w:id="7484630">
          <w:marLeft w:val="0"/>
          <w:marRight w:val="0"/>
          <w:marTop w:val="0"/>
          <w:marBottom w:val="0"/>
          <w:divBdr>
            <w:top w:val="none" w:sz="0" w:space="0" w:color="auto"/>
            <w:left w:val="none" w:sz="0" w:space="0" w:color="auto"/>
            <w:bottom w:val="none" w:sz="0" w:space="0" w:color="auto"/>
            <w:right w:val="none" w:sz="0" w:space="0" w:color="auto"/>
          </w:divBdr>
        </w:div>
        <w:div w:id="151724895">
          <w:marLeft w:val="0"/>
          <w:marRight w:val="0"/>
          <w:marTop w:val="0"/>
          <w:marBottom w:val="0"/>
          <w:divBdr>
            <w:top w:val="none" w:sz="0" w:space="0" w:color="auto"/>
            <w:left w:val="none" w:sz="0" w:space="0" w:color="auto"/>
            <w:bottom w:val="none" w:sz="0" w:space="0" w:color="auto"/>
            <w:right w:val="none" w:sz="0" w:space="0" w:color="auto"/>
          </w:divBdr>
        </w:div>
        <w:div w:id="186136149">
          <w:marLeft w:val="0"/>
          <w:marRight w:val="0"/>
          <w:marTop w:val="0"/>
          <w:marBottom w:val="0"/>
          <w:divBdr>
            <w:top w:val="none" w:sz="0" w:space="0" w:color="auto"/>
            <w:left w:val="none" w:sz="0" w:space="0" w:color="auto"/>
            <w:bottom w:val="none" w:sz="0" w:space="0" w:color="auto"/>
            <w:right w:val="none" w:sz="0" w:space="0" w:color="auto"/>
          </w:divBdr>
        </w:div>
        <w:div w:id="213665312">
          <w:marLeft w:val="0"/>
          <w:marRight w:val="0"/>
          <w:marTop w:val="0"/>
          <w:marBottom w:val="0"/>
          <w:divBdr>
            <w:top w:val="none" w:sz="0" w:space="0" w:color="auto"/>
            <w:left w:val="none" w:sz="0" w:space="0" w:color="auto"/>
            <w:bottom w:val="none" w:sz="0" w:space="0" w:color="auto"/>
            <w:right w:val="none" w:sz="0" w:space="0" w:color="auto"/>
          </w:divBdr>
        </w:div>
        <w:div w:id="237517316">
          <w:marLeft w:val="0"/>
          <w:marRight w:val="0"/>
          <w:marTop w:val="0"/>
          <w:marBottom w:val="0"/>
          <w:divBdr>
            <w:top w:val="none" w:sz="0" w:space="0" w:color="auto"/>
            <w:left w:val="none" w:sz="0" w:space="0" w:color="auto"/>
            <w:bottom w:val="none" w:sz="0" w:space="0" w:color="auto"/>
            <w:right w:val="none" w:sz="0" w:space="0" w:color="auto"/>
          </w:divBdr>
        </w:div>
        <w:div w:id="334499524">
          <w:marLeft w:val="0"/>
          <w:marRight w:val="0"/>
          <w:marTop w:val="0"/>
          <w:marBottom w:val="0"/>
          <w:divBdr>
            <w:top w:val="none" w:sz="0" w:space="0" w:color="auto"/>
            <w:left w:val="none" w:sz="0" w:space="0" w:color="auto"/>
            <w:bottom w:val="none" w:sz="0" w:space="0" w:color="auto"/>
            <w:right w:val="none" w:sz="0" w:space="0" w:color="auto"/>
          </w:divBdr>
        </w:div>
        <w:div w:id="531497670">
          <w:marLeft w:val="0"/>
          <w:marRight w:val="0"/>
          <w:marTop w:val="0"/>
          <w:marBottom w:val="0"/>
          <w:divBdr>
            <w:top w:val="none" w:sz="0" w:space="0" w:color="auto"/>
            <w:left w:val="none" w:sz="0" w:space="0" w:color="auto"/>
            <w:bottom w:val="none" w:sz="0" w:space="0" w:color="auto"/>
            <w:right w:val="none" w:sz="0" w:space="0" w:color="auto"/>
          </w:divBdr>
        </w:div>
        <w:div w:id="694573366">
          <w:marLeft w:val="0"/>
          <w:marRight w:val="0"/>
          <w:marTop w:val="0"/>
          <w:marBottom w:val="0"/>
          <w:divBdr>
            <w:top w:val="none" w:sz="0" w:space="0" w:color="auto"/>
            <w:left w:val="none" w:sz="0" w:space="0" w:color="auto"/>
            <w:bottom w:val="none" w:sz="0" w:space="0" w:color="auto"/>
            <w:right w:val="none" w:sz="0" w:space="0" w:color="auto"/>
          </w:divBdr>
        </w:div>
        <w:div w:id="913468974">
          <w:marLeft w:val="0"/>
          <w:marRight w:val="0"/>
          <w:marTop w:val="0"/>
          <w:marBottom w:val="0"/>
          <w:divBdr>
            <w:top w:val="none" w:sz="0" w:space="0" w:color="auto"/>
            <w:left w:val="none" w:sz="0" w:space="0" w:color="auto"/>
            <w:bottom w:val="none" w:sz="0" w:space="0" w:color="auto"/>
            <w:right w:val="none" w:sz="0" w:space="0" w:color="auto"/>
          </w:divBdr>
        </w:div>
        <w:div w:id="1018845882">
          <w:marLeft w:val="0"/>
          <w:marRight w:val="0"/>
          <w:marTop w:val="0"/>
          <w:marBottom w:val="0"/>
          <w:divBdr>
            <w:top w:val="none" w:sz="0" w:space="0" w:color="auto"/>
            <w:left w:val="none" w:sz="0" w:space="0" w:color="auto"/>
            <w:bottom w:val="none" w:sz="0" w:space="0" w:color="auto"/>
            <w:right w:val="none" w:sz="0" w:space="0" w:color="auto"/>
          </w:divBdr>
        </w:div>
        <w:div w:id="1039359660">
          <w:marLeft w:val="0"/>
          <w:marRight w:val="0"/>
          <w:marTop w:val="0"/>
          <w:marBottom w:val="0"/>
          <w:divBdr>
            <w:top w:val="none" w:sz="0" w:space="0" w:color="auto"/>
            <w:left w:val="none" w:sz="0" w:space="0" w:color="auto"/>
            <w:bottom w:val="none" w:sz="0" w:space="0" w:color="auto"/>
            <w:right w:val="none" w:sz="0" w:space="0" w:color="auto"/>
          </w:divBdr>
        </w:div>
        <w:div w:id="1142117959">
          <w:marLeft w:val="0"/>
          <w:marRight w:val="0"/>
          <w:marTop w:val="0"/>
          <w:marBottom w:val="0"/>
          <w:divBdr>
            <w:top w:val="none" w:sz="0" w:space="0" w:color="auto"/>
            <w:left w:val="none" w:sz="0" w:space="0" w:color="auto"/>
            <w:bottom w:val="none" w:sz="0" w:space="0" w:color="auto"/>
            <w:right w:val="none" w:sz="0" w:space="0" w:color="auto"/>
          </w:divBdr>
        </w:div>
        <w:div w:id="1237714320">
          <w:marLeft w:val="0"/>
          <w:marRight w:val="0"/>
          <w:marTop w:val="0"/>
          <w:marBottom w:val="0"/>
          <w:divBdr>
            <w:top w:val="none" w:sz="0" w:space="0" w:color="auto"/>
            <w:left w:val="none" w:sz="0" w:space="0" w:color="auto"/>
            <w:bottom w:val="none" w:sz="0" w:space="0" w:color="auto"/>
            <w:right w:val="none" w:sz="0" w:space="0" w:color="auto"/>
          </w:divBdr>
        </w:div>
        <w:div w:id="1258371172">
          <w:marLeft w:val="0"/>
          <w:marRight w:val="0"/>
          <w:marTop w:val="0"/>
          <w:marBottom w:val="0"/>
          <w:divBdr>
            <w:top w:val="none" w:sz="0" w:space="0" w:color="auto"/>
            <w:left w:val="none" w:sz="0" w:space="0" w:color="auto"/>
            <w:bottom w:val="none" w:sz="0" w:space="0" w:color="auto"/>
            <w:right w:val="none" w:sz="0" w:space="0" w:color="auto"/>
          </w:divBdr>
        </w:div>
        <w:div w:id="1405880240">
          <w:marLeft w:val="0"/>
          <w:marRight w:val="0"/>
          <w:marTop w:val="0"/>
          <w:marBottom w:val="0"/>
          <w:divBdr>
            <w:top w:val="none" w:sz="0" w:space="0" w:color="auto"/>
            <w:left w:val="none" w:sz="0" w:space="0" w:color="auto"/>
            <w:bottom w:val="none" w:sz="0" w:space="0" w:color="auto"/>
            <w:right w:val="none" w:sz="0" w:space="0" w:color="auto"/>
          </w:divBdr>
        </w:div>
        <w:div w:id="1521167153">
          <w:marLeft w:val="0"/>
          <w:marRight w:val="0"/>
          <w:marTop w:val="0"/>
          <w:marBottom w:val="0"/>
          <w:divBdr>
            <w:top w:val="none" w:sz="0" w:space="0" w:color="auto"/>
            <w:left w:val="none" w:sz="0" w:space="0" w:color="auto"/>
            <w:bottom w:val="none" w:sz="0" w:space="0" w:color="auto"/>
            <w:right w:val="none" w:sz="0" w:space="0" w:color="auto"/>
          </w:divBdr>
        </w:div>
        <w:div w:id="1594170451">
          <w:marLeft w:val="0"/>
          <w:marRight w:val="0"/>
          <w:marTop w:val="0"/>
          <w:marBottom w:val="0"/>
          <w:divBdr>
            <w:top w:val="none" w:sz="0" w:space="0" w:color="auto"/>
            <w:left w:val="none" w:sz="0" w:space="0" w:color="auto"/>
            <w:bottom w:val="none" w:sz="0" w:space="0" w:color="auto"/>
            <w:right w:val="none" w:sz="0" w:space="0" w:color="auto"/>
          </w:divBdr>
        </w:div>
        <w:div w:id="1630361882">
          <w:marLeft w:val="0"/>
          <w:marRight w:val="0"/>
          <w:marTop w:val="0"/>
          <w:marBottom w:val="0"/>
          <w:divBdr>
            <w:top w:val="none" w:sz="0" w:space="0" w:color="auto"/>
            <w:left w:val="none" w:sz="0" w:space="0" w:color="auto"/>
            <w:bottom w:val="none" w:sz="0" w:space="0" w:color="auto"/>
            <w:right w:val="none" w:sz="0" w:space="0" w:color="auto"/>
          </w:divBdr>
        </w:div>
        <w:div w:id="1719938280">
          <w:marLeft w:val="0"/>
          <w:marRight w:val="0"/>
          <w:marTop w:val="0"/>
          <w:marBottom w:val="0"/>
          <w:divBdr>
            <w:top w:val="none" w:sz="0" w:space="0" w:color="auto"/>
            <w:left w:val="none" w:sz="0" w:space="0" w:color="auto"/>
            <w:bottom w:val="none" w:sz="0" w:space="0" w:color="auto"/>
            <w:right w:val="none" w:sz="0" w:space="0" w:color="auto"/>
          </w:divBdr>
        </w:div>
        <w:div w:id="1759868563">
          <w:marLeft w:val="0"/>
          <w:marRight w:val="0"/>
          <w:marTop w:val="0"/>
          <w:marBottom w:val="0"/>
          <w:divBdr>
            <w:top w:val="none" w:sz="0" w:space="0" w:color="auto"/>
            <w:left w:val="none" w:sz="0" w:space="0" w:color="auto"/>
            <w:bottom w:val="none" w:sz="0" w:space="0" w:color="auto"/>
            <w:right w:val="none" w:sz="0" w:space="0" w:color="auto"/>
          </w:divBdr>
        </w:div>
        <w:div w:id="1772772320">
          <w:marLeft w:val="0"/>
          <w:marRight w:val="0"/>
          <w:marTop w:val="0"/>
          <w:marBottom w:val="0"/>
          <w:divBdr>
            <w:top w:val="none" w:sz="0" w:space="0" w:color="auto"/>
            <w:left w:val="none" w:sz="0" w:space="0" w:color="auto"/>
            <w:bottom w:val="none" w:sz="0" w:space="0" w:color="auto"/>
            <w:right w:val="none" w:sz="0" w:space="0" w:color="auto"/>
          </w:divBdr>
        </w:div>
        <w:div w:id="1832911174">
          <w:marLeft w:val="0"/>
          <w:marRight w:val="0"/>
          <w:marTop w:val="0"/>
          <w:marBottom w:val="0"/>
          <w:divBdr>
            <w:top w:val="none" w:sz="0" w:space="0" w:color="auto"/>
            <w:left w:val="none" w:sz="0" w:space="0" w:color="auto"/>
            <w:bottom w:val="none" w:sz="0" w:space="0" w:color="auto"/>
            <w:right w:val="none" w:sz="0" w:space="0" w:color="auto"/>
          </w:divBdr>
        </w:div>
        <w:div w:id="1855458714">
          <w:marLeft w:val="0"/>
          <w:marRight w:val="0"/>
          <w:marTop w:val="0"/>
          <w:marBottom w:val="0"/>
          <w:divBdr>
            <w:top w:val="none" w:sz="0" w:space="0" w:color="auto"/>
            <w:left w:val="none" w:sz="0" w:space="0" w:color="auto"/>
            <w:bottom w:val="none" w:sz="0" w:space="0" w:color="auto"/>
            <w:right w:val="none" w:sz="0" w:space="0" w:color="auto"/>
          </w:divBdr>
        </w:div>
        <w:div w:id="1911693841">
          <w:marLeft w:val="0"/>
          <w:marRight w:val="0"/>
          <w:marTop w:val="0"/>
          <w:marBottom w:val="0"/>
          <w:divBdr>
            <w:top w:val="none" w:sz="0" w:space="0" w:color="auto"/>
            <w:left w:val="none" w:sz="0" w:space="0" w:color="auto"/>
            <w:bottom w:val="none" w:sz="0" w:space="0" w:color="auto"/>
            <w:right w:val="none" w:sz="0" w:space="0" w:color="auto"/>
          </w:divBdr>
        </w:div>
        <w:div w:id="1929003312">
          <w:marLeft w:val="0"/>
          <w:marRight w:val="0"/>
          <w:marTop w:val="0"/>
          <w:marBottom w:val="0"/>
          <w:divBdr>
            <w:top w:val="none" w:sz="0" w:space="0" w:color="auto"/>
            <w:left w:val="none" w:sz="0" w:space="0" w:color="auto"/>
            <w:bottom w:val="none" w:sz="0" w:space="0" w:color="auto"/>
            <w:right w:val="none" w:sz="0" w:space="0" w:color="auto"/>
          </w:divBdr>
        </w:div>
        <w:div w:id="2090958668">
          <w:marLeft w:val="0"/>
          <w:marRight w:val="0"/>
          <w:marTop w:val="0"/>
          <w:marBottom w:val="0"/>
          <w:divBdr>
            <w:top w:val="none" w:sz="0" w:space="0" w:color="auto"/>
            <w:left w:val="none" w:sz="0" w:space="0" w:color="auto"/>
            <w:bottom w:val="none" w:sz="0" w:space="0" w:color="auto"/>
            <w:right w:val="none" w:sz="0" w:space="0" w:color="auto"/>
          </w:divBdr>
        </w:div>
        <w:div w:id="2101094618">
          <w:marLeft w:val="0"/>
          <w:marRight w:val="0"/>
          <w:marTop w:val="0"/>
          <w:marBottom w:val="0"/>
          <w:divBdr>
            <w:top w:val="none" w:sz="0" w:space="0" w:color="auto"/>
            <w:left w:val="none" w:sz="0" w:space="0" w:color="auto"/>
            <w:bottom w:val="none" w:sz="0" w:space="0" w:color="auto"/>
            <w:right w:val="none" w:sz="0" w:space="0" w:color="auto"/>
          </w:divBdr>
        </w:div>
      </w:divsChild>
    </w:div>
    <w:div w:id="2015720139">
      <w:bodyDiv w:val="1"/>
      <w:marLeft w:val="0"/>
      <w:marRight w:val="0"/>
      <w:marTop w:val="0"/>
      <w:marBottom w:val="0"/>
      <w:divBdr>
        <w:top w:val="none" w:sz="0" w:space="0" w:color="auto"/>
        <w:left w:val="none" w:sz="0" w:space="0" w:color="auto"/>
        <w:bottom w:val="none" w:sz="0" w:space="0" w:color="auto"/>
        <w:right w:val="none" w:sz="0" w:space="0" w:color="auto"/>
      </w:divBdr>
      <w:divsChild>
        <w:div w:id="13925913">
          <w:marLeft w:val="0"/>
          <w:marRight w:val="0"/>
          <w:marTop w:val="0"/>
          <w:marBottom w:val="0"/>
          <w:divBdr>
            <w:top w:val="none" w:sz="0" w:space="0" w:color="auto"/>
            <w:left w:val="none" w:sz="0" w:space="0" w:color="auto"/>
            <w:bottom w:val="none" w:sz="0" w:space="0" w:color="auto"/>
            <w:right w:val="none" w:sz="0" w:space="0" w:color="auto"/>
          </w:divBdr>
        </w:div>
        <w:div w:id="64650612">
          <w:marLeft w:val="0"/>
          <w:marRight w:val="0"/>
          <w:marTop w:val="0"/>
          <w:marBottom w:val="0"/>
          <w:divBdr>
            <w:top w:val="none" w:sz="0" w:space="0" w:color="auto"/>
            <w:left w:val="none" w:sz="0" w:space="0" w:color="auto"/>
            <w:bottom w:val="none" w:sz="0" w:space="0" w:color="auto"/>
            <w:right w:val="none" w:sz="0" w:space="0" w:color="auto"/>
          </w:divBdr>
        </w:div>
        <w:div w:id="264263968">
          <w:marLeft w:val="0"/>
          <w:marRight w:val="0"/>
          <w:marTop w:val="0"/>
          <w:marBottom w:val="0"/>
          <w:divBdr>
            <w:top w:val="none" w:sz="0" w:space="0" w:color="auto"/>
            <w:left w:val="none" w:sz="0" w:space="0" w:color="auto"/>
            <w:bottom w:val="none" w:sz="0" w:space="0" w:color="auto"/>
            <w:right w:val="none" w:sz="0" w:space="0" w:color="auto"/>
          </w:divBdr>
        </w:div>
        <w:div w:id="543492873">
          <w:marLeft w:val="0"/>
          <w:marRight w:val="0"/>
          <w:marTop w:val="0"/>
          <w:marBottom w:val="0"/>
          <w:divBdr>
            <w:top w:val="none" w:sz="0" w:space="0" w:color="auto"/>
            <w:left w:val="none" w:sz="0" w:space="0" w:color="auto"/>
            <w:bottom w:val="none" w:sz="0" w:space="0" w:color="auto"/>
            <w:right w:val="none" w:sz="0" w:space="0" w:color="auto"/>
          </w:divBdr>
        </w:div>
        <w:div w:id="736324080">
          <w:marLeft w:val="0"/>
          <w:marRight w:val="0"/>
          <w:marTop w:val="0"/>
          <w:marBottom w:val="0"/>
          <w:divBdr>
            <w:top w:val="none" w:sz="0" w:space="0" w:color="auto"/>
            <w:left w:val="none" w:sz="0" w:space="0" w:color="auto"/>
            <w:bottom w:val="none" w:sz="0" w:space="0" w:color="auto"/>
            <w:right w:val="none" w:sz="0" w:space="0" w:color="auto"/>
          </w:divBdr>
        </w:div>
        <w:div w:id="1125851381">
          <w:marLeft w:val="0"/>
          <w:marRight w:val="0"/>
          <w:marTop w:val="0"/>
          <w:marBottom w:val="0"/>
          <w:divBdr>
            <w:top w:val="none" w:sz="0" w:space="0" w:color="auto"/>
            <w:left w:val="none" w:sz="0" w:space="0" w:color="auto"/>
            <w:bottom w:val="none" w:sz="0" w:space="0" w:color="auto"/>
            <w:right w:val="none" w:sz="0" w:space="0" w:color="auto"/>
          </w:divBdr>
        </w:div>
        <w:div w:id="1286233735">
          <w:marLeft w:val="0"/>
          <w:marRight w:val="0"/>
          <w:marTop w:val="0"/>
          <w:marBottom w:val="0"/>
          <w:divBdr>
            <w:top w:val="none" w:sz="0" w:space="0" w:color="auto"/>
            <w:left w:val="none" w:sz="0" w:space="0" w:color="auto"/>
            <w:bottom w:val="none" w:sz="0" w:space="0" w:color="auto"/>
            <w:right w:val="none" w:sz="0" w:space="0" w:color="auto"/>
          </w:divBdr>
        </w:div>
        <w:div w:id="1320957572">
          <w:marLeft w:val="0"/>
          <w:marRight w:val="0"/>
          <w:marTop w:val="0"/>
          <w:marBottom w:val="0"/>
          <w:divBdr>
            <w:top w:val="none" w:sz="0" w:space="0" w:color="auto"/>
            <w:left w:val="none" w:sz="0" w:space="0" w:color="auto"/>
            <w:bottom w:val="none" w:sz="0" w:space="0" w:color="auto"/>
            <w:right w:val="none" w:sz="0" w:space="0" w:color="auto"/>
          </w:divBdr>
        </w:div>
        <w:div w:id="1460488927">
          <w:marLeft w:val="0"/>
          <w:marRight w:val="0"/>
          <w:marTop w:val="0"/>
          <w:marBottom w:val="0"/>
          <w:divBdr>
            <w:top w:val="none" w:sz="0" w:space="0" w:color="auto"/>
            <w:left w:val="none" w:sz="0" w:space="0" w:color="auto"/>
            <w:bottom w:val="none" w:sz="0" w:space="0" w:color="auto"/>
            <w:right w:val="none" w:sz="0" w:space="0" w:color="auto"/>
          </w:divBdr>
        </w:div>
        <w:div w:id="1696535336">
          <w:marLeft w:val="0"/>
          <w:marRight w:val="0"/>
          <w:marTop w:val="0"/>
          <w:marBottom w:val="0"/>
          <w:divBdr>
            <w:top w:val="none" w:sz="0" w:space="0" w:color="auto"/>
            <w:left w:val="none" w:sz="0" w:space="0" w:color="auto"/>
            <w:bottom w:val="none" w:sz="0" w:space="0" w:color="auto"/>
            <w:right w:val="none" w:sz="0" w:space="0" w:color="auto"/>
          </w:divBdr>
        </w:div>
        <w:div w:id="1722439619">
          <w:marLeft w:val="0"/>
          <w:marRight w:val="0"/>
          <w:marTop w:val="0"/>
          <w:marBottom w:val="0"/>
          <w:divBdr>
            <w:top w:val="none" w:sz="0" w:space="0" w:color="auto"/>
            <w:left w:val="none" w:sz="0" w:space="0" w:color="auto"/>
            <w:bottom w:val="none" w:sz="0" w:space="0" w:color="auto"/>
            <w:right w:val="none" w:sz="0" w:space="0" w:color="auto"/>
          </w:divBdr>
        </w:div>
        <w:div w:id="1770539022">
          <w:marLeft w:val="0"/>
          <w:marRight w:val="0"/>
          <w:marTop w:val="0"/>
          <w:marBottom w:val="0"/>
          <w:divBdr>
            <w:top w:val="none" w:sz="0" w:space="0" w:color="auto"/>
            <w:left w:val="none" w:sz="0" w:space="0" w:color="auto"/>
            <w:bottom w:val="none" w:sz="0" w:space="0" w:color="auto"/>
            <w:right w:val="none" w:sz="0" w:space="0" w:color="auto"/>
          </w:divBdr>
        </w:div>
        <w:div w:id="1834222281">
          <w:marLeft w:val="0"/>
          <w:marRight w:val="0"/>
          <w:marTop w:val="0"/>
          <w:marBottom w:val="0"/>
          <w:divBdr>
            <w:top w:val="none" w:sz="0" w:space="0" w:color="auto"/>
            <w:left w:val="none" w:sz="0" w:space="0" w:color="auto"/>
            <w:bottom w:val="none" w:sz="0" w:space="0" w:color="auto"/>
            <w:right w:val="none" w:sz="0" w:space="0" w:color="auto"/>
          </w:divBdr>
        </w:div>
        <w:div w:id="1935475102">
          <w:marLeft w:val="0"/>
          <w:marRight w:val="0"/>
          <w:marTop w:val="0"/>
          <w:marBottom w:val="0"/>
          <w:divBdr>
            <w:top w:val="none" w:sz="0" w:space="0" w:color="auto"/>
            <w:left w:val="none" w:sz="0" w:space="0" w:color="auto"/>
            <w:bottom w:val="none" w:sz="0" w:space="0" w:color="auto"/>
            <w:right w:val="none" w:sz="0" w:space="0" w:color="auto"/>
          </w:divBdr>
        </w:div>
        <w:div w:id="1968194857">
          <w:marLeft w:val="0"/>
          <w:marRight w:val="0"/>
          <w:marTop w:val="0"/>
          <w:marBottom w:val="0"/>
          <w:divBdr>
            <w:top w:val="none" w:sz="0" w:space="0" w:color="auto"/>
            <w:left w:val="none" w:sz="0" w:space="0" w:color="auto"/>
            <w:bottom w:val="none" w:sz="0" w:space="0" w:color="auto"/>
            <w:right w:val="none" w:sz="0" w:space="0" w:color="auto"/>
          </w:divBdr>
        </w:div>
      </w:divsChild>
    </w:div>
    <w:div w:id="2075005815">
      <w:bodyDiv w:val="1"/>
      <w:marLeft w:val="0"/>
      <w:marRight w:val="0"/>
      <w:marTop w:val="0"/>
      <w:marBottom w:val="0"/>
      <w:divBdr>
        <w:top w:val="none" w:sz="0" w:space="0" w:color="auto"/>
        <w:left w:val="none" w:sz="0" w:space="0" w:color="auto"/>
        <w:bottom w:val="none" w:sz="0" w:space="0" w:color="auto"/>
        <w:right w:val="none" w:sz="0" w:space="0" w:color="auto"/>
      </w:divBdr>
    </w:div>
    <w:div w:id="2104911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omments.xml.rels><?xml version="1.0" encoding="UTF-8" standalone="yes"?>
<Relationships xmlns="http://schemas.openxmlformats.org/package/2006/relationships"><Relationship Id="rId8" Type="http://schemas.openxmlformats.org/officeDocument/2006/relationships/hyperlink" Target="https://www.bankofengland.co.uk/-/media/boe/files/about/mpc/mpccoc.pdf" TargetMode="External"/><Relationship Id="rId3" Type="http://schemas.openxmlformats.org/officeDocument/2006/relationships/hyperlink" Target="https://www.bankofcanada.ca/core-functions/monetary-policy/key-interest-rate/blackout-guidelines/" TargetMode="External"/><Relationship Id="rId7" Type="http://schemas.openxmlformats.org/officeDocument/2006/relationships/hyperlink" Target="https://intlmonetaryfund.sharepoint.com/:b:/r/teams/CourseSTIEPC-ICDIP/Shared%20Documents/General/Module%204%20(MP)/mpc%20boe%20communication%20guidance.pdf?csf=1&amp;web=1&amp;e=J42ceF" TargetMode="External"/><Relationship Id="rId2" Type="http://schemas.openxmlformats.org/officeDocument/2006/relationships/hyperlink" Target="https://intlmonetaryfund.sharepoint.com/:b:/r/teams/CourseSTIEPC-ICDIP/Shared%20Documents/General/Module%204%20(MP)/Communication%20Policy_Riksbank.pdf?csf=1&amp;web=1&amp;e=wdttn8" TargetMode="External"/><Relationship Id="rId1" Type="http://schemas.openxmlformats.org/officeDocument/2006/relationships/hyperlink" Target="https://intlmonetaryfund.sharepoint.com/:w:/r/teams/CourseSTIEPC-ICDIP/Shared%20Documents/General/Module%204%20(MP)/Communications%20Strategy%20Framework%20-%20Role%20Model.docx?d=w0b92c0a380c74fcaa75c4c193eff3a50&amp;csf=1&amp;web=1&amp;e=zzfXiM" TargetMode="External"/><Relationship Id="rId6" Type="http://schemas.openxmlformats.org/officeDocument/2006/relationships/hyperlink" Target="https://www.cnb.cz/en/public/media-service/media-quarantine/index.html" TargetMode="External"/><Relationship Id="rId5" Type="http://schemas.openxmlformats.org/officeDocument/2006/relationships/hyperlink" Target="https://intlmonetaryfund.sharepoint.com/:w:/r/teams/CourseSTIEPC-ICDIP/Shared%20Documents/General/Module%204%20(MP)/%E2%80%9CMedia%20quarantine%E2%80%9D%20implemented%20by%20the%20Czech%20National%20Bank.docx?d=w66f51bb5e126484e83a4d2a7a58ba741&amp;csf=1&amp;web=1&amp;e=zL3hxT" TargetMode="External"/><Relationship Id="rId4" Type="http://schemas.openxmlformats.org/officeDocument/2006/relationships/hyperlink" Target="https://intlmonetaryfund.sharepoint.com/:w:/r/teams/CourseSTIEPC-ICDIP/Shared%20Documents/General/Module%204%20(MP)/%E2%80%9CBlackout%20guidelines%E2%80%9D%20implemented%20by%20the%20Bank%20of%20Canada.docx?d=w0dabaa6e40174318adf0817e0262f08c&amp;csf=1&amp;web=1&amp;e=jmKvbO" TargetMode="External"/></Relationships>
</file>

<file path=word/_rels/document.xml.rels><?xml version="1.0" encoding="UTF-8" standalone="yes"?>
<Relationships xmlns="http://schemas.openxmlformats.org/package/2006/relationships"><Relationship Id="rId13" Type="http://schemas.microsoft.com/office/2011/relationships/commentsExtended" Target="commentsExtended.xml"/><Relationship Id="rId18" Type="http://schemas.openxmlformats.org/officeDocument/2006/relationships/hyperlink" Target="https://www.princeton.edu/~ceps/workingpapers/118blinder.pdf" TargetMode="External"/><Relationship Id="rId26" Type="http://schemas.openxmlformats.org/officeDocument/2006/relationships/hyperlink" Target="https://www.cnb.cz/en/monetary-policy/bank-board-decisions/how-does-the-bank-board-make-decisions/" TargetMode="External"/><Relationship Id="rId39" Type="http://schemas.openxmlformats.org/officeDocument/2006/relationships/diagramLayout" Target="diagrams/layout1.xml"/><Relationship Id="rId21" Type="http://schemas.openxmlformats.org/officeDocument/2006/relationships/hyperlink" Target="https://www.rbnz.govt.nz/-/media/project/sites/rbnz/files/publications/bulletins/2019/rbb2019-82-01.pdf" TargetMode="External"/><Relationship Id="rId34" Type="http://schemas.openxmlformats.org/officeDocument/2006/relationships/image" Target="media/image5.png"/><Relationship Id="rId42" Type="http://schemas.microsoft.com/office/2007/relationships/diagramDrawing" Target="diagrams/drawing1.xml"/><Relationship Id="rId47" Type="http://schemas.openxmlformats.org/officeDocument/2006/relationships/image" Target="media/image12.svg"/><Relationship Id="rId50" Type="http://schemas.openxmlformats.org/officeDocument/2006/relationships/image" Target="media/image15.png"/><Relationship Id="rId55" Type="http://schemas.openxmlformats.org/officeDocument/2006/relationships/hyperlink" Target="https://emplifi.io/" TargetMode="External"/><Relationship Id="rId63" Type="http://schemas.microsoft.com/office/2019/05/relationships/documenttasks" Target="documenttasks/documenttasks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2.png"/><Relationship Id="rId29" Type="http://schemas.openxmlformats.org/officeDocument/2006/relationships/hyperlink" Target="https://bit.ly/3eJPARl" TargetMode="External"/><Relationship Id="rId11" Type="http://schemas.openxmlformats.org/officeDocument/2006/relationships/image" Target="media/image1.png"/><Relationship Id="rId24" Type="http://schemas.openxmlformats.org/officeDocument/2006/relationships/hyperlink" Target="https://www.cnb.cz/en/monetary-policy/bank-board-decisions/" TargetMode="External"/><Relationship Id="rId32" Type="http://schemas.openxmlformats.org/officeDocument/2006/relationships/image" Target="media/image3.png"/><Relationship Id="rId37" Type="http://schemas.openxmlformats.org/officeDocument/2006/relationships/image" Target="media/image8.svg"/><Relationship Id="rId40" Type="http://schemas.openxmlformats.org/officeDocument/2006/relationships/diagramQuickStyle" Target="diagrams/quickStyle1.xml"/><Relationship Id="rId45" Type="http://schemas.openxmlformats.org/officeDocument/2006/relationships/image" Target="media/image10.svg"/><Relationship Id="rId53" Type="http://schemas.openxmlformats.org/officeDocument/2006/relationships/image" Target="media/image18.svg"/><Relationship Id="rId58" Type="http://schemas.openxmlformats.org/officeDocument/2006/relationships/header" Target="header2.xml"/><Relationship Id="rId5" Type="http://schemas.openxmlformats.org/officeDocument/2006/relationships/numbering" Target="numbering.xml"/><Relationship Id="rId61" Type="http://schemas.openxmlformats.org/officeDocument/2006/relationships/glossaryDocument" Target="glossary/document.xml"/><Relationship Id="rId19" Type="http://schemas.openxmlformats.org/officeDocument/2006/relationships/hyperlink" Target="https://www.riksbank.se/en-gb/about-the-riksbank/how-the-riksbank-is-governed/internal-regulatory-framework/policies/communication-policy/" TargetMode="External"/><Relationship Id="rId14" Type="http://schemas.microsoft.com/office/2016/09/relationships/commentsIds" Target="commentsIds.xml"/><Relationship Id="rId22" Type="http://schemas.openxmlformats.org/officeDocument/2006/relationships/hyperlink" Target="http://auco.cuni.cz/mag/article/show/id/135" TargetMode="External"/><Relationship Id="rId27" Type="http://schemas.openxmlformats.org/officeDocument/2006/relationships/hyperlink" Target="https://www.bot.or.th/content/dam/bot/documents/en/our-roles/monetary-policy/mpc-publication/monetary-policy-report/MPR_2024_Q2.pdf" TargetMode="External"/><Relationship Id="rId30" Type="http://schemas.openxmlformats.org/officeDocument/2006/relationships/hyperlink" Target="https://www.centralbanking.com/central-banks/monetary-policy/communication/4522021/central-banks-turn-to-instagram-to-reach-younger-generations" TargetMode="External"/><Relationship Id="rId35" Type="http://schemas.openxmlformats.org/officeDocument/2006/relationships/image" Target="media/image6.svg"/><Relationship Id="rId43" Type="http://schemas.openxmlformats.org/officeDocument/2006/relationships/hyperlink" Target="https://www.youtube.com/watch?v=cDSurJuxzdU" TargetMode="External"/><Relationship Id="rId48" Type="http://schemas.openxmlformats.org/officeDocument/2006/relationships/image" Target="media/image13.png"/><Relationship Id="rId56" Type="http://schemas.openxmlformats.org/officeDocument/2006/relationships/header" Target="header1.xml"/><Relationship Id="rId64" Type="http://schemas.microsoft.com/office/2020/10/relationships/intelligence" Target="intelligence2.xml"/><Relationship Id="rId8" Type="http://schemas.openxmlformats.org/officeDocument/2006/relationships/webSettings" Target="webSettings.xml"/><Relationship Id="rId51" Type="http://schemas.openxmlformats.org/officeDocument/2006/relationships/image" Target="media/image16.svg"/><Relationship Id="rId3" Type="http://schemas.openxmlformats.org/officeDocument/2006/relationships/customXml" Target="../customXml/item3.xml"/><Relationship Id="rId12" Type="http://schemas.openxmlformats.org/officeDocument/2006/relationships/comments" Target="comments.xml"/><Relationship Id="rId17" Type="http://schemas.openxmlformats.org/officeDocument/2006/relationships/hyperlink" Target="https://www.rbnz.govt.nz/-/media/project/sites/rbnz/files/publications/bulletins/2019/rbb2019-82-01.pdf" TargetMode="External"/><Relationship Id="rId25" Type="http://schemas.openxmlformats.org/officeDocument/2006/relationships/hyperlink" Target="https://www.cnb.cz/en/monetary-policy/monetary-policy-reports/" TargetMode="External"/><Relationship Id="rId33" Type="http://schemas.openxmlformats.org/officeDocument/2006/relationships/image" Target="media/image4.svg"/><Relationship Id="rId38" Type="http://schemas.openxmlformats.org/officeDocument/2006/relationships/diagramData" Target="diagrams/data1.xml"/><Relationship Id="rId46" Type="http://schemas.openxmlformats.org/officeDocument/2006/relationships/image" Target="media/image11.png"/><Relationship Id="rId59" Type="http://schemas.openxmlformats.org/officeDocument/2006/relationships/fontTable" Target="fontTable.xml"/><Relationship Id="rId20" Type="http://schemas.openxmlformats.org/officeDocument/2006/relationships/hyperlink" Target="https://www.rbnz.govt.nz/-/media/project/sites/rbnz/files/publications/bulletins/2019/rbb2019-82-01.pdf" TargetMode="External"/><Relationship Id="rId41" Type="http://schemas.openxmlformats.org/officeDocument/2006/relationships/diagramColors" Target="diagrams/colors1.xml"/><Relationship Id="rId54" Type="http://schemas.openxmlformats.org/officeDocument/2006/relationships/hyperlink" Target="https://www.brandwatch.com/" TargetMode="Externa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microsoft.com/office/2018/08/relationships/commentsExtensible" Target="commentsExtensible.xml"/><Relationship Id="rId23" Type="http://schemas.openxmlformats.org/officeDocument/2006/relationships/hyperlink" Target="https://www.cnb.cz/en/monetary-policy/forecast/" TargetMode="External"/><Relationship Id="rId28" Type="http://schemas.openxmlformats.org/officeDocument/2006/relationships/hyperlink" Target="https://www.ecb.europa.eu/press/economic-bulletin/articles/2022/html/ecb.ebart202108_02~5c1e5a116d.en.html" TargetMode="External"/><Relationship Id="rId36" Type="http://schemas.openxmlformats.org/officeDocument/2006/relationships/image" Target="media/image7.png"/><Relationship Id="rId49" Type="http://schemas.openxmlformats.org/officeDocument/2006/relationships/image" Target="media/image14.svg"/><Relationship Id="rId57" Type="http://schemas.openxmlformats.org/officeDocument/2006/relationships/footer" Target="footer1.xml"/><Relationship Id="rId10" Type="http://schemas.openxmlformats.org/officeDocument/2006/relationships/endnotes" Target="endnotes.xml"/><Relationship Id="rId31" Type="http://schemas.openxmlformats.org/officeDocument/2006/relationships/hyperlink" Target="https://www.tiktok.com/@centralbanktt" TargetMode="External"/><Relationship Id="rId44" Type="http://schemas.openxmlformats.org/officeDocument/2006/relationships/image" Target="media/image9.png"/><Relationship Id="rId52" Type="http://schemas.openxmlformats.org/officeDocument/2006/relationships/image" Target="media/image17.png"/><Relationship Id="rId60"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14DEF7C-2B73-45CC-82FC-B51D4E3500C0}"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F1E29949-CA78-4E28-969F-ECFA6FC12E76}">
      <dgm:prSet phldrT="[Text]"/>
      <dgm:spPr/>
      <dgm:t>
        <a:bodyPr/>
        <a:lstStyle/>
        <a:p>
          <a:r>
            <a:rPr lang="en-US"/>
            <a:t>Key target audiences</a:t>
          </a:r>
        </a:p>
      </dgm:t>
    </dgm:pt>
    <dgm:pt modelId="{84EE2D30-AF85-444A-B61E-5C8A72CB9673}" type="parTrans" cxnId="{2EA7F7A7-C8A0-4C34-82AD-2C55F0BB3F86}">
      <dgm:prSet/>
      <dgm:spPr/>
      <dgm:t>
        <a:bodyPr/>
        <a:lstStyle/>
        <a:p>
          <a:endParaRPr lang="en-US"/>
        </a:p>
      </dgm:t>
    </dgm:pt>
    <dgm:pt modelId="{35E75D08-A61F-48C9-8F41-338DDD25DF3C}" type="sibTrans" cxnId="{2EA7F7A7-C8A0-4C34-82AD-2C55F0BB3F86}">
      <dgm:prSet/>
      <dgm:spPr/>
      <dgm:t>
        <a:bodyPr/>
        <a:lstStyle/>
        <a:p>
          <a:endParaRPr lang="en-US"/>
        </a:p>
      </dgm:t>
    </dgm:pt>
    <dgm:pt modelId="{8A7F3FB7-7ABD-4F3B-83A2-2E2011AE1C64}">
      <dgm:prSet phldrT="[Text]"/>
      <dgm:spPr/>
      <dgm:t>
        <a:bodyPr/>
        <a:lstStyle/>
        <a:p>
          <a:r>
            <a:rPr lang="en-US"/>
            <a:t>General public</a:t>
          </a:r>
        </a:p>
      </dgm:t>
    </dgm:pt>
    <dgm:pt modelId="{84E6CB63-8146-4163-A7E5-D23BEC9BC5D1}" type="parTrans" cxnId="{6E30FC4F-4241-4B89-ABE2-8FC2F2B554F3}">
      <dgm:prSet/>
      <dgm:spPr/>
      <dgm:t>
        <a:bodyPr/>
        <a:lstStyle/>
        <a:p>
          <a:endParaRPr lang="en-US"/>
        </a:p>
      </dgm:t>
    </dgm:pt>
    <dgm:pt modelId="{6A094E2E-CCC5-4D5A-ABB9-3161FDE0DC68}" type="sibTrans" cxnId="{6E30FC4F-4241-4B89-ABE2-8FC2F2B554F3}">
      <dgm:prSet/>
      <dgm:spPr/>
      <dgm:t>
        <a:bodyPr/>
        <a:lstStyle/>
        <a:p>
          <a:endParaRPr lang="en-US"/>
        </a:p>
      </dgm:t>
    </dgm:pt>
    <dgm:pt modelId="{718DF282-A5A1-4A05-9242-690F8F5C03A5}">
      <dgm:prSet/>
      <dgm:spPr/>
      <dgm:t>
        <a:bodyPr/>
        <a:lstStyle/>
        <a:p>
          <a:pPr>
            <a:buFont typeface="Arial" panose="020B0604020202020204" pitchFamily="34" charset="0"/>
            <a:buChar char="-"/>
          </a:pPr>
          <a:r>
            <a:rPr lang="en-US"/>
            <a:t>Economic  experts and analysts</a:t>
          </a:r>
        </a:p>
      </dgm:t>
    </dgm:pt>
    <dgm:pt modelId="{128C768B-B8B6-4D9A-A805-1305CEBE54A5}" type="parTrans" cxnId="{DFC0837E-66A7-49A1-A0D4-92AF2E34EC92}">
      <dgm:prSet/>
      <dgm:spPr/>
      <dgm:t>
        <a:bodyPr/>
        <a:lstStyle/>
        <a:p>
          <a:endParaRPr lang="en-US"/>
        </a:p>
      </dgm:t>
    </dgm:pt>
    <dgm:pt modelId="{3B00730F-2575-41CB-B452-6D21C8571A48}" type="sibTrans" cxnId="{DFC0837E-66A7-49A1-A0D4-92AF2E34EC92}">
      <dgm:prSet/>
      <dgm:spPr/>
      <dgm:t>
        <a:bodyPr/>
        <a:lstStyle/>
        <a:p>
          <a:endParaRPr lang="en-US"/>
        </a:p>
      </dgm:t>
    </dgm:pt>
    <dgm:pt modelId="{6975AF08-C943-49FC-96D3-D2CAA4691306}">
      <dgm:prSet/>
      <dgm:spPr/>
      <dgm:t>
        <a:bodyPr/>
        <a:lstStyle/>
        <a:p>
          <a:pPr>
            <a:buFont typeface="Arial" panose="020B0604020202020204" pitchFamily="34" charset="0"/>
            <a:buChar char="-"/>
          </a:pPr>
          <a:r>
            <a:rPr lang="en-US"/>
            <a:t>Business leaders</a:t>
          </a:r>
        </a:p>
      </dgm:t>
    </dgm:pt>
    <dgm:pt modelId="{1A0792A1-CDDC-46F1-8237-21D8843EBB94}" type="parTrans" cxnId="{3C3292A6-B992-4FA0-939E-D3F948F7DD00}">
      <dgm:prSet/>
      <dgm:spPr/>
      <dgm:t>
        <a:bodyPr/>
        <a:lstStyle/>
        <a:p>
          <a:endParaRPr lang="en-US"/>
        </a:p>
      </dgm:t>
    </dgm:pt>
    <dgm:pt modelId="{49844E48-9B73-4B27-AB51-9F17DD1A8043}" type="sibTrans" cxnId="{3C3292A6-B992-4FA0-939E-D3F948F7DD00}">
      <dgm:prSet/>
      <dgm:spPr/>
      <dgm:t>
        <a:bodyPr/>
        <a:lstStyle/>
        <a:p>
          <a:endParaRPr lang="en-US"/>
        </a:p>
      </dgm:t>
    </dgm:pt>
    <dgm:pt modelId="{628A4E44-FFAB-4A4C-AD53-791F2A226C8D}">
      <dgm:prSet/>
      <dgm:spPr/>
      <dgm:t>
        <a:bodyPr/>
        <a:lstStyle/>
        <a:p>
          <a:pPr>
            <a:buFont typeface="Arial" panose="020B0604020202020204" pitchFamily="34" charset="0"/>
            <a:buChar char="-"/>
          </a:pPr>
          <a:r>
            <a:rPr lang="en-US"/>
            <a:t>Foreign investors</a:t>
          </a:r>
        </a:p>
      </dgm:t>
    </dgm:pt>
    <dgm:pt modelId="{8F09A36A-EE07-41DB-8665-4156740F75CC}" type="parTrans" cxnId="{75BF0ABB-FFEC-48EB-A1A6-E75F3B24E4D2}">
      <dgm:prSet/>
      <dgm:spPr/>
      <dgm:t>
        <a:bodyPr/>
        <a:lstStyle/>
        <a:p>
          <a:endParaRPr lang="en-US"/>
        </a:p>
      </dgm:t>
    </dgm:pt>
    <dgm:pt modelId="{E2A10C87-D944-4FD7-B323-DE413937080F}" type="sibTrans" cxnId="{75BF0ABB-FFEC-48EB-A1A6-E75F3B24E4D2}">
      <dgm:prSet/>
      <dgm:spPr/>
      <dgm:t>
        <a:bodyPr/>
        <a:lstStyle/>
        <a:p>
          <a:endParaRPr lang="en-US"/>
        </a:p>
      </dgm:t>
    </dgm:pt>
    <dgm:pt modelId="{83F1E7C7-2E04-4893-9638-230AA38B9ABB}">
      <dgm:prSet/>
      <dgm:spPr/>
      <dgm:t>
        <a:bodyPr/>
        <a:lstStyle/>
        <a:p>
          <a:pPr>
            <a:buFont typeface="Arial" panose="020B0604020202020204" pitchFamily="34" charset="0"/>
            <a:buChar char="-"/>
          </a:pPr>
          <a:r>
            <a:rPr lang="en-US"/>
            <a:t>Key policy influencers</a:t>
          </a:r>
        </a:p>
      </dgm:t>
    </dgm:pt>
    <dgm:pt modelId="{078C5EF9-63E3-4705-8AB2-1BBF6D6AFC7C}" type="parTrans" cxnId="{84AC05F1-66EE-4BC0-9470-D32ADB4BC2E5}">
      <dgm:prSet/>
      <dgm:spPr/>
      <dgm:t>
        <a:bodyPr/>
        <a:lstStyle/>
        <a:p>
          <a:endParaRPr lang="en-US"/>
        </a:p>
      </dgm:t>
    </dgm:pt>
    <dgm:pt modelId="{3876077A-5688-4EA1-A00F-6097F41E024F}" type="sibTrans" cxnId="{84AC05F1-66EE-4BC0-9470-D32ADB4BC2E5}">
      <dgm:prSet/>
      <dgm:spPr/>
      <dgm:t>
        <a:bodyPr/>
        <a:lstStyle/>
        <a:p>
          <a:endParaRPr lang="en-US"/>
        </a:p>
      </dgm:t>
    </dgm:pt>
    <dgm:pt modelId="{3B38EB2D-6C48-4002-AA8C-2C357EEBEB98}">
      <dgm:prSet/>
      <dgm:spPr/>
      <dgm:t>
        <a:bodyPr/>
        <a:lstStyle/>
        <a:p>
          <a:r>
            <a:rPr lang="en-US"/>
            <a:t>Adult population </a:t>
          </a:r>
        </a:p>
      </dgm:t>
    </dgm:pt>
    <dgm:pt modelId="{E1561FB2-EFB3-4CB2-9C6C-2A60F20FB2BF}" type="parTrans" cxnId="{665279B1-8C62-4FB7-9DDF-B146A48C251F}">
      <dgm:prSet/>
      <dgm:spPr/>
      <dgm:t>
        <a:bodyPr/>
        <a:lstStyle/>
        <a:p>
          <a:endParaRPr lang="en-US"/>
        </a:p>
      </dgm:t>
    </dgm:pt>
    <dgm:pt modelId="{37B40D2F-DAD6-4C78-BECB-C727A4A37D52}" type="sibTrans" cxnId="{665279B1-8C62-4FB7-9DDF-B146A48C251F}">
      <dgm:prSet/>
      <dgm:spPr/>
      <dgm:t>
        <a:bodyPr/>
        <a:lstStyle/>
        <a:p>
          <a:endParaRPr lang="en-US"/>
        </a:p>
      </dgm:t>
    </dgm:pt>
    <dgm:pt modelId="{6AD0A1A7-C8F0-4C66-9E17-DFD5ACF60304}">
      <dgm:prSet/>
      <dgm:spPr/>
      <dgm:t>
        <a:bodyPr/>
        <a:lstStyle/>
        <a:p>
          <a:r>
            <a:rPr lang="en-US"/>
            <a:t>Youth and schoolchildren </a:t>
          </a:r>
        </a:p>
      </dgm:t>
    </dgm:pt>
    <dgm:pt modelId="{5A4839A1-2B17-4CE4-AE4D-A8355F1D9C6E}" type="parTrans" cxnId="{899582BA-B680-4788-B367-76643F0949A4}">
      <dgm:prSet/>
      <dgm:spPr/>
      <dgm:t>
        <a:bodyPr/>
        <a:lstStyle/>
        <a:p>
          <a:endParaRPr lang="en-US"/>
        </a:p>
      </dgm:t>
    </dgm:pt>
    <dgm:pt modelId="{E7AED27B-5AD6-4780-BC4D-A0676525E723}" type="sibTrans" cxnId="{899582BA-B680-4788-B367-76643F0949A4}">
      <dgm:prSet/>
      <dgm:spPr/>
      <dgm:t>
        <a:bodyPr/>
        <a:lstStyle/>
        <a:p>
          <a:endParaRPr lang="en-US"/>
        </a:p>
      </dgm:t>
    </dgm:pt>
    <dgm:pt modelId="{2F368B37-15AD-483A-94D5-182E4D6CDAF4}">
      <dgm:prSet phldrT="[Text]"/>
      <dgm:spPr/>
      <dgm:t>
        <a:bodyPr/>
        <a:lstStyle/>
        <a:p>
          <a:r>
            <a:rPr lang="en-US"/>
            <a:t>Professionals</a:t>
          </a:r>
        </a:p>
      </dgm:t>
    </dgm:pt>
    <dgm:pt modelId="{A4C224C7-ECE4-494B-A54E-BC601B647248}" type="sibTrans" cxnId="{15C56C6F-3A39-4B89-9F91-DD72E1EBE4B7}">
      <dgm:prSet/>
      <dgm:spPr/>
      <dgm:t>
        <a:bodyPr/>
        <a:lstStyle/>
        <a:p>
          <a:endParaRPr lang="en-US"/>
        </a:p>
      </dgm:t>
    </dgm:pt>
    <dgm:pt modelId="{7E12FFF3-1667-4148-A891-87C0B5EA9CD7}" type="parTrans" cxnId="{15C56C6F-3A39-4B89-9F91-DD72E1EBE4B7}">
      <dgm:prSet/>
      <dgm:spPr/>
      <dgm:t>
        <a:bodyPr/>
        <a:lstStyle/>
        <a:p>
          <a:endParaRPr lang="en-US"/>
        </a:p>
      </dgm:t>
    </dgm:pt>
    <dgm:pt modelId="{C5AB47A4-F6D1-4B0E-ADB7-2BC52C7998E4}" type="pres">
      <dgm:prSet presAssocID="{F14DEF7C-2B73-45CC-82FC-B51D4E3500C0}" presName="hierChild1" presStyleCnt="0">
        <dgm:presLayoutVars>
          <dgm:orgChart val="1"/>
          <dgm:chPref val="1"/>
          <dgm:dir/>
          <dgm:animOne val="branch"/>
          <dgm:animLvl val="lvl"/>
          <dgm:resizeHandles/>
        </dgm:presLayoutVars>
      </dgm:prSet>
      <dgm:spPr/>
    </dgm:pt>
    <dgm:pt modelId="{558025C9-7032-4357-8D36-080D00F58C24}" type="pres">
      <dgm:prSet presAssocID="{F1E29949-CA78-4E28-969F-ECFA6FC12E76}" presName="hierRoot1" presStyleCnt="0">
        <dgm:presLayoutVars>
          <dgm:hierBranch val="init"/>
        </dgm:presLayoutVars>
      </dgm:prSet>
      <dgm:spPr/>
    </dgm:pt>
    <dgm:pt modelId="{92E92088-476B-4456-828D-14B261D15788}" type="pres">
      <dgm:prSet presAssocID="{F1E29949-CA78-4E28-969F-ECFA6FC12E76}" presName="rootComposite1" presStyleCnt="0"/>
      <dgm:spPr/>
    </dgm:pt>
    <dgm:pt modelId="{25483836-546A-43D6-A4C3-FE84C1A1B0F2}" type="pres">
      <dgm:prSet presAssocID="{F1E29949-CA78-4E28-969F-ECFA6FC12E76}" presName="rootText1" presStyleLbl="node0" presStyleIdx="0" presStyleCnt="1">
        <dgm:presLayoutVars>
          <dgm:chPref val="3"/>
        </dgm:presLayoutVars>
      </dgm:prSet>
      <dgm:spPr/>
    </dgm:pt>
    <dgm:pt modelId="{AF1C98AC-3097-4248-A36B-E1D75DF27378}" type="pres">
      <dgm:prSet presAssocID="{F1E29949-CA78-4E28-969F-ECFA6FC12E76}" presName="rootConnector1" presStyleLbl="node1" presStyleIdx="0" presStyleCnt="0"/>
      <dgm:spPr/>
    </dgm:pt>
    <dgm:pt modelId="{0860A5EB-EE63-49E0-A1C7-3136531B4FFE}" type="pres">
      <dgm:prSet presAssocID="{F1E29949-CA78-4E28-969F-ECFA6FC12E76}" presName="hierChild2" presStyleCnt="0"/>
      <dgm:spPr/>
    </dgm:pt>
    <dgm:pt modelId="{4DB33F94-9DD2-46AB-8F13-039A72090410}" type="pres">
      <dgm:prSet presAssocID="{7E12FFF3-1667-4148-A891-87C0B5EA9CD7}" presName="Name37" presStyleLbl="parChTrans1D2" presStyleIdx="0" presStyleCnt="2"/>
      <dgm:spPr/>
    </dgm:pt>
    <dgm:pt modelId="{CDB7F93F-CDBF-49D1-8344-77C41D65A9F2}" type="pres">
      <dgm:prSet presAssocID="{2F368B37-15AD-483A-94D5-182E4D6CDAF4}" presName="hierRoot2" presStyleCnt="0">
        <dgm:presLayoutVars>
          <dgm:hierBranch val="init"/>
        </dgm:presLayoutVars>
      </dgm:prSet>
      <dgm:spPr/>
    </dgm:pt>
    <dgm:pt modelId="{2DF0686B-61BA-42DA-B50B-97FEFFF2C1B5}" type="pres">
      <dgm:prSet presAssocID="{2F368B37-15AD-483A-94D5-182E4D6CDAF4}" presName="rootComposite" presStyleCnt="0"/>
      <dgm:spPr/>
    </dgm:pt>
    <dgm:pt modelId="{67BCBC9A-8068-42E9-A16B-6C3E650988DA}" type="pres">
      <dgm:prSet presAssocID="{2F368B37-15AD-483A-94D5-182E4D6CDAF4}" presName="rootText" presStyleLbl="node2" presStyleIdx="0" presStyleCnt="2">
        <dgm:presLayoutVars>
          <dgm:chPref val="3"/>
        </dgm:presLayoutVars>
      </dgm:prSet>
      <dgm:spPr/>
    </dgm:pt>
    <dgm:pt modelId="{235E8703-8269-4223-84C1-C6B6920C4057}" type="pres">
      <dgm:prSet presAssocID="{2F368B37-15AD-483A-94D5-182E4D6CDAF4}" presName="rootConnector" presStyleLbl="node2" presStyleIdx="0" presStyleCnt="2"/>
      <dgm:spPr/>
    </dgm:pt>
    <dgm:pt modelId="{7414767B-315F-4380-8A75-C824C975F26C}" type="pres">
      <dgm:prSet presAssocID="{2F368B37-15AD-483A-94D5-182E4D6CDAF4}" presName="hierChild4" presStyleCnt="0"/>
      <dgm:spPr/>
    </dgm:pt>
    <dgm:pt modelId="{368E2776-9423-48C3-BF72-A9CFC230699F}" type="pres">
      <dgm:prSet presAssocID="{1A0792A1-CDDC-46F1-8237-21D8843EBB94}" presName="Name37" presStyleLbl="parChTrans1D3" presStyleIdx="0" presStyleCnt="6"/>
      <dgm:spPr/>
    </dgm:pt>
    <dgm:pt modelId="{11C5DE12-7564-4AC5-93B9-6474A88EFE90}" type="pres">
      <dgm:prSet presAssocID="{6975AF08-C943-49FC-96D3-D2CAA4691306}" presName="hierRoot2" presStyleCnt="0">
        <dgm:presLayoutVars>
          <dgm:hierBranch val="init"/>
        </dgm:presLayoutVars>
      </dgm:prSet>
      <dgm:spPr/>
    </dgm:pt>
    <dgm:pt modelId="{2E4C3AB4-2106-45A2-87FA-18CB93725E2C}" type="pres">
      <dgm:prSet presAssocID="{6975AF08-C943-49FC-96D3-D2CAA4691306}" presName="rootComposite" presStyleCnt="0"/>
      <dgm:spPr/>
    </dgm:pt>
    <dgm:pt modelId="{5738628A-FED5-4CFE-B7C8-E515819587D0}" type="pres">
      <dgm:prSet presAssocID="{6975AF08-C943-49FC-96D3-D2CAA4691306}" presName="rootText" presStyleLbl="node3" presStyleIdx="0" presStyleCnt="6">
        <dgm:presLayoutVars>
          <dgm:chPref val="3"/>
        </dgm:presLayoutVars>
      </dgm:prSet>
      <dgm:spPr/>
    </dgm:pt>
    <dgm:pt modelId="{03F07900-DFCA-4873-94D8-B7C03DA9A1C5}" type="pres">
      <dgm:prSet presAssocID="{6975AF08-C943-49FC-96D3-D2CAA4691306}" presName="rootConnector" presStyleLbl="node3" presStyleIdx="0" presStyleCnt="6"/>
      <dgm:spPr/>
    </dgm:pt>
    <dgm:pt modelId="{99932062-9492-4E31-944C-976841A0F262}" type="pres">
      <dgm:prSet presAssocID="{6975AF08-C943-49FC-96D3-D2CAA4691306}" presName="hierChild4" presStyleCnt="0"/>
      <dgm:spPr/>
    </dgm:pt>
    <dgm:pt modelId="{0577495E-30FA-4B09-B164-CC7FA6C1379B}" type="pres">
      <dgm:prSet presAssocID="{6975AF08-C943-49FC-96D3-D2CAA4691306}" presName="hierChild5" presStyleCnt="0"/>
      <dgm:spPr/>
    </dgm:pt>
    <dgm:pt modelId="{B81BBD98-D1EB-4D6A-B0BA-6B0D5672D8DD}" type="pres">
      <dgm:prSet presAssocID="{128C768B-B8B6-4D9A-A805-1305CEBE54A5}" presName="Name37" presStyleLbl="parChTrans1D3" presStyleIdx="1" presStyleCnt="6"/>
      <dgm:spPr/>
    </dgm:pt>
    <dgm:pt modelId="{EF82B501-A0B5-4B4D-8403-AD9035B30BBC}" type="pres">
      <dgm:prSet presAssocID="{718DF282-A5A1-4A05-9242-690F8F5C03A5}" presName="hierRoot2" presStyleCnt="0">
        <dgm:presLayoutVars>
          <dgm:hierBranch val="init"/>
        </dgm:presLayoutVars>
      </dgm:prSet>
      <dgm:spPr/>
    </dgm:pt>
    <dgm:pt modelId="{1BECA9B0-5962-44C4-BC82-58569CECC820}" type="pres">
      <dgm:prSet presAssocID="{718DF282-A5A1-4A05-9242-690F8F5C03A5}" presName="rootComposite" presStyleCnt="0"/>
      <dgm:spPr/>
    </dgm:pt>
    <dgm:pt modelId="{2ADD7F07-CEDD-49FA-8144-C5CC101C319B}" type="pres">
      <dgm:prSet presAssocID="{718DF282-A5A1-4A05-9242-690F8F5C03A5}" presName="rootText" presStyleLbl="node3" presStyleIdx="1" presStyleCnt="6">
        <dgm:presLayoutVars>
          <dgm:chPref val="3"/>
        </dgm:presLayoutVars>
      </dgm:prSet>
      <dgm:spPr/>
    </dgm:pt>
    <dgm:pt modelId="{9065B2D3-31FD-4DC3-92CF-D179ECA5BD77}" type="pres">
      <dgm:prSet presAssocID="{718DF282-A5A1-4A05-9242-690F8F5C03A5}" presName="rootConnector" presStyleLbl="node3" presStyleIdx="1" presStyleCnt="6"/>
      <dgm:spPr/>
    </dgm:pt>
    <dgm:pt modelId="{C86D567A-91CD-4E89-BEF2-D8ACA40E0C39}" type="pres">
      <dgm:prSet presAssocID="{718DF282-A5A1-4A05-9242-690F8F5C03A5}" presName="hierChild4" presStyleCnt="0"/>
      <dgm:spPr/>
    </dgm:pt>
    <dgm:pt modelId="{D59E8185-4053-4885-9AA3-63A5B458B703}" type="pres">
      <dgm:prSet presAssocID="{718DF282-A5A1-4A05-9242-690F8F5C03A5}" presName="hierChild5" presStyleCnt="0"/>
      <dgm:spPr/>
    </dgm:pt>
    <dgm:pt modelId="{BFC547E8-0203-44F5-B7C0-A9EB6CD7EB10}" type="pres">
      <dgm:prSet presAssocID="{8F09A36A-EE07-41DB-8665-4156740F75CC}" presName="Name37" presStyleLbl="parChTrans1D3" presStyleIdx="2" presStyleCnt="6"/>
      <dgm:spPr/>
    </dgm:pt>
    <dgm:pt modelId="{AC473D88-0117-46BE-B635-E90FA2E8189E}" type="pres">
      <dgm:prSet presAssocID="{628A4E44-FFAB-4A4C-AD53-791F2A226C8D}" presName="hierRoot2" presStyleCnt="0">
        <dgm:presLayoutVars>
          <dgm:hierBranch val="init"/>
        </dgm:presLayoutVars>
      </dgm:prSet>
      <dgm:spPr/>
    </dgm:pt>
    <dgm:pt modelId="{79B26304-F0C8-42B5-B93A-7B96291B5689}" type="pres">
      <dgm:prSet presAssocID="{628A4E44-FFAB-4A4C-AD53-791F2A226C8D}" presName="rootComposite" presStyleCnt="0"/>
      <dgm:spPr/>
    </dgm:pt>
    <dgm:pt modelId="{AABB3C1D-2C15-430A-BB88-AA3F2BFAA1B3}" type="pres">
      <dgm:prSet presAssocID="{628A4E44-FFAB-4A4C-AD53-791F2A226C8D}" presName="rootText" presStyleLbl="node3" presStyleIdx="2" presStyleCnt="6">
        <dgm:presLayoutVars>
          <dgm:chPref val="3"/>
        </dgm:presLayoutVars>
      </dgm:prSet>
      <dgm:spPr/>
    </dgm:pt>
    <dgm:pt modelId="{97A7AB6D-5E10-4208-AC6B-2D761E7E3552}" type="pres">
      <dgm:prSet presAssocID="{628A4E44-FFAB-4A4C-AD53-791F2A226C8D}" presName="rootConnector" presStyleLbl="node3" presStyleIdx="2" presStyleCnt="6"/>
      <dgm:spPr/>
    </dgm:pt>
    <dgm:pt modelId="{16A30789-E144-4B40-9566-FFCCC28A15A8}" type="pres">
      <dgm:prSet presAssocID="{628A4E44-FFAB-4A4C-AD53-791F2A226C8D}" presName="hierChild4" presStyleCnt="0"/>
      <dgm:spPr/>
    </dgm:pt>
    <dgm:pt modelId="{C3172571-C174-4243-8A29-7DE8C04685A7}" type="pres">
      <dgm:prSet presAssocID="{628A4E44-FFAB-4A4C-AD53-791F2A226C8D}" presName="hierChild5" presStyleCnt="0"/>
      <dgm:spPr/>
    </dgm:pt>
    <dgm:pt modelId="{E7377258-F9AC-4684-830F-8499F34D1346}" type="pres">
      <dgm:prSet presAssocID="{2F368B37-15AD-483A-94D5-182E4D6CDAF4}" presName="hierChild5" presStyleCnt="0"/>
      <dgm:spPr/>
    </dgm:pt>
    <dgm:pt modelId="{0F64BA7E-07F4-49C1-979F-4D276368FD1B}" type="pres">
      <dgm:prSet presAssocID="{84E6CB63-8146-4163-A7E5-D23BEC9BC5D1}" presName="Name37" presStyleLbl="parChTrans1D2" presStyleIdx="1" presStyleCnt="2"/>
      <dgm:spPr/>
    </dgm:pt>
    <dgm:pt modelId="{B02AFA2A-6D58-49CA-8561-77DA88383E13}" type="pres">
      <dgm:prSet presAssocID="{8A7F3FB7-7ABD-4F3B-83A2-2E2011AE1C64}" presName="hierRoot2" presStyleCnt="0">
        <dgm:presLayoutVars>
          <dgm:hierBranch val="init"/>
        </dgm:presLayoutVars>
      </dgm:prSet>
      <dgm:spPr/>
    </dgm:pt>
    <dgm:pt modelId="{4A0F886E-F9D0-42E6-8A03-EF7E704A119E}" type="pres">
      <dgm:prSet presAssocID="{8A7F3FB7-7ABD-4F3B-83A2-2E2011AE1C64}" presName="rootComposite" presStyleCnt="0"/>
      <dgm:spPr/>
    </dgm:pt>
    <dgm:pt modelId="{FF9CF482-293E-4C77-9B5B-218110E00EC3}" type="pres">
      <dgm:prSet presAssocID="{8A7F3FB7-7ABD-4F3B-83A2-2E2011AE1C64}" presName="rootText" presStyleLbl="node2" presStyleIdx="1" presStyleCnt="2">
        <dgm:presLayoutVars>
          <dgm:chPref val="3"/>
        </dgm:presLayoutVars>
      </dgm:prSet>
      <dgm:spPr/>
    </dgm:pt>
    <dgm:pt modelId="{4A136AA5-AB08-491C-A317-7487AEFCB56E}" type="pres">
      <dgm:prSet presAssocID="{8A7F3FB7-7ABD-4F3B-83A2-2E2011AE1C64}" presName="rootConnector" presStyleLbl="node2" presStyleIdx="1" presStyleCnt="2"/>
      <dgm:spPr/>
    </dgm:pt>
    <dgm:pt modelId="{C2426E21-2C0A-4B96-BE2E-435F3C620BC0}" type="pres">
      <dgm:prSet presAssocID="{8A7F3FB7-7ABD-4F3B-83A2-2E2011AE1C64}" presName="hierChild4" presStyleCnt="0"/>
      <dgm:spPr/>
    </dgm:pt>
    <dgm:pt modelId="{1CB46543-946C-4C90-8FC7-EA12E8C15301}" type="pres">
      <dgm:prSet presAssocID="{078C5EF9-63E3-4705-8AB2-1BBF6D6AFC7C}" presName="Name37" presStyleLbl="parChTrans1D3" presStyleIdx="3" presStyleCnt="6"/>
      <dgm:spPr/>
    </dgm:pt>
    <dgm:pt modelId="{C0D94FFD-AE81-44C1-A1EC-569F60E4B4FA}" type="pres">
      <dgm:prSet presAssocID="{83F1E7C7-2E04-4893-9638-230AA38B9ABB}" presName="hierRoot2" presStyleCnt="0">
        <dgm:presLayoutVars>
          <dgm:hierBranch val="init"/>
        </dgm:presLayoutVars>
      </dgm:prSet>
      <dgm:spPr/>
    </dgm:pt>
    <dgm:pt modelId="{F1AFA64F-26A5-4EBA-ACEF-4FC7FD0E3C08}" type="pres">
      <dgm:prSet presAssocID="{83F1E7C7-2E04-4893-9638-230AA38B9ABB}" presName="rootComposite" presStyleCnt="0"/>
      <dgm:spPr/>
    </dgm:pt>
    <dgm:pt modelId="{B73B63AE-F6C2-48FE-93E5-3418BF2EC641}" type="pres">
      <dgm:prSet presAssocID="{83F1E7C7-2E04-4893-9638-230AA38B9ABB}" presName="rootText" presStyleLbl="node3" presStyleIdx="3" presStyleCnt="6">
        <dgm:presLayoutVars>
          <dgm:chPref val="3"/>
        </dgm:presLayoutVars>
      </dgm:prSet>
      <dgm:spPr/>
    </dgm:pt>
    <dgm:pt modelId="{C081ECEC-5266-44AF-A7CF-956418D8F9C8}" type="pres">
      <dgm:prSet presAssocID="{83F1E7C7-2E04-4893-9638-230AA38B9ABB}" presName="rootConnector" presStyleLbl="node3" presStyleIdx="3" presStyleCnt="6"/>
      <dgm:spPr/>
    </dgm:pt>
    <dgm:pt modelId="{3878E40B-D446-49CC-98F7-0F5B6E6EA4B9}" type="pres">
      <dgm:prSet presAssocID="{83F1E7C7-2E04-4893-9638-230AA38B9ABB}" presName="hierChild4" presStyleCnt="0"/>
      <dgm:spPr/>
    </dgm:pt>
    <dgm:pt modelId="{93DAD9D0-3C3F-4A7E-AB12-A009348130A6}" type="pres">
      <dgm:prSet presAssocID="{83F1E7C7-2E04-4893-9638-230AA38B9ABB}" presName="hierChild5" presStyleCnt="0"/>
      <dgm:spPr/>
    </dgm:pt>
    <dgm:pt modelId="{670F208B-3F20-43A4-A1E7-F514D6BAA1A1}" type="pres">
      <dgm:prSet presAssocID="{E1561FB2-EFB3-4CB2-9C6C-2A60F20FB2BF}" presName="Name37" presStyleLbl="parChTrans1D3" presStyleIdx="4" presStyleCnt="6"/>
      <dgm:spPr/>
    </dgm:pt>
    <dgm:pt modelId="{521DA315-BC95-4B17-8085-FE9F3349680F}" type="pres">
      <dgm:prSet presAssocID="{3B38EB2D-6C48-4002-AA8C-2C357EEBEB98}" presName="hierRoot2" presStyleCnt="0">
        <dgm:presLayoutVars>
          <dgm:hierBranch val="init"/>
        </dgm:presLayoutVars>
      </dgm:prSet>
      <dgm:spPr/>
    </dgm:pt>
    <dgm:pt modelId="{A3C5C4AA-A17A-4535-A978-ABD47C4A42F3}" type="pres">
      <dgm:prSet presAssocID="{3B38EB2D-6C48-4002-AA8C-2C357EEBEB98}" presName="rootComposite" presStyleCnt="0"/>
      <dgm:spPr/>
    </dgm:pt>
    <dgm:pt modelId="{4C6F4287-77A0-4C43-9100-B943C24B324E}" type="pres">
      <dgm:prSet presAssocID="{3B38EB2D-6C48-4002-AA8C-2C357EEBEB98}" presName="rootText" presStyleLbl="node3" presStyleIdx="4" presStyleCnt="6">
        <dgm:presLayoutVars>
          <dgm:chPref val="3"/>
        </dgm:presLayoutVars>
      </dgm:prSet>
      <dgm:spPr/>
    </dgm:pt>
    <dgm:pt modelId="{A4DDC1FD-C4CA-4A65-9AC8-EA47622B97CC}" type="pres">
      <dgm:prSet presAssocID="{3B38EB2D-6C48-4002-AA8C-2C357EEBEB98}" presName="rootConnector" presStyleLbl="node3" presStyleIdx="4" presStyleCnt="6"/>
      <dgm:spPr/>
    </dgm:pt>
    <dgm:pt modelId="{03134E91-3522-4FC7-B894-264555F82D92}" type="pres">
      <dgm:prSet presAssocID="{3B38EB2D-6C48-4002-AA8C-2C357EEBEB98}" presName="hierChild4" presStyleCnt="0"/>
      <dgm:spPr/>
    </dgm:pt>
    <dgm:pt modelId="{57C35528-A0B0-4BC6-88B4-3DD86F502DC0}" type="pres">
      <dgm:prSet presAssocID="{3B38EB2D-6C48-4002-AA8C-2C357EEBEB98}" presName="hierChild5" presStyleCnt="0"/>
      <dgm:spPr/>
    </dgm:pt>
    <dgm:pt modelId="{48CE639C-5D09-4CF4-8EDD-923CDEB85E26}" type="pres">
      <dgm:prSet presAssocID="{5A4839A1-2B17-4CE4-AE4D-A8355F1D9C6E}" presName="Name37" presStyleLbl="parChTrans1D3" presStyleIdx="5" presStyleCnt="6"/>
      <dgm:spPr/>
    </dgm:pt>
    <dgm:pt modelId="{D56B5DF8-076C-4EAE-A52C-81F29ECAA71E}" type="pres">
      <dgm:prSet presAssocID="{6AD0A1A7-C8F0-4C66-9E17-DFD5ACF60304}" presName="hierRoot2" presStyleCnt="0">
        <dgm:presLayoutVars>
          <dgm:hierBranch val="init"/>
        </dgm:presLayoutVars>
      </dgm:prSet>
      <dgm:spPr/>
    </dgm:pt>
    <dgm:pt modelId="{44C7D257-0712-4B57-845E-70E36D2C6FD5}" type="pres">
      <dgm:prSet presAssocID="{6AD0A1A7-C8F0-4C66-9E17-DFD5ACF60304}" presName="rootComposite" presStyleCnt="0"/>
      <dgm:spPr/>
    </dgm:pt>
    <dgm:pt modelId="{D7DCD81E-53D6-4B9F-A26C-2CAD0020EDFB}" type="pres">
      <dgm:prSet presAssocID="{6AD0A1A7-C8F0-4C66-9E17-DFD5ACF60304}" presName="rootText" presStyleLbl="node3" presStyleIdx="5" presStyleCnt="6">
        <dgm:presLayoutVars>
          <dgm:chPref val="3"/>
        </dgm:presLayoutVars>
      </dgm:prSet>
      <dgm:spPr/>
    </dgm:pt>
    <dgm:pt modelId="{9B00D6BA-B56B-4C25-8BDA-50412E59F366}" type="pres">
      <dgm:prSet presAssocID="{6AD0A1A7-C8F0-4C66-9E17-DFD5ACF60304}" presName="rootConnector" presStyleLbl="node3" presStyleIdx="5" presStyleCnt="6"/>
      <dgm:spPr/>
    </dgm:pt>
    <dgm:pt modelId="{40D074FF-F9A0-4AB2-AE91-5004DB7567E8}" type="pres">
      <dgm:prSet presAssocID="{6AD0A1A7-C8F0-4C66-9E17-DFD5ACF60304}" presName="hierChild4" presStyleCnt="0"/>
      <dgm:spPr/>
    </dgm:pt>
    <dgm:pt modelId="{A6901A24-406C-43DC-AB4D-823CE300A052}" type="pres">
      <dgm:prSet presAssocID="{6AD0A1A7-C8F0-4C66-9E17-DFD5ACF60304}" presName="hierChild5" presStyleCnt="0"/>
      <dgm:spPr/>
    </dgm:pt>
    <dgm:pt modelId="{DBBBA5B2-F8E2-4120-B871-C5808CEF3423}" type="pres">
      <dgm:prSet presAssocID="{8A7F3FB7-7ABD-4F3B-83A2-2E2011AE1C64}" presName="hierChild5" presStyleCnt="0"/>
      <dgm:spPr/>
    </dgm:pt>
    <dgm:pt modelId="{58B1F272-6ECA-4187-B44A-9D837E52E8A7}" type="pres">
      <dgm:prSet presAssocID="{F1E29949-CA78-4E28-969F-ECFA6FC12E76}" presName="hierChild3" presStyleCnt="0"/>
      <dgm:spPr/>
    </dgm:pt>
  </dgm:ptLst>
  <dgm:cxnLst>
    <dgm:cxn modelId="{740DDE05-9FE1-624D-AF9D-9A781ADFF96B}" type="presOf" srcId="{7E12FFF3-1667-4148-A891-87C0B5EA9CD7}" destId="{4DB33F94-9DD2-46AB-8F13-039A72090410}" srcOrd="0" destOrd="0" presId="urn:microsoft.com/office/officeart/2005/8/layout/orgChart1"/>
    <dgm:cxn modelId="{818A8B09-49C4-1B4E-97A6-1C913F8F71DA}" type="presOf" srcId="{8A7F3FB7-7ABD-4F3B-83A2-2E2011AE1C64}" destId="{4A136AA5-AB08-491C-A317-7487AEFCB56E}" srcOrd="1" destOrd="0" presId="urn:microsoft.com/office/officeart/2005/8/layout/orgChart1"/>
    <dgm:cxn modelId="{20876617-043A-D94A-9384-1A7807E908BD}" type="presOf" srcId="{3B38EB2D-6C48-4002-AA8C-2C357EEBEB98}" destId="{4C6F4287-77A0-4C43-9100-B943C24B324E}" srcOrd="0" destOrd="0" presId="urn:microsoft.com/office/officeart/2005/8/layout/orgChart1"/>
    <dgm:cxn modelId="{B1FEEA1C-8ABD-2349-B515-9E383FE0883C}" type="presOf" srcId="{6AD0A1A7-C8F0-4C66-9E17-DFD5ACF60304}" destId="{9B00D6BA-B56B-4C25-8BDA-50412E59F366}" srcOrd="1" destOrd="0" presId="urn:microsoft.com/office/officeart/2005/8/layout/orgChart1"/>
    <dgm:cxn modelId="{A85BDD24-CAA0-894E-97EE-A703358BCD44}" type="presOf" srcId="{2F368B37-15AD-483A-94D5-182E4D6CDAF4}" destId="{235E8703-8269-4223-84C1-C6B6920C4057}" srcOrd="1" destOrd="0" presId="urn:microsoft.com/office/officeart/2005/8/layout/orgChart1"/>
    <dgm:cxn modelId="{34474728-CDEE-9144-AE60-D003CF192519}" type="presOf" srcId="{6AD0A1A7-C8F0-4C66-9E17-DFD5ACF60304}" destId="{D7DCD81E-53D6-4B9F-A26C-2CAD0020EDFB}" srcOrd="0" destOrd="0" presId="urn:microsoft.com/office/officeart/2005/8/layout/orgChart1"/>
    <dgm:cxn modelId="{27E43C37-6FD6-914C-99A4-9D1F7F1B6E68}" type="presOf" srcId="{6975AF08-C943-49FC-96D3-D2CAA4691306}" destId="{5738628A-FED5-4CFE-B7C8-E515819587D0}" srcOrd="0" destOrd="0" presId="urn:microsoft.com/office/officeart/2005/8/layout/orgChart1"/>
    <dgm:cxn modelId="{2BAB7C37-FB8B-A648-8BC8-899A72AD7DD7}" type="presOf" srcId="{E1561FB2-EFB3-4CB2-9C6C-2A60F20FB2BF}" destId="{670F208B-3F20-43A4-A1E7-F514D6BAA1A1}" srcOrd="0" destOrd="0" presId="urn:microsoft.com/office/officeart/2005/8/layout/orgChart1"/>
    <dgm:cxn modelId="{B333D95D-21F9-2647-8B51-E0EAB87B5C2C}" type="presOf" srcId="{628A4E44-FFAB-4A4C-AD53-791F2A226C8D}" destId="{97A7AB6D-5E10-4208-AC6B-2D761E7E3552}" srcOrd="1" destOrd="0" presId="urn:microsoft.com/office/officeart/2005/8/layout/orgChart1"/>
    <dgm:cxn modelId="{E1674064-C4F9-BB4D-AFDF-9CFA3898815D}" type="presOf" srcId="{6975AF08-C943-49FC-96D3-D2CAA4691306}" destId="{03F07900-DFCA-4873-94D8-B7C03DA9A1C5}" srcOrd="1" destOrd="0" presId="urn:microsoft.com/office/officeart/2005/8/layout/orgChart1"/>
    <dgm:cxn modelId="{E3B5A849-8F3D-8B47-832A-624BF8420D2B}" type="presOf" srcId="{078C5EF9-63E3-4705-8AB2-1BBF6D6AFC7C}" destId="{1CB46543-946C-4C90-8FC7-EA12E8C15301}" srcOrd="0" destOrd="0" presId="urn:microsoft.com/office/officeart/2005/8/layout/orgChart1"/>
    <dgm:cxn modelId="{C7AF0F4C-41D8-E147-8744-CDB3B60CD324}" type="presOf" srcId="{128C768B-B8B6-4D9A-A805-1305CEBE54A5}" destId="{B81BBD98-D1EB-4D6A-B0BA-6B0D5672D8DD}" srcOrd="0" destOrd="0" presId="urn:microsoft.com/office/officeart/2005/8/layout/orgChart1"/>
    <dgm:cxn modelId="{15C56C6F-3A39-4B89-9F91-DD72E1EBE4B7}" srcId="{F1E29949-CA78-4E28-969F-ECFA6FC12E76}" destId="{2F368B37-15AD-483A-94D5-182E4D6CDAF4}" srcOrd="0" destOrd="0" parTransId="{7E12FFF3-1667-4148-A891-87C0B5EA9CD7}" sibTransId="{A4C224C7-ECE4-494B-A54E-BC601B647248}"/>
    <dgm:cxn modelId="{6E30FC4F-4241-4B89-ABE2-8FC2F2B554F3}" srcId="{F1E29949-CA78-4E28-969F-ECFA6FC12E76}" destId="{8A7F3FB7-7ABD-4F3B-83A2-2E2011AE1C64}" srcOrd="1" destOrd="0" parTransId="{84E6CB63-8146-4163-A7E5-D23BEC9BC5D1}" sibTransId="{6A094E2E-CCC5-4D5A-ABB9-3161FDE0DC68}"/>
    <dgm:cxn modelId="{DFC0837E-66A7-49A1-A0D4-92AF2E34EC92}" srcId="{2F368B37-15AD-483A-94D5-182E4D6CDAF4}" destId="{718DF282-A5A1-4A05-9242-690F8F5C03A5}" srcOrd="1" destOrd="0" parTransId="{128C768B-B8B6-4D9A-A805-1305CEBE54A5}" sibTransId="{3B00730F-2575-41CB-B452-6D21C8571A48}"/>
    <dgm:cxn modelId="{4CFDA77E-927F-6B45-9964-56485344F950}" type="presOf" srcId="{84E6CB63-8146-4163-A7E5-D23BEC9BC5D1}" destId="{0F64BA7E-07F4-49C1-979F-4D276368FD1B}" srcOrd="0" destOrd="0" presId="urn:microsoft.com/office/officeart/2005/8/layout/orgChart1"/>
    <dgm:cxn modelId="{BD77517F-278C-024E-B58E-22AF27F5A968}" type="presOf" srcId="{1A0792A1-CDDC-46F1-8237-21D8843EBB94}" destId="{368E2776-9423-48C3-BF72-A9CFC230699F}" srcOrd="0" destOrd="0" presId="urn:microsoft.com/office/officeart/2005/8/layout/orgChart1"/>
    <dgm:cxn modelId="{94F23980-A69A-304D-A271-229DDC57CF9B}" type="presOf" srcId="{83F1E7C7-2E04-4893-9638-230AA38B9ABB}" destId="{B73B63AE-F6C2-48FE-93E5-3418BF2EC641}" srcOrd="0" destOrd="0" presId="urn:microsoft.com/office/officeart/2005/8/layout/orgChart1"/>
    <dgm:cxn modelId="{FF1DA582-2FF7-C843-B955-34F2C726B26F}" type="presOf" srcId="{F1E29949-CA78-4E28-969F-ECFA6FC12E76}" destId="{AF1C98AC-3097-4248-A36B-E1D75DF27378}" srcOrd="1" destOrd="0" presId="urn:microsoft.com/office/officeart/2005/8/layout/orgChart1"/>
    <dgm:cxn modelId="{1D4DB58F-0E39-0941-9EAE-11D6F70458DB}" type="presOf" srcId="{8A7F3FB7-7ABD-4F3B-83A2-2E2011AE1C64}" destId="{FF9CF482-293E-4C77-9B5B-218110E00EC3}" srcOrd="0" destOrd="0" presId="urn:microsoft.com/office/officeart/2005/8/layout/orgChart1"/>
    <dgm:cxn modelId="{BC434E9C-BFDD-D24E-970E-8ACA7D866415}" type="presOf" srcId="{83F1E7C7-2E04-4893-9638-230AA38B9ABB}" destId="{C081ECEC-5266-44AF-A7CF-956418D8F9C8}" srcOrd="1" destOrd="0" presId="urn:microsoft.com/office/officeart/2005/8/layout/orgChart1"/>
    <dgm:cxn modelId="{C26F81A4-3BCF-4A0E-BF63-EED7527A517C}" type="presOf" srcId="{F14DEF7C-2B73-45CC-82FC-B51D4E3500C0}" destId="{C5AB47A4-F6D1-4B0E-ADB7-2BC52C7998E4}" srcOrd="0" destOrd="0" presId="urn:microsoft.com/office/officeart/2005/8/layout/orgChart1"/>
    <dgm:cxn modelId="{3C3292A6-B992-4FA0-939E-D3F948F7DD00}" srcId="{2F368B37-15AD-483A-94D5-182E4D6CDAF4}" destId="{6975AF08-C943-49FC-96D3-D2CAA4691306}" srcOrd="0" destOrd="0" parTransId="{1A0792A1-CDDC-46F1-8237-21D8843EBB94}" sibTransId="{49844E48-9B73-4B27-AB51-9F17DD1A8043}"/>
    <dgm:cxn modelId="{E9BBE2A7-12B1-374C-A638-ECFE9ABD4476}" type="presOf" srcId="{8F09A36A-EE07-41DB-8665-4156740F75CC}" destId="{BFC547E8-0203-44F5-B7C0-A9EB6CD7EB10}" srcOrd="0" destOrd="0" presId="urn:microsoft.com/office/officeart/2005/8/layout/orgChart1"/>
    <dgm:cxn modelId="{2EA7F7A7-C8A0-4C34-82AD-2C55F0BB3F86}" srcId="{F14DEF7C-2B73-45CC-82FC-B51D4E3500C0}" destId="{F1E29949-CA78-4E28-969F-ECFA6FC12E76}" srcOrd="0" destOrd="0" parTransId="{84EE2D30-AF85-444A-B61E-5C8A72CB9673}" sibTransId="{35E75D08-A61F-48C9-8F41-338DDD25DF3C}"/>
    <dgm:cxn modelId="{665279B1-8C62-4FB7-9DDF-B146A48C251F}" srcId="{8A7F3FB7-7ABD-4F3B-83A2-2E2011AE1C64}" destId="{3B38EB2D-6C48-4002-AA8C-2C357EEBEB98}" srcOrd="1" destOrd="0" parTransId="{E1561FB2-EFB3-4CB2-9C6C-2A60F20FB2BF}" sibTransId="{37B40D2F-DAD6-4C78-BECB-C727A4A37D52}"/>
    <dgm:cxn modelId="{899582BA-B680-4788-B367-76643F0949A4}" srcId="{8A7F3FB7-7ABD-4F3B-83A2-2E2011AE1C64}" destId="{6AD0A1A7-C8F0-4C66-9E17-DFD5ACF60304}" srcOrd="2" destOrd="0" parTransId="{5A4839A1-2B17-4CE4-AE4D-A8355F1D9C6E}" sibTransId="{E7AED27B-5AD6-4780-BC4D-A0676525E723}"/>
    <dgm:cxn modelId="{75BF0ABB-FFEC-48EB-A1A6-E75F3B24E4D2}" srcId="{2F368B37-15AD-483A-94D5-182E4D6CDAF4}" destId="{628A4E44-FFAB-4A4C-AD53-791F2A226C8D}" srcOrd="2" destOrd="0" parTransId="{8F09A36A-EE07-41DB-8665-4156740F75CC}" sibTransId="{E2A10C87-D944-4FD7-B323-DE413937080F}"/>
    <dgm:cxn modelId="{A82A8EC6-4E8D-F546-813F-D943C5724B4B}" type="presOf" srcId="{F1E29949-CA78-4E28-969F-ECFA6FC12E76}" destId="{25483836-546A-43D6-A4C3-FE84C1A1B0F2}" srcOrd="0" destOrd="0" presId="urn:microsoft.com/office/officeart/2005/8/layout/orgChart1"/>
    <dgm:cxn modelId="{7D3B40E1-46CB-6F47-85C6-DCEB6F38BDA4}" type="presOf" srcId="{2F368B37-15AD-483A-94D5-182E4D6CDAF4}" destId="{67BCBC9A-8068-42E9-A16B-6C3E650988DA}" srcOrd="0" destOrd="0" presId="urn:microsoft.com/office/officeart/2005/8/layout/orgChart1"/>
    <dgm:cxn modelId="{A12A30E5-4B2E-0244-9573-8BEB7B64FEE5}" type="presOf" srcId="{718DF282-A5A1-4A05-9242-690F8F5C03A5}" destId="{9065B2D3-31FD-4DC3-92CF-D179ECA5BD77}" srcOrd="1" destOrd="0" presId="urn:microsoft.com/office/officeart/2005/8/layout/orgChart1"/>
    <dgm:cxn modelId="{B78E32EB-152B-B64E-9E5C-9F3CEE824CB6}" type="presOf" srcId="{5A4839A1-2B17-4CE4-AE4D-A8355F1D9C6E}" destId="{48CE639C-5D09-4CF4-8EDD-923CDEB85E26}" srcOrd="0" destOrd="0" presId="urn:microsoft.com/office/officeart/2005/8/layout/orgChart1"/>
    <dgm:cxn modelId="{3E4154EE-A9F8-0740-86A8-1689F9D4F846}" type="presOf" srcId="{628A4E44-FFAB-4A4C-AD53-791F2A226C8D}" destId="{AABB3C1D-2C15-430A-BB88-AA3F2BFAA1B3}" srcOrd="0" destOrd="0" presId="urn:microsoft.com/office/officeart/2005/8/layout/orgChart1"/>
    <dgm:cxn modelId="{84AC05F1-66EE-4BC0-9470-D32ADB4BC2E5}" srcId="{8A7F3FB7-7ABD-4F3B-83A2-2E2011AE1C64}" destId="{83F1E7C7-2E04-4893-9638-230AA38B9ABB}" srcOrd="0" destOrd="0" parTransId="{078C5EF9-63E3-4705-8AB2-1BBF6D6AFC7C}" sibTransId="{3876077A-5688-4EA1-A00F-6097F41E024F}"/>
    <dgm:cxn modelId="{EC8AC8FB-4CBD-EB43-BDF8-0732EA016AA0}" type="presOf" srcId="{3B38EB2D-6C48-4002-AA8C-2C357EEBEB98}" destId="{A4DDC1FD-C4CA-4A65-9AC8-EA47622B97CC}" srcOrd="1" destOrd="0" presId="urn:microsoft.com/office/officeart/2005/8/layout/orgChart1"/>
    <dgm:cxn modelId="{66A559FC-F6F1-F349-A43A-5B2F5A78E37B}" type="presOf" srcId="{718DF282-A5A1-4A05-9242-690F8F5C03A5}" destId="{2ADD7F07-CEDD-49FA-8144-C5CC101C319B}" srcOrd="0" destOrd="0" presId="urn:microsoft.com/office/officeart/2005/8/layout/orgChart1"/>
    <dgm:cxn modelId="{6C575F8C-C6C3-B24A-A808-4261D2EFB2DF}" type="presParOf" srcId="{C5AB47A4-F6D1-4B0E-ADB7-2BC52C7998E4}" destId="{558025C9-7032-4357-8D36-080D00F58C24}" srcOrd="0" destOrd="0" presId="urn:microsoft.com/office/officeart/2005/8/layout/orgChart1"/>
    <dgm:cxn modelId="{4996765B-D2A0-D04C-842C-75479C7E5AA6}" type="presParOf" srcId="{558025C9-7032-4357-8D36-080D00F58C24}" destId="{92E92088-476B-4456-828D-14B261D15788}" srcOrd="0" destOrd="0" presId="urn:microsoft.com/office/officeart/2005/8/layout/orgChart1"/>
    <dgm:cxn modelId="{E11EC9CD-B1D0-EC43-A143-6791F20A2A54}" type="presParOf" srcId="{92E92088-476B-4456-828D-14B261D15788}" destId="{25483836-546A-43D6-A4C3-FE84C1A1B0F2}" srcOrd="0" destOrd="0" presId="urn:microsoft.com/office/officeart/2005/8/layout/orgChart1"/>
    <dgm:cxn modelId="{EC3035B9-D143-6A4C-9A61-E22035D66999}" type="presParOf" srcId="{92E92088-476B-4456-828D-14B261D15788}" destId="{AF1C98AC-3097-4248-A36B-E1D75DF27378}" srcOrd="1" destOrd="0" presId="urn:microsoft.com/office/officeart/2005/8/layout/orgChart1"/>
    <dgm:cxn modelId="{253008A4-5320-224A-99EF-6A9016C6D50C}" type="presParOf" srcId="{558025C9-7032-4357-8D36-080D00F58C24}" destId="{0860A5EB-EE63-49E0-A1C7-3136531B4FFE}" srcOrd="1" destOrd="0" presId="urn:microsoft.com/office/officeart/2005/8/layout/orgChart1"/>
    <dgm:cxn modelId="{440C4D5B-1022-424E-8E68-6EF1C7832707}" type="presParOf" srcId="{0860A5EB-EE63-49E0-A1C7-3136531B4FFE}" destId="{4DB33F94-9DD2-46AB-8F13-039A72090410}" srcOrd="0" destOrd="0" presId="urn:microsoft.com/office/officeart/2005/8/layout/orgChart1"/>
    <dgm:cxn modelId="{5C11384B-5877-9745-B012-EABEA8B7FCD0}" type="presParOf" srcId="{0860A5EB-EE63-49E0-A1C7-3136531B4FFE}" destId="{CDB7F93F-CDBF-49D1-8344-77C41D65A9F2}" srcOrd="1" destOrd="0" presId="urn:microsoft.com/office/officeart/2005/8/layout/orgChart1"/>
    <dgm:cxn modelId="{ABEFB76D-BD36-6945-8315-2652CD4E97D2}" type="presParOf" srcId="{CDB7F93F-CDBF-49D1-8344-77C41D65A9F2}" destId="{2DF0686B-61BA-42DA-B50B-97FEFFF2C1B5}" srcOrd="0" destOrd="0" presId="urn:microsoft.com/office/officeart/2005/8/layout/orgChart1"/>
    <dgm:cxn modelId="{E2F8F6D9-A719-2E4D-A688-F25D2E48B47E}" type="presParOf" srcId="{2DF0686B-61BA-42DA-B50B-97FEFFF2C1B5}" destId="{67BCBC9A-8068-42E9-A16B-6C3E650988DA}" srcOrd="0" destOrd="0" presId="urn:microsoft.com/office/officeart/2005/8/layout/orgChart1"/>
    <dgm:cxn modelId="{10985BA8-85DD-AB4C-8B4D-390DB745B500}" type="presParOf" srcId="{2DF0686B-61BA-42DA-B50B-97FEFFF2C1B5}" destId="{235E8703-8269-4223-84C1-C6B6920C4057}" srcOrd="1" destOrd="0" presId="urn:microsoft.com/office/officeart/2005/8/layout/orgChart1"/>
    <dgm:cxn modelId="{AA83179A-460F-6543-9C27-A442050F8F53}" type="presParOf" srcId="{CDB7F93F-CDBF-49D1-8344-77C41D65A9F2}" destId="{7414767B-315F-4380-8A75-C824C975F26C}" srcOrd="1" destOrd="0" presId="urn:microsoft.com/office/officeart/2005/8/layout/orgChart1"/>
    <dgm:cxn modelId="{D286B76B-A994-2444-AFCA-4238E7E969BF}" type="presParOf" srcId="{7414767B-315F-4380-8A75-C824C975F26C}" destId="{368E2776-9423-48C3-BF72-A9CFC230699F}" srcOrd="0" destOrd="0" presId="urn:microsoft.com/office/officeart/2005/8/layout/orgChart1"/>
    <dgm:cxn modelId="{0F87AD39-A7EF-814F-B9E2-44D1B80B9050}" type="presParOf" srcId="{7414767B-315F-4380-8A75-C824C975F26C}" destId="{11C5DE12-7564-4AC5-93B9-6474A88EFE90}" srcOrd="1" destOrd="0" presId="urn:microsoft.com/office/officeart/2005/8/layout/orgChart1"/>
    <dgm:cxn modelId="{7721D634-7073-C74A-860D-71F441F719E4}" type="presParOf" srcId="{11C5DE12-7564-4AC5-93B9-6474A88EFE90}" destId="{2E4C3AB4-2106-45A2-87FA-18CB93725E2C}" srcOrd="0" destOrd="0" presId="urn:microsoft.com/office/officeart/2005/8/layout/orgChart1"/>
    <dgm:cxn modelId="{0543C9FF-FA0F-2849-8C18-A31F37A1F3E5}" type="presParOf" srcId="{2E4C3AB4-2106-45A2-87FA-18CB93725E2C}" destId="{5738628A-FED5-4CFE-B7C8-E515819587D0}" srcOrd="0" destOrd="0" presId="urn:microsoft.com/office/officeart/2005/8/layout/orgChart1"/>
    <dgm:cxn modelId="{C365B6A7-A374-6C42-931B-7D3CD488F5A0}" type="presParOf" srcId="{2E4C3AB4-2106-45A2-87FA-18CB93725E2C}" destId="{03F07900-DFCA-4873-94D8-B7C03DA9A1C5}" srcOrd="1" destOrd="0" presId="urn:microsoft.com/office/officeart/2005/8/layout/orgChart1"/>
    <dgm:cxn modelId="{AB911CDA-FCEB-6D45-8845-E99A65C63CFA}" type="presParOf" srcId="{11C5DE12-7564-4AC5-93B9-6474A88EFE90}" destId="{99932062-9492-4E31-944C-976841A0F262}" srcOrd="1" destOrd="0" presId="urn:microsoft.com/office/officeart/2005/8/layout/orgChart1"/>
    <dgm:cxn modelId="{F3437E70-32DF-1644-A34B-67729EF0526B}" type="presParOf" srcId="{11C5DE12-7564-4AC5-93B9-6474A88EFE90}" destId="{0577495E-30FA-4B09-B164-CC7FA6C1379B}" srcOrd="2" destOrd="0" presId="urn:microsoft.com/office/officeart/2005/8/layout/orgChart1"/>
    <dgm:cxn modelId="{C94641C0-6FA9-D94E-A49C-68FB60CC847D}" type="presParOf" srcId="{7414767B-315F-4380-8A75-C824C975F26C}" destId="{B81BBD98-D1EB-4D6A-B0BA-6B0D5672D8DD}" srcOrd="2" destOrd="0" presId="urn:microsoft.com/office/officeart/2005/8/layout/orgChart1"/>
    <dgm:cxn modelId="{23155396-D16E-DE4B-976E-A3EEE634B9E6}" type="presParOf" srcId="{7414767B-315F-4380-8A75-C824C975F26C}" destId="{EF82B501-A0B5-4B4D-8403-AD9035B30BBC}" srcOrd="3" destOrd="0" presId="urn:microsoft.com/office/officeart/2005/8/layout/orgChart1"/>
    <dgm:cxn modelId="{DD287198-717F-0743-9E78-BB047933FBED}" type="presParOf" srcId="{EF82B501-A0B5-4B4D-8403-AD9035B30BBC}" destId="{1BECA9B0-5962-44C4-BC82-58569CECC820}" srcOrd="0" destOrd="0" presId="urn:microsoft.com/office/officeart/2005/8/layout/orgChart1"/>
    <dgm:cxn modelId="{4E7FA275-37C4-0B49-9C99-ED6DD15BBA5C}" type="presParOf" srcId="{1BECA9B0-5962-44C4-BC82-58569CECC820}" destId="{2ADD7F07-CEDD-49FA-8144-C5CC101C319B}" srcOrd="0" destOrd="0" presId="urn:microsoft.com/office/officeart/2005/8/layout/orgChart1"/>
    <dgm:cxn modelId="{0451A63A-17B6-854D-A0EA-6CF7CB0D869E}" type="presParOf" srcId="{1BECA9B0-5962-44C4-BC82-58569CECC820}" destId="{9065B2D3-31FD-4DC3-92CF-D179ECA5BD77}" srcOrd="1" destOrd="0" presId="urn:microsoft.com/office/officeart/2005/8/layout/orgChart1"/>
    <dgm:cxn modelId="{4BDED00F-9BB1-5348-9C71-0B7E89013761}" type="presParOf" srcId="{EF82B501-A0B5-4B4D-8403-AD9035B30BBC}" destId="{C86D567A-91CD-4E89-BEF2-D8ACA40E0C39}" srcOrd="1" destOrd="0" presId="urn:microsoft.com/office/officeart/2005/8/layout/orgChart1"/>
    <dgm:cxn modelId="{B7904758-6F63-E648-8CC7-B96C4030DF35}" type="presParOf" srcId="{EF82B501-A0B5-4B4D-8403-AD9035B30BBC}" destId="{D59E8185-4053-4885-9AA3-63A5B458B703}" srcOrd="2" destOrd="0" presId="urn:microsoft.com/office/officeart/2005/8/layout/orgChart1"/>
    <dgm:cxn modelId="{A81FB392-1540-1140-B6F5-EEB7C32A9F50}" type="presParOf" srcId="{7414767B-315F-4380-8A75-C824C975F26C}" destId="{BFC547E8-0203-44F5-B7C0-A9EB6CD7EB10}" srcOrd="4" destOrd="0" presId="urn:microsoft.com/office/officeart/2005/8/layout/orgChart1"/>
    <dgm:cxn modelId="{BB50AF12-F478-B849-A06C-9EB9CBE64C19}" type="presParOf" srcId="{7414767B-315F-4380-8A75-C824C975F26C}" destId="{AC473D88-0117-46BE-B635-E90FA2E8189E}" srcOrd="5" destOrd="0" presId="urn:microsoft.com/office/officeart/2005/8/layout/orgChart1"/>
    <dgm:cxn modelId="{EA49A7F0-28B7-7645-A1FD-F0C3C5946375}" type="presParOf" srcId="{AC473D88-0117-46BE-B635-E90FA2E8189E}" destId="{79B26304-F0C8-42B5-B93A-7B96291B5689}" srcOrd="0" destOrd="0" presId="urn:microsoft.com/office/officeart/2005/8/layout/orgChart1"/>
    <dgm:cxn modelId="{28AC864D-3014-7747-B682-3F8238C9F23A}" type="presParOf" srcId="{79B26304-F0C8-42B5-B93A-7B96291B5689}" destId="{AABB3C1D-2C15-430A-BB88-AA3F2BFAA1B3}" srcOrd="0" destOrd="0" presId="urn:microsoft.com/office/officeart/2005/8/layout/orgChart1"/>
    <dgm:cxn modelId="{B23341E7-BEDA-B544-9E4D-E40644C550F5}" type="presParOf" srcId="{79B26304-F0C8-42B5-B93A-7B96291B5689}" destId="{97A7AB6D-5E10-4208-AC6B-2D761E7E3552}" srcOrd="1" destOrd="0" presId="urn:microsoft.com/office/officeart/2005/8/layout/orgChart1"/>
    <dgm:cxn modelId="{C29E5EF6-2EA2-1743-9022-1EE691F43476}" type="presParOf" srcId="{AC473D88-0117-46BE-B635-E90FA2E8189E}" destId="{16A30789-E144-4B40-9566-FFCCC28A15A8}" srcOrd="1" destOrd="0" presId="urn:microsoft.com/office/officeart/2005/8/layout/orgChart1"/>
    <dgm:cxn modelId="{7E90B519-952B-2C44-B151-F1CE29DE8C3D}" type="presParOf" srcId="{AC473D88-0117-46BE-B635-E90FA2E8189E}" destId="{C3172571-C174-4243-8A29-7DE8C04685A7}" srcOrd="2" destOrd="0" presId="urn:microsoft.com/office/officeart/2005/8/layout/orgChart1"/>
    <dgm:cxn modelId="{D6D6915D-1EF4-6748-91C3-E95B9175C7D5}" type="presParOf" srcId="{CDB7F93F-CDBF-49D1-8344-77C41D65A9F2}" destId="{E7377258-F9AC-4684-830F-8499F34D1346}" srcOrd="2" destOrd="0" presId="urn:microsoft.com/office/officeart/2005/8/layout/orgChart1"/>
    <dgm:cxn modelId="{9C307207-8E15-AF47-8043-C920A9989716}" type="presParOf" srcId="{0860A5EB-EE63-49E0-A1C7-3136531B4FFE}" destId="{0F64BA7E-07F4-49C1-979F-4D276368FD1B}" srcOrd="2" destOrd="0" presId="urn:microsoft.com/office/officeart/2005/8/layout/orgChart1"/>
    <dgm:cxn modelId="{E9D1D52B-F66B-2A4E-BEE5-AB700A3C865E}" type="presParOf" srcId="{0860A5EB-EE63-49E0-A1C7-3136531B4FFE}" destId="{B02AFA2A-6D58-49CA-8561-77DA88383E13}" srcOrd="3" destOrd="0" presId="urn:microsoft.com/office/officeart/2005/8/layout/orgChart1"/>
    <dgm:cxn modelId="{B19AA28E-3FFA-A54C-9ED1-4BF71CD4ECDF}" type="presParOf" srcId="{B02AFA2A-6D58-49CA-8561-77DA88383E13}" destId="{4A0F886E-F9D0-42E6-8A03-EF7E704A119E}" srcOrd="0" destOrd="0" presId="urn:microsoft.com/office/officeart/2005/8/layout/orgChart1"/>
    <dgm:cxn modelId="{15644D30-270A-CD47-BB2D-94223D1BF23F}" type="presParOf" srcId="{4A0F886E-F9D0-42E6-8A03-EF7E704A119E}" destId="{FF9CF482-293E-4C77-9B5B-218110E00EC3}" srcOrd="0" destOrd="0" presId="urn:microsoft.com/office/officeart/2005/8/layout/orgChart1"/>
    <dgm:cxn modelId="{3261DBC7-3288-124F-8F7F-387C907A7127}" type="presParOf" srcId="{4A0F886E-F9D0-42E6-8A03-EF7E704A119E}" destId="{4A136AA5-AB08-491C-A317-7487AEFCB56E}" srcOrd="1" destOrd="0" presId="urn:microsoft.com/office/officeart/2005/8/layout/orgChart1"/>
    <dgm:cxn modelId="{46118B1C-2B29-1644-824D-ED2851257273}" type="presParOf" srcId="{B02AFA2A-6D58-49CA-8561-77DA88383E13}" destId="{C2426E21-2C0A-4B96-BE2E-435F3C620BC0}" srcOrd="1" destOrd="0" presId="urn:microsoft.com/office/officeart/2005/8/layout/orgChart1"/>
    <dgm:cxn modelId="{A92E8C16-B139-C34F-A3BA-12DB5B388821}" type="presParOf" srcId="{C2426E21-2C0A-4B96-BE2E-435F3C620BC0}" destId="{1CB46543-946C-4C90-8FC7-EA12E8C15301}" srcOrd="0" destOrd="0" presId="urn:microsoft.com/office/officeart/2005/8/layout/orgChart1"/>
    <dgm:cxn modelId="{223BFBA1-D63B-C04C-9808-0754A47BEC04}" type="presParOf" srcId="{C2426E21-2C0A-4B96-BE2E-435F3C620BC0}" destId="{C0D94FFD-AE81-44C1-A1EC-569F60E4B4FA}" srcOrd="1" destOrd="0" presId="urn:microsoft.com/office/officeart/2005/8/layout/orgChart1"/>
    <dgm:cxn modelId="{E2DD1213-DBBA-0B46-B699-FF2DDE42C4FE}" type="presParOf" srcId="{C0D94FFD-AE81-44C1-A1EC-569F60E4B4FA}" destId="{F1AFA64F-26A5-4EBA-ACEF-4FC7FD0E3C08}" srcOrd="0" destOrd="0" presId="urn:microsoft.com/office/officeart/2005/8/layout/orgChart1"/>
    <dgm:cxn modelId="{94E0CD1D-CEE0-7843-89CA-1FEE5D5BF83E}" type="presParOf" srcId="{F1AFA64F-26A5-4EBA-ACEF-4FC7FD0E3C08}" destId="{B73B63AE-F6C2-48FE-93E5-3418BF2EC641}" srcOrd="0" destOrd="0" presId="urn:microsoft.com/office/officeart/2005/8/layout/orgChart1"/>
    <dgm:cxn modelId="{7EF87696-FF4E-4343-8476-4E0F91B595C7}" type="presParOf" srcId="{F1AFA64F-26A5-4EBA-ACEF-4FC7FD0E3C08}" destId="{C081ECEC-5266-44AF-A7CF-956418D8F9C8}" srcOrd="1" destOrd="0" presId="urn:microsoft.com/office/officeart/2005/8/layout/orgChart1"/>
    <dgm:cxn modelId="{8FD50406-4A29-CF4B-A4CE-FA6082A98DE5}" type="presParOf" srcId="{C0D94FFD-AE81-44C1-A1EC-569F60E4B4FA}" destId="{3878E40B-D446-49CC-98F7-0F5B6E6EA4B9}" srcOrd="1" destOrd="0" presId="urn:microsoft.com/office/officeart/2005/8/layout/orgChart1"/>
    <dgm:cxn modelId="{91D8DD04-E7D8-8F40-B4C1-F089CD016193}" type="presParOf" srcId="{C0D94FFD-AE81-44C1-A1EC-569F60E4B4FA}" destId="{93DAD9D0-3C3F-4A7E-AB12-A009348130A6}" srcOrd="2" destOrd="0" presId="urn:microsoft.com/office/officeart/2005/8/layout/orgChart1"/>
    <dgm:cxn modelId="{C64EDFE3-FD93-1947-A9C3-F1B61A57DA7C}" type="presParOf" srcId="{C2426E21-2C0A-4B96-BE2E-435F3C620BC0}" destId="{670F208B-3F20-43A4-A1E7-F514D6BAA1A1}" srcOrd="2" destOrd="0" presId="urn:microsoft.com/office/officeart/2005/8/layout/orgChart1"/>
    <dgm:cxn modelId="{0DD11DB6-2AC6-3246-A1C7-363DBA0BF32A}" type="presParOf" srcId="{C2426E21-2C0A-4B96-BE2E-435F3C620BC0}" destId="{521DA315-BC95-4B17-8085-FE9F3349680F}" srcOrd="3" destOrd="0" presId="urn:microsoft.com/office/officeart/2005/8/layout/orgChart1"/>
    <dgm:cxn modelId="{B5C01DA2-6F6D-8846-9764-44A338345D05}" type="presParOf" srcId="{521DA315-BC95-4B17-8085-FE9F3349680F}" destId="{A3C5C4AA-A17A-4535-A978-ABD47C4A42F3}" srcOrd="0" destOrd="0" presId="urn:microsoft.com/office/officeart/2005/8/layout/orgChart1"/>
    <dgm:cxn modelId="{19545649-5135-4844-89D7-D1EC3905DB70}" type="presParOf" srcId="{A3C5C4AA-A17A-4535-A978-ABD47C4A42F3}" destId="{4C6F4287-77A0-4C43-9100-B943C24B324E}" srcOrd="0" destOrd="0" presId="urn:microsoft.com/office/officeart/2005/8/layout/orgChart1"/>
    <dgm:cxn modelId="{DAC3747E-4C69-0447-B9F3-FAA8856D023D}" type="presParOf" srcId="{A3C5C4AA-A17A-4535-A978-ABD47C4A42F3}" destId="{A4DDC1FD-C4CA-4A65-9AC8-EA47622B97CC}" srcOrd="1" destOrd="0" presId="urn:microsoft.com/office/officeart/2005/8/layout/orgChart1"/>
    <dgm:cxn modelId="{15287926-80FF-1A4A-8CEC-F1AC3FF12973}" type="presParOf" srcId="{521DA315-BC95-4B17-8085-FE9F3349680F}" destId="{03134E91-3522-4FC7-B894-264555F82D92}" srcOrd="1" destOrd="0" presId="urn:microsoft.com/office/officeart/2005/8/layout/orgChart1"/>
    <dgm:cxn modelId="{5690C1C7-4E00-AD4D-92A2-120A0747FF9F}" type="presParOf" srcId="{521DA315-BC95-4B17-8085-FE9F3349680F}" destId="{57C35528-A0B0-4BC6-88B4-3DD86F502DC0}" srcOrd="2" destOrd="0" presId="urn:microsoft.com/office/officeart/2005/8/layout/orgChart1"/>
    <dgm:cxn modelId="{EB6A0B5D-F307-434D-A561-90D91F34278A}" type="presParOf" srcId="{C2426E21-2C0A-4B96-BE2E-435F3C620BC0}" destId="{48CE639C-5D09-4CF4-8EDD-923CDEB85E26}" srcOrd="4" destOrd="0" presId="urn:microsoft.com/office/officeart/2005/8/layout/orgChart1"/>
    <dgm:cxn modelId="{1832CFAF-82D8-0F4B-AB8B-C23556D49432}" type="presParOf" srcId="{C2426E21-2C0A-4B96-BE2E-435F3C620BC0}" destId="{D56B5DF8-076C-4EAE-A52C-81F29ECAA71E}" srcOrd="5" destOrd="0" presId="urn:microsoft.com/office/officeart/2005/8/layout/orgChart1"/>
    <dgm:cxn modelId="{0937C14A-377E-5A41-B20F-D9A9C6D22B4A}" type="presParOf" srcId="{D56B5DF8-076C-4EAE-A52C-81F29ECAA71E}" destId="{44C7D257-0712-4B57-845E-70E36D2C6FD5}" srcOrd="0" destOrd="0" presId="urn:microsoft.com/office/officeart/2005/8/layout/orgChart1"/>
    <dgm:cxn modelId="{D86379B9-3561-9D43-AFA0-C17F8CAC4C1E}" type="presParOf" srcId="{44C7D257-0712-4B57-845E-70E36D2C6FD5}" destId="{D7DCD81E-53D6-4B9F-A26C-2CAD0020EDFB}" srcOrd="0" destOrd="0" presId="urn:microsoft.com/office/officeart/2005/8/layout/orgChart1"/>
    <dgm:cxn modelId="{8F95E4F0-AAEA-3040-9687-4E10D33257D4}" type="presParOf" srcId="{44C7D257-0712-4B57-845E-70E36D2C6FD5}" destId="{9B00D6BA-B56B-4C25-8BDA-50412E59F366}" srcOrd="1" destOrd="0" presId="urn:microsoft.com/office/officeart/2005/8/layout/orgChart1"/>
    <dgm:cxn modelId="{4D8BDB1B-2373-6943-8961-3BD9786261BF}" type="presParOf" srcId="{D56B5DF8-076C-4EAE-A52C-81F29ECAA71E}" destId="{40D074FF-F9A0-4AB2-AE91-5004DB7567E8}" srcOrd="1" destOrd="0" presId="urn:microsoft.com/office/officeart/2005/8/layout/orgChart1"/>
    <dgm:cxn modelId="{7B0F19AB-D454-D04E-8E77-F7DE6A63C3B5}" type="presParOf" srcId="{D56B5DF8-076C-4EAE-A52C-81F29ECAA71E}" destId="{A6901A24-406C-43DC-AB4D-823CE300A052}" srcOrd="2" destOrd="0" presId="urn:microsoft.com/office/officeart/2005/8/layout/orgChart1"/>
    <dgm:cxn modelId="{808DABAC-6359-9C40-9B24-CF6C9593D11C}" type="presParOf" srcId="{B02AFA2A-6D58-49CA-8561-77DA88383E13}" destId="{DBBBA5B2-F8E2-4120-B871-C5808CEF3423}" srcOrd="2" destOrd="0" presId="urn:microsoft.com/office/officeart/2005/8/layout/orgChart1"/>
    <dgm:cxn modelId="{33430D7F-AC93-3740-99C1-7AC1D72AD52C}" type="presParOf" srcId="{558025C9-7032-4357-8D36-080D00F58C24}" destId="{58B1F272-6ECA-4187-B44A-9D837E52E8A7}" srcOrd="2" destOrd="0" presId="urn:microsoft.com/office/officeart/2005/8/layout/orgChart1"/>
  </dgm:cxnLst>
  <dgm:bg/>
  <dgm:whole/>
  <dgm:extLst>
    <a:ext uri="http://schemas.microsoft.com/office/drawing/2008/diagram">
      <dsp:dataModelExt xmlns:dsp="http://schemas.microsoft.com/office/drawing/2008/diagram" relId="rId4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8CE639C-5D09-4CF4-8EDD-923CDEB85E26}">
      <dsp:nvSpPr>
        <dsp:cNvPr id="0" name=""/>
        <dsp:cNvSpPr/>
      </dsp:nvSpPr>
      <dsp:spPr>
        <a:xfrm>
          <a:off x="2819816" y="1159653"/>
          <a:ext cx="143656" cy="1800492"/>
        </a:xfrm>
        <a:custGeom>
          <a:avLst/>
          <a:gdLst/>
          <a:ahLst/>
          <a:cxnLst/>
          <a:rect l="0" t="0" r="0" b="0"/>
          <a:pathLst>
            <a:path>
              <a:moveTo>
                <a:pt x="0" y="0"/>
              </a:moveTo>
              <a:lnTo>
                <a:pt x="0" y="1800492"/>
              </a:lnTo>
              <a:lnTo>
                <a:pt x="143656" y="180049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70F208B-3F20-43A4-A1E7-F514D6BAA1A1}">
      <dsp:nvSpPr>
        <dsp:cNvPr id="0" name=""/>
        <dsp:cNvSpPr/>
      </dsp:nvSpPr>
      <dsp:spPr>
        <a:xfrm>
          <a:off x="2819816" y="1159653"/>
          <a:ext cx="143656" cy="1120519"/>
        </a:xfrm>
        <a:custGeom>
          <a:avLst/>
          <a:gdLst/>
          <a:ahLst/>
          <a:cxnLst/>
          <a:rect l="0" t="0" r="0" b="0"/>
          <a:pathLst>
            <a:path>
              <a:moveTo>
                <a:pt x="0" y="0"/>
              </a:moveTo>
              <a:lnTo>
                <a:pt x="0" y="1120519"/>
              </a:lnTo>
              <a:lnTo>
                <a:pt x="143656" y="11205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CB46543-946C-4C90-8FC7-EA12E8C15301}">
      <dsp:nvSpPr>
        <dsp:cNvPr id="0" name=""/>
        <dsp:cNvSpPr/>
      </dsp:nvSpPr>
      <dsp:spPr>
        <a:xfrm>
          <a:off x="2819816" y="1159653"/>
          <a:ext cx="143656" cy="440546"/>
        </a:xfrm>
        <a:custGeom>
          <a:avLst/>
          <a:gdLst/>
          <a:ahLst/>
          <a:cxnLst/>
          <a:rect l="0" t="0" r="0" b="0"/>
          <a:pathLst>
            <a:path>
              <a:moveTo>
                <a:pt x="0" y="0"/>
              </a:moveTo>
              <a:lnTo>
                <a:pt x="0" y="440546"/>
              </a:lnTo>
              <a:lnTo>
                <a:pt x="143656" y="44054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F64BA7E-07F4-49C1-979F-4D276368FD1B}">
      <dsp:nvSpPr>
        <dsp:cNvPr id="0" name=""/>
        <dsp:cNvSpPr/>
      </dsp:nvSpPr>
      <dsp:spPr>
        <a:xfrm>
          <a:off x="2623486" y="479680"/>
          <a:ext cx="579413" cy="201118"/>
        </a:xfrm>
        <a:custGeom>
          <a:avLst/>
          <a:gdLst/>
          <a:ahLst/>
          <a:cxnLst/>
          <a:rect l="0" t="0" r="0" b="0"/>
          <a:pathLst>
            <a:path>
              <a:moveTo>
                <a:pt x="0" y="0"/>
              </a:moveTo>
              <a:lnTo>
                <a:pt x="0" y="100559"/>
              </a:lnTo>
              <a:lnTo>
                <a:pt x="579413" y="100559"/>
              </a:lnTo>
              <a:lnTo>
                <a:pt x="579413" y="20111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FC547E8-0203-44F5-B7C0-A9EB6CD7EB10}">
      <dsp:nvSpPr>
        <dsp:cNvPr id="0" name=""/>
        <dsp:cNvSpPr/>
      </dsp:nvSpPr>
      <dsp:spPr>
        <a:xfrm>
          <a:off x="1660988" y="1159653"/>
          <a:ext cx="143656" cy="1800492"/>
        </a:xfrm>
        <a:custGeom>
          <a:avLst/>
          <a:gdLst/>
          <a:ahLst/>
          <a:cxnLst/>
          <a:rect l="0" t="0" r="0" b="0"/>
          <a:pathLst>
            <a:path>
              <a:moveTo>
                <a:pt x="0" y="0"/>
              </a:moveTo>
              <a:lnTo>
                <a:pt x="0" y="1800492"/>
              </a:lnTo>
              <a:lnTo>
                <a:pt x="143656" y="180049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81BBD98-D1EB-4D6A-B0BA-6B0D5672D8DD}">
      <dsp:nvSpPr>
        <dsp:cNvPr id="0" name=""/>
        <dsp:cNvSpPr/>
      </dsp:nvSpPr>
      <dsp:spPr>
        <a:xfrm>
          <a:off x="1660988" y="1159653"/>
          <a:ext cx="143656" cy="1120519"/>
        </a:xfrm>
        <a:custGeom>
          <a:avLst/>
          <a:gdLst/>
          <a:ahLst/>
          <a:cxnLst/>
          <a:rect l="0" t="0" r="0" b="0"/>
          <a:pathLst>
            <a:path>
              <a:moveTo>
                <a:pt x="0" y="0"/>
              </a:moveTo>
              <a:lnTo>
                <a:pt x="0" y="1120519"/>
              </a:lnTo>
              <a:lnTo>
                <a:pt x="143656" y="11205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68E2776-9423-48C3-BF72-A9CFC230699F}">
      <dsp:nvSpPr>
        <dsp:cNvPr id="0" name=""/>
        <dsp:cNvSpPr/>
      </dsp:nvSpPr>
      <dsp:spPr>
        <a:xfrm>
          <a:off x="1660988" y="1159653"/>
          <a:ext cx="143656" cy="440546"/>
        </a:xfrm>
        <a:custGeom>
          <a:avLst/>
          <a:gdLst/>
          <a:ahLst/>
          <a:cxnLst/>
          <a:rect l="0" t="0" r="0" b="0"/>
          <a:pathLst>
            <a:path>
              <a:moveTo>
                <a:pt x="0" y="0"/>
              </a:moveTo>
              <a:lnTo>
                <a:pt x="0" y="440546"/>
              </a:lnTo>
              <a:lnTo>
                <a:pt x="143656" y="44054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DB33F94-9DD2-46AB-8F13-039A72090410}">
      <dsp:nvSpPr>
        <dsp:cNvPr id="0" name=""/>
        <dsp:cNvSpPr/>
      </dsp:nvSpPr>
      <dsp:spPr>
        <a:xfrm>
          <a:off x="2044072" y="479680"/>
          <a:ext cx="579413" cy="201118"/>
        </a:xfrm>
        <a:custGeom>
          <a:avLst/>
          <a:gdLst/>
          <a:ahLst/>
          <a:cxnLst/>
          <a:rect l="0" t="0" r="0" b="0"/>
          <a:pathLst>
            <a:path>
              <a:moveTo>
                <a:pt x="579413" y="0"/>
              </a:moveTo>
              <a:lnTo>
                <a:pt x="579413" y="100559"/>
              </a:lnTo>
              <a:lnTo>
                <a:pt x="0" y="100559"/>
              </a:lnTo>
              <a:lnTo>
                <a:pt x="0" y="20111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5483836-546A-43D6-A4C3-FE84C1A1B0F2}">
      <dsp:nvSpPr>
        <dsp:cNvPr id="0" name=""/>
        <dsp:cNvSpPr/>
      </dsp:nvSpPr>
      <dsp:spPr>
        <a:xfrm>
          <a:off x="2144631" y="825"/>
          <a:ext cx="957708" cy="47885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Key target audiences</a:t>
          </a:r>
        </a:p>
      </dsp:txBody>
      <dsp:txXfrm>
        <a:off x="2144631" y="825"/>
        <a:ext cx="957708" cy="478854"/>
      </dsp:txXfrm>
    </dsp:sp>
    <dsp:sp modelId="{67BCBC9A-8068-42E9-A16B-6C3E650988DA}">
      <dsp:nvSpPr>
        <dsp:cNvPr id="0" name=""/>
        <dsp:cNvSpPr/>
      </dsp:nvSpPr>
      <dsp:spPr>
        <a:xfrm>
          <a:off x="1565217" y="680799"/>
          <a:ext cx="957708" cy="47885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Professionals</a:t>
          </a:r>
        </a:p>
      </dsp:txBody>
      <dsp:txXfrm>
        <a:off x="1565217" y="680799"/>
        <a:ext cx="957708" cy="478854"/>
      </dsp:txXfrm>
    </dsp:sp>
    <dsp:sp modelId="{5738628A-FED5-4CFE-B7C8-E515819587D0}">
      <dsp:nvSpPr>
        <dsp:cNvPr id="0" name=""/>
        <dsp:cNvSpPr/>
      </dsp:nvSpPr>
      <dsp:spPr>
        <a:xfrm>
          <a:off x="1804645" y="1360772"/>
          <a:ext cx="957708" cy="47885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Font typeface="Arial" panose="020B0604020202020204" pitchFamily="34" charset="0"/>
            <a:buNone/>
          </a:pPr>
          <a:r>
            <a:rPr lang="en-US" sz="1100" kern="1200"/>
            <a:t>Business leaders</a:t>
          </a:r>
        </a:p>
      </dsp:txBody>
      <dsp:txXfrm>
        <a:off x="1804645" y="1360772"/>
        <a:ext cx="957708" cy="478854"/>
      </dsp:txXfrm>
    </dsp:sp>
    <dsp:sp modelId="{2ADD7F07-CEDD-49FA-8144-C5CC101C319B}">
      <dsp:nvSpPr>
        <dsp:cNvPr id="0" name=""/>
        <dsp:cNvSpPr/>
      </dsp:nvSpPr>
      <dsp:spPr>
        <a:xfrm>
          <a:off x="1804645" y="2040746"/>
          <a:ext cx="957708" cy="47885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Font typeface="Arial" panose="020B0604020202020204" pitchFamily="34" charset="0"/>
            <a:buNone/>
          </a:pPr>
          <a:r>
            <a:rPr lang="en-US" sz="1100" kern="1200"/>
            <a:t>Economic  experts and analysts</a:t>
          </a:r>
        </a:p>
      </dsp:txBody>
      <dsp:txXfrm>
        <a:off x="1804645" y="2040746"/>
        <a:ext cx="957708" cy="478854"/>
      </dsp:txXfrm>
    </dsp:sp>
    <dsp:sp modelId="{AABB3C1D-2C15-430A-BB88-AA3F2BFAA1B3}">
      <dsp:nvSpPr>
        <dsp:cNvPr id="0" name=""/>
        <dsp:cNvSpPr/>
      </dsp:nvSpPr>
      <dsp:spPr>
        <a:xfrm>
          <a:off x="1804645" y="2720719"/>
          <a:ext cx="957708" cy="47885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Font typeface="Arial" panose="020B0604020202020204" pitchFamily="34" charset="0"/>
            <a:buNone/>
          </a:pPr>
          <a:r>
            <a:rPr lang="en-US" sz="1100" kern="1200"/>
            <a:t>Foreign investors</a:t>
          </a:r>
        </a:p>
      </dsp:txBody>
      <dsp:txXfrm>
        <a:off x="1804645" y="2720719"/>
        <a:ext cx="957708" cy="478854"/>
      </dsp:txXfrm>
    </dsp:sp>
    <dsp:sp modelId="{FF9CF482-293E-4C77-9B5B-218110E00EC3}">
      <dsp:nvSpPr>
        <dsp:cNvPr id="0" name=""/>
        <dsp:cNvSpPr/>
      </dsp:nvSpPr>
      <dsp:spPr>
        <a:xfrm>
          <a:off x="2724045" y="680799"/>
          <a:ext cx="957708" cy="47885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General public</a:t>
          </a:r>
        </a:p>
      </dsp:txBody>
      <dsp:txXfrm>
        <a:off x="2724045" y="680799"/>
        <a:ext cx="957708" cy="478854"/>
      </dsp:txXfrm>
    </dsp:sp>
    <dsp:sp modelId="{B73B63AE-F6C2-48FE-93E5-3418BF2EC641}">
      <dsp:nvSpPr>
        <dsp:cNvPr id="0" name=""/>
        <dsp:cNvSpPr/>
      </dsp:nvSpPr>
      <dsp:spPr>
        <a:xfrm>
          <a:off x="2963473" y="1360772"/>
          <a:ext cx="957708" cy="47885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Font typeface="Arial" panose="020B0604020202020204" pitchFamily="34" charset="0"/>
            <a:buNone/>
          </a:pPr>
          <a:r>
            <a:rPr lang="en-US" sz="1100" kern="1200"/>
            <a:t>Key policy influencers</a:t>
          </a:r>
        </a:p>
      </dsp:txBody>
      <dsp:txXfrm>
        <a:off x="2963473" y="1360772"/>
        <a:ext cx="957708" cy="478854"/>
      </dsp:txXfrm>
    </dsp:sp>
    <dsp:sp modelId="{4C6F4287-77A0-4C43-9100-B943C24B324E}">
      <dsp:nvSpPr>
        <dsp:cNvPr id="0" name=""/>
        <dsp:cNvSpPr/>
      </dsp:nvSpPr>
      <dsp:spPr>
        <a:xfrm>
          <a:off x="2963473" y="2040746"/>
          <a:ext cx="957708" cy="47885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Adult population </a:t>
          </a:r>
        </a:p>
      </dsp:txBody>
      <dsp:txXfrm>
        <a:off x="2963473" y="2040746"/>
        <a:ext cx="957708" cy="478854"/>
      </dsp:txXfrm>
    </dsp:sp>
    <dsp:sp modelId="{D7DCD81E-53D6-4B9F-A26C-2CAD0020EDFB}">
      <dsp:nvSpPr>
        <dsp:cNvPr id="0" name=""/>
        <dsp:cNvSpPr/>
      </dsp:nvSpPr>
      <dsp:spPr>
        <a:xfrm>
          <a:off x="2963473" y="2720719"/>
          <a:ext cx="957708" cy="47885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Youth and schoolchildren </a:t>
          </a:r>
        </a:p>
      </dsp:txBody>
      <dsp:txXfrm>
        <a:off x="2963473" y="2720719"/>
        <a:ext cx="957708" cy="478854"/>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ocumenttasks/documenttasks1.xml><?xml version="1.0" encoding="utf-8"?>
<t:Tasks xmlns:t="http://schemas.microsoft.com/office/tasks/2019/documenttasks" xmlns:oel="http://schemas.microsoft.com/office/2019/extlst">
  <t:Task id="{D2A830D3-EC04-4145-8CE8-A7C81214C515}">
    <t:Anchor>
      <t:Comment id="716170197"/>
    </t:Anchor>
    <t:History>
      <t:Event id="{07FD24EB-A3FC-4DC4-8BBC-702E3FD40A21}" time="2024-11-13T09:42:43.401Z">
        <t:Attribution userId="S::ABULIR@imf.org::d27dfaa2-7035-4cf8-bb28-3fe62663571d" userProvider="AD" userName="Bulir, Ales"/>
        <t:Anchor>
          <t:Comment id="719283091"/>
        </t:Anchor>
        <t:Create/>
      </t:Event>
      <t:Event id="{30C60133-91C8-4700-A731-9FB96AA92131}" time="2024-11-13T09:42:43.401Z">
        <t:Attribution userId="S::ABULIR@imf.org::d27dfaa2-7035-4cf8-bb28-3fe62663571d" userProvider="AD" userName="Bulir, Ales"/>
        <t:Anchor>
          <t:Comment id="719283091"/>
        </t:Anchor>
        <t:Assign userId="S::MGuo@imf.org::1d5d4cb8-8e2d-40f6-b824-f94131509508" userProvider="AD" userName="Guo, Mantong"/>
      </t:Event>
      <t:Event id="{884DFE98-B623-43CD-A80F-9C685F266574}" time="2024-11-13T09:42:43.401Z">
        <t:Attribution userId="S::ABULIR@imf.org::d27dfaa2-7035-4cf8-bb28-3fe62663571d" userProvider="AD" userName="Bulir, Ales"/>
        <t:Anchor>
          <t:Comment id="719283091"/>
        </t:Anchor>
        <t:SetTitle title="@Guo, Mantong can you say specifically what you mean by performance in the Benchmarking Tools bullet?"/>
      </t:Event>
    </t:History>
  </t:Task>
</t:Task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A4FF1306DE74BDB88967281E87C0D35"/>
        <w:category>
          <w:name w:val="General"/>
          <w:gallery w:val="placeholder"/>
        </w:category>
        <w:types>
          <w:type w:val="bbPlcHdr"/>
        </w:types>
        <w:behaviors>
          <w:behavior w:val="content"/>
        </w:behaviors>
        <w:guid w:val="{18784A2A-010D-4CC1-AACD-22932EBF81E1}"/>
      </w:docPartPr>
      <w:docPartBody>
        <w:p w:rsidR="00C114CA" w:rsidRDefault="00235F2A" w:rsidP="00235F2A">
          <w:r>
            <w:rPr>
              <w:color w:val="2F5496" w:themeColor="accent1" w:themeShade="BF"/>
              <w:sz w:val="24"/>
              <w:szCs w:val="24"/>
            </w:rPr>
            <w:t>[Company name]</w:t>
          </w:r>
        </w:p>
      </w:docPartBody>
    </w:docPart>
    <w:docPart>
      <w:docPartPr>
        <w:name w:val="0BDDFD2CA1ED485596D3B1C764FF0008"/>
        <w:category>
          <w:name w:val="General"/>
          <w:gallery w:val="placeholder"/>
        </w:category>
        <w:types>
          <w:type w:val="bbPlcHdr"/>
        </w:types>
        <w:behaviors>
          <w:behavior w:val="content"/>
        </w:behaviors>
        <w:guid w:val="{91A03BF3-59BA-4F48-922E-CE7BCE5549CE}"/>
      </w:docPartPr>
      <w:docPartBody>
        <w:p w:rsidR="00C114CA" w:rsidRDefault="00235F2A" w:rsidP="00235F2A">
          <w:r>
            <w:rPr>
              <w:rFonts w:asciiTheme="majorHAnsi" w:eastAsiaTheme="majorEastAsia" w:hAnsiTheme="majorHAnsi" w:cstheme="majorBidi"/>
              <w:color w:val="4472C4" w:themeColor="accent1"/>
              <w:sz w:val="88"/>
              <w:szCs w:val="88"/>
            </w:rPr>
            <w:t>[Document title]</w:t>
          </w:r>
        </w:p>
      </w:docPartBody>
    </w:docPart>
    <w:docPart>
      <w:docPartPr>
        <w:name w:val="299751D2F5344C13A810AEAC1441C8BE"/>
        <w:category>
          <w:name w:val="General"/>
          <w:gallery w:val="placeholder"/>
        </w:category>
        <w:types>
          <w:type w:val="bbPlcHdr"/>
        </w:types>
        <w:behaviors>
          <w:behavior w:val="content"/>
        </w:behaviors>
        <w:guid w:val="{32AFCA8E-E5A1-4A39-B7E5-2DE4D6E0C050}"/>
      </w:docPartPr>
      <w:docPartBody>
        <w:p w:rsidR="00C114CA" w:rsidRDefault="00235F2A" w:rsidP="00235F2A">
          <w:r>
            <w:rPr>
              <w:color w:val="2F5496" w:themeColor="accent1" w:themeShade="BF"/>
              <w:sz w:val="24"/>
              <w:szCs w:val="24"/>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pleSystemUIFont">
    <w:altName w:val="Cambria"/>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Helvetica Neue">
    <w:altName w:val="Sylfaen"/>
    <w:charset w:val="00"/>
    <w:family w:val="auto"/>
    <w:pitch w:val="variable"/>
    <w:sig w:usb0="E50002FF" w:usb1="500079DB" w:usb2="00000010" w:usb3="00000000" w:csb0="00000001" w:csb1="00000000"/>
  </w:font>
  <w:font w:name="Helvetica">
    <w:panose1 w:val="020B0604020202020204"/>
    <w:charset w:val="00"/>
    <w:family w:val="swiss"/>
    <w:pitch w:val="variable"/>
    <w:sig w:usb0="00000003" w:usb1="00000000" w:usb2="00000000" w:usb3="00000000" w:csb0="00000001" w:csb1="00000000"/>
  </w:font>
  <w:font w:name="Sylfaen">
    <w:panose1 w:val="010A0502050306030303"/>
    <w:charset w:val="00"/>
    <w:family w:val="roman"/>
    <w:pitch w:val="variable"/>
    <w:sig w:usb0="04000687" w:usb1="00000000" w:usb2="00000000" w:usb3="00000000" w:csb0="0000009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F2A"/>
    <w:rsid w:val="00060F6B"/>
    <w:rsid w:val="00065400"/>
    <w:rsid w:val="000A416A"/>
    <w:rsid w:val="000A4CDB"/>
    <w:rsid w:val="000E0D68"/>
    <w:rsid w:val="00104D04"/>
    <w:rsid w:val="00116205"/>
    <w:rsid w:val="0013043D"/>
    <w:rsid w:val="001311D8"/>
    <w:rsid w:val="00133CDF"/>
    <w:rsid w:val="00136794"/>
    <w:rsid w:val="00165D36"/>
    <w:rsid w:val="00172162"/>
    <w:rsid w:val="001746EA"/>
    <w:rsid w:val="00186561"/>
    <w:rsid w:val="001A1354"/>
    <w:rsid w:val="001A2C94"/>
    <w:rsid w:val="001E3951"/>
    <w:rsid w:val="002009CD"/>
    <w:rsid w:val="00235F2A"/>
    <w:rsid w:val="00243B7B"/>
    <w:rsid w:val="0027477D"/>
    <w:rsid w:val="00283B25"/>
    <w:rsid w:val="002B58D5"/>
    <w:rsid w:val="002C72B5"/>
    <w:rsid w:val="002C78F1"/>
    <w:rsid w:val="002D2C2C"/>
    <w:rsid w:val="00307F85"/>
    <w:rsid w:val="00313C9D"/>
    <w:rsid w:val="00314240"/>
    <w:rsid w:val="00320237"/>
    <w:rsid w:val="003337E9"/>
    <w:rsid w:val="00340E6E"/>
    <w:rsid w:val="0035432B"/>
    <w:rsid w:val="00363278"/>
    <w:rsid w:val="003C0EC4"/>
    <w:rsid w:val="003C1E9F"/>
    <w:rsid w:val="003D4C3B"/>
    <w:rsid w:val="003E6B1E"/>
    <w:rsid w:val="003E7EEA"/>
    <w:rsid w:val="00430E76"/>
    <w:rsid w:val="004325E1"/>
    <w:rsid w:val="0044477F"/>
    <w:rsid w:val="00471975"/>
    <w:rsid w:val="00474DDB"/>
    <w:rsid w:val="00476AE1"/>
    <w:rsid w:val="004908A9"/>
    <w:rsid w:val="004A2996"/>
    <w:rsid w:val="004B17DD"/>
    <w:rsid w:val="005015CF"/>
    <w:rsid w:val="005447F7"/>
    <w:rsid w:val="005737D5"/>
    <w:rsid w:val="005C37F9"/>
    <w:rsid w:val="005C484B"/>
    <w:rsid w:val="005D1274"/>
    <w:rsid w:val="005E3315"/>
    <w:rsid w:val="005F33D4"/>
    <w:rsid w:val="00606750"/>
    <w:rsid w:val="00606F40"/>
    <w:rsid w:val="006166D8"/>
    <w:rsid w:val="00631048"/>
    <w:rsid w:val="00632BD2"/>
    <w:rsid w:val="00666DD6"/>
    <w:rsid w:val="00691A57"/>
    <w:rsid w:val="006A02F1"/>
    <w:rsid w:val="006C11A3"/>
    <w:rsid w:val="006D6EB6"/>
    <w:rsid w:val="00704C03"/>
    <w:rsid w:val="00724011"/>
    <w:rsid w:val="00752FB6"/>
    <w:rsid w:val="00794342"/>
    <w:rsid w:val="00794E3F"/>
    <w:rsid w:val="007C05E8"/>
    <w:rsid w:val="007D19B8"/>
    <w:rsid w:val="007D3409"/>
    <w:rsid w:val="007D5BD3"/>
    <w:rsid w:val="007F0580"/>
    <w:rsid w:val="00860A3C"/>
    <w:rsid w:val="00893919"/>
    <w:rsid w:val="008D5CD1"/>
    <w:rsid w:val="008F41B4"/>
    <w:rsid w:val="00934041"/>
    <w:rsid w:val="00964E87"/>
    <w:rsid w:val="00991EC8"/>
    <w:rsid w:val="009A50B3"/>
    <w:rsid w:val="009B02DE"/>
    <w:rsid w:val="009E0D2F"/>
    <w:rsid w:val="009E5100"/>
    <w:rsid w:val="009F36BD"/>
    <w:rsid w:val="00A0676D"/>
    <w:rsid w:val="00A36AF6"/>
    <w:rsid w:val="00A533F3"/>
    <w:rsid w:val="00A54744"/>
    <w:rsid w:val="00A54FE1"/>
    <w:rsid w:val="00A946A9"/>
    <w:rsid w:val="00AA051F"/>
    <w:rsid w:val="00AD072E"/>
    <w:rsid w:val="00AF37A7"/>
    <w:rsid w:val="00B054EC"/>
    <w:rsid w:val="00B37FE4"/>
    <w:rsid w:val="00B41802"/>
    <w:rsid w:val="00B606BD"/>
    <w:rsid w:val="00B64F18"/>
    <w:rsid w:val="00B67E3F"/>
    <w:rsid w:val="00B74122"/>
    <w:rsid w:val="00BA7BFB"/>
    <w:rsid w:val="00C114CA"/>
    <w:rsid w:val="00C63E52"/>
    <w:rsid w:val="00C73497"/>
    <w:rsid w:val="00C81149"/>
    <w:rsid w:val="00C94FA9"/>
    <w:rsid w:val="00CB4FDD"/>
    <w:rsid w:val="00CB6C19"/>
    <w:rsid w:val="00CC41E0"/>
    <w:rsid w:val="00CE5488"/>
    <w:rsid w:val="00D0029A"/>
    <w:rsid w:val="00D033DF"/>
    <w:rsid w:val="00D36F70"/>
    <w:rsid w:val="00D37350"/>
    <w:rsid w:val="00D469A8"/>
    <w:rsid w:val="00D50F4E"/>
    <w:rsid w:val="00DA3708"/>
    <w:rsid w:val="00DC3926"/>
    <w:rsid w:val="00DC3FFF"/>
    <w:rsid w:val="00DE26C2"/>
    <w:rsid w:val="00E13986"/>
    <w:rsid w:val="00E1449B"/>
    <w:rsid w:val="00E16B4D"/>
    <w:rsid w:val="00E335E1"/>
    <w:rsid w:val="00EA23CE"/>
    <w:rsid w:val="00EA33F7"/>
    <w:rsid w:val="00EA4738"/>
    <w:rsid w:val="00EF5A3B"/>
    <w:rsid w:val="00F00A0E"/>
    <w:rsid w:val="00F36053"/>
    <w:rsid w:val="00F53EC5"/>
    <w:rsid w:val="00F554A8"/>
    <w:rsid w:val="00F63056"/>
    <w:rsid w:val="00F706A3"/>
    <w:rsid w:val="00FC4170"/>
    <w:rsid w:val="00FE58D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737D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B6AC8D826D5CB41833780C396766758" ma:contentTypeVersion="12" ma:contentTypeDescription="Create a new document." ma:contentTypeScope="" ma:versionID="e7b82ced65e9f70dc84de073b24a744d">
  <xsd:schema xmlns:xsd="http://www.w3.org/2001/XMLSchema" xmlns:xs="http://www.w3.org/2001/XMLSchema" xmlns:p="http://schemas.microsoft.com/office/2006/metadata/properties" xmlns:ns2="7c01b93d-4602-4ec2-bf6c-89675f69d3d3" xmlns:ns3="4d4b5fb1-02d0-4a69-85b4-4a4540000c25" targetNamespace="http://schemas.microsoft.com/office/2006/metadata/properties" ma:root="true" ma:fieldsID="6cb438db2fdd6b9f217cb9f71d01bec5" ns2:_="" ns3:_="">
    <xsd:import namespace="7c01b93d-4602-4ec2-bf6c-89675f69d3d3"/>
    <xsd:import namespace="4d4b5fb1-02d0-4a69-85b4-4a4540000c2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c01b93d-4602-4ec2-bf6c-89675f69d3d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781b0229-19ef-4425-8520-9f00e8db620a"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d4b5fb1-02d0-4a69-85b4-4a4540000c25"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4d7eff5b-013a-4068-92ff-9d8db5ea4fa6}" ma:internalName="TaxCatchAll" ma:showField="CatchAllData" ma:web="4d4b5fb1-02d0-4a69-85b4-4a4540000c2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4d4b5fb1-02d0-4a69-85b4-4a4540000c25" xsi:nil="true"/>
    <lcf76f155ced4ddcb4097134ff3c332f xmlns="7c01b93d-4602-4ec2-bf6c-89675f69d3d3">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0D48C58-B059-4E59-95FC-F77018DA13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c01b93d-4602-4ec2-bf6c-89675f69d3d3"/>
    <ds:schemaRef ds:uri="4d4b5fb1-02d0-4a69-85b4-4a4540000c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FBC770F-7A01-4629-868A-1536D1DDF0C5}">
  <ds:schemaRefs>
    <ds:schemaRef ds:uri="http://schemas.openxmlformats.org/officeDocument/2006/bibliography"/>
  </ds:schemaRefs>
</ds:datastoreItem>
</file>

<file path=customXml/itemProps3.xml><?xml version="1.0" encoding="utf-8"?>
<ds:datastoreItem xmlns:ds="http://schemas.openxmlformats.org/officeDocument/2006/customXml" ds:itemID="{2C28AED9-BA32-4F4A-B4D5-8C577B8AE7A8}">
  <ds:schemaRefs>
    <ds:schemaRef ds:uri="http://schemas.microsoft.com/sharepoint/v3/contenttype/forms"/>
  </ds:schemaRefs>
</ds:datastoreItem>
</file>

<file path=customXml/itemProps4.xml><?xml version="1.0" encoding="utf-8"?>
<ds:datastoreItem xmlns:ds="http://schemas.openxmlformats.org/officeDocument/2006/customXml" ds:itemID="{30C29440-9D33-432A-8CB8-B388D2D0B350}">
  <ds:schemaRefs>
    <ds:schemaRef ds:uri="http://schemas.microsoft.com/office/2006/metadata/properties"/>
    <ds:schemaRef ds:uri="http://schemas.microsoft.com/office/infopath/2007/PartnerControls"/>
    <ds:schemaRef ds:uri="4d4b5fb1-02d0-4a69-85b4-4a4540000c25"/>
    <ds:schemaRef ds:uri="7c01b93d-4602-4ec2-bf6c-89675f69d3d3"/>
  </ds:schemaRefs>
</ds:datastoreItem>
</file>

<file path=docProps/app.xml><?xml version="1.0" encoding="utf-8"?>
<Properties xmlns="http://schemas.openxmlformats.org/officeDocument/2006/extended-properties" xmlns:vt="http://schemas.openxmlformats.org/officeDocument/2006/docPropsVTypes">
  <Template>Normal</Template>
  <TotalTime>484</TotalTime>
  <Pages>38</Pages>
  <Words>13751</Words>
  <Characters>78381</Characters>
  <Application>Microsoft Office Word</Application>
  <DocSecurity>0</DocSecurity>
  <Lines>653</Lines>
  <Paragraphs>183</Paragraphs>
  <ScaleCrop>false</ScaleCrop>
  <Company>MACROECONOMIC POLICY COMMUNICATION</Company>
  <LinksUpToDate>false</LinksUpToDate>
  <CharactersWithSpaces>91949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Blended course: Self-paced content</dc:title>
  <dc:subject>COURSE PLAN - MODULE 4</dc:subject>
  <dc:creator>LEAD INSTRUCTOR</dc:creator>
  <cp:keywords/>
  <dc:description/>
  <cp:lastModifiedBy>Lee, Amy</cp:lastModifiedBy>
  <cp:revision>70</cp:revision>
  <dcterms:created xsi:type="dcterms:W3CDTF">2024-11-27T02:51:00Z</dcterms:created>
  <dcterms:modified xsi:type="dcterms:W3CDTF">2024-12-13T16:54:00Z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der">
    <vt:r8>242400</vt:r8>
  </property>
  <property fmtid="{D5CDD505-2E9C-101B-9397-08002B2CF9AE}" pid="3" name="_ExtendedDescription">
    <vt:lpwstr/>
  </property>
  <property fmtid="{D5CDD505-2E9C-101B-9397-08002B2CF9AE}" pid="4" name="TriggerFlowInfo">
    <vt:lpwstr/>
  </property>
  <property fmtid="{D5CDD505-2E9C-101B-9397-08002B2CF9AE}" pid="5" name="ComplianceAssetId">
    <vt:lpwstr/>
  </property>
  <property fmtid="{D5CDD505-2E9C-101B-9397-08002B2CF9AE}" pid="6" name="MSIP_Label_0c07ed86-5dc5-4593-ad03-a8684b843815_Enabled">
    <vt:lpwstr>true</vt:lpwstr>
  </property>
  <property fmtid="{D5CDD505-2E9C-101B-9397-08002B2CF9AE}" pid="7" name="MSIP_Label_0c07ed86-5dc5-4593-ad03-a8684b843815_SetDate">
    <vt:lpwstr>2022-05-09T18:44:16Z</vt:lpwstr>
  </property>
  <property fmtid="{D5CDD505-2E9C-101B-9397-08002B2CF9AE}" pid="8" name="MSIP_Label_0c07ed86-5dc5-4593-ad03-a8684b843815_Method">
    <vt:lpwstr>Standard</vt:lpwstr>
  </property>
  <property fmtid="{D5CDD505-2E9C-101B-9397-08002B2CF9AE}" pid="9" name="MSIP_Label_0c07ed86-5dc5-4593-ad03-a8684b843815_Name">
    <vt:lpwstr>0c07ed86-5dc5-4593-ad03-a8684b843815</vt:lpwstr>
  </property>
  <property fmtid="{D5CDD505-2E9C-101B-9397-08002B2CF9AE}" pid="10" name="MSIP_Label_0c07ed86-5dc5-4593-ad03-a8684b843815_SiteId">
    <vt:lpwstr>8085fa43-302e-45bd-b171-a6648c3b6be7</vt:lpwstr>
  </property>
  <property fmtid="{D5CDD505-2E9C-101B-9397-08002B2CF9AE}" pid="11" name="MSIP_Label_0c07ed86-5dc5-4593-ad03-a8684b843815_ActionId">
    <vt:lpwstr>5ff0c77c-56a9-4c58-b2ce-355d9c2b30af</vt:lpwstr>
  </property>
  <property fmtid="{D5CDD505-2E9C-101B-9397-08002B2CF9AE}" pid="12" name="MSIP_Label_0c07ed86-5dc5-4593-ad03-a8684b843815_ContentBits">
    <vt:lpwstr>0</vt:lpwstr>
  </property>
  <property fmtid="{D5CDD505-2E9C-101B-9397-08002B2CF9AE}" pid="13" name="MediaServiceImageTags">
    <vt:lpwstr/>
  </property>
  <property fmtid="{D5CDD505-2E9C-101B-9397-08002B2CF9AE}" pid="14" name="ContentTypeId">
    <vt:lpwstr>0x0101005B6AC8D826D5CB41833780C396766758</vt:lpwstr>
  </property>
</Properties>
</file>