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1.png" ContentType="image/png"/>
  <Override PartName="/word/media/rId33.jpg" ContentType="image/jpeg"/>
  <Override PartName="/word/media/rId28.jpg" ContentType="image/jpeg"/>
  <Override PartName="/word/media/rId53.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39"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32"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7" w:name="fig:debt-dynamics"/>
    <w:tbl>
      <w:tblPr>
        <w:tblStyle w:val="FigureTable"/>
        <w:tblW w:type="auto" w:w="0"/>
        <w:jc w:val="center"/>
        <w:tblLook w:firstRow="0" w:lastRow="0" w:firstColumn="0" w:lastColumn="0"/>
      </w:tblPr>
      <w:tblGrid>
        <w:gridCol w:w="2640"/>
        <w:gridCol w:w="2640"/>
        <w:gridCol w:w="2640"/>
      </w:tblGrid>
      <w:tr>
        <w:tc>
          <w:tcPr/>
          <w:p>
            <w:pPr>
              <w:pStyle w:val="Compact"/>
              <w:jc w:val="center"/>
            </w:pPr>
            <w:r>
              <w:drawing>
                <wp:inline>
                  <wp:extent cx="1777860" cy="683337"/>
                  <wp:effectExtent b="0" l="0" r="0" t="0"/>
                  <wp:docPr descr="" title="" id="22" name="Picture"/>
                  <a:graphic>
                    <a:graphicData uri="http://schemas.openxmlformats.org/drawingml/2006/picture">
                      <pic:pic>
                        <pic:nvPicPr>
                          <pic:cNvPr descr="figure_debt_dynamics.png" id="23" name="Picture"/>
                          <pic:cNvPicPr>
                            <a:picLocks noChangeArrowheads="1" noChangeAspect="1"/>
                          </pic:cNvPicPr>
                        </pic:nvPicPr>
                        <pic:blipFill>
                          <a:blip r:embed="rId21"/>
                          <a:stretch>
                            <a:fillRect/>
                          </a:stretch>
                        </pic:blipFill>
                        <pic:spPr bwMode="auto">
                          <a:xfrm>
                            <a:off x="0" y="0"/>
                            <a:ext cx="1777860" cy="683337"/>
                          </a:xfrm>
                          <a:prstGeom prst="rect">
                            <a:avLst/>
                          </a:prstGeom>
                          <a:noFill/>
                          <a:ln w="9525">
                            <a:noFill/>
                            <a:headEnd/>
                            <a:tailEnd/>
                          </a:ln>
                        </pic:spPr>
                      </pic:pic>
                    </a:graphicData>
                  </a:graphic>
                </wp:inline>
              </w:drawing>
            </w:r>
          </w:p>
        </w:tc>
        <w:tc>
          <w:tcPr/>
          <w:p>
            <w:pPr>
              <w:pStyle w:val="Compact"/>
              <w:jc w:val="center"/>
            </w:pPr>
            <w:r>
              <w:drawing>
                <wp:inline>
                  <wp:extent cx="1777860" cy="1000046"/>
                  <wp:effectExtent b="0" l="0" r="0" t="0"/>
                  <wp:docPr descr="" title="" id="25" name="Picture"/>
                  <a:graphic>
                    <a:graphicData uri="http://schemas.openxmlformats.org/drawingml/2006/picture">
                      <pic:pic>
                        <pic:nvPicPr>
                          <pic:cNvPr descr="figure_debt_dynamics.jpeg" id="26" name="Picture"/>
                          <pic:cNvPicPr>
                            <a:picLocks noChangeArrowheads="1" noChangeAspect="1"/>
                          </pic:cNvPicPr>
                        </pic:nvPicPr>
                        <pic:blipFill>
                          <a:blip r:embed="rId24"/>
                          <a:stretch>
                            <a:fillRect/>
                          </a:stretch>
                        </pic:blipFill>
                        <pic:spPr bwMode="auto">
                          <a:xfrm>
                            <a:off x="0" y="0"/>
                            <a:ext cx="1777860" cy="100004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SACU represents the simple (unweighted) average of the five member countries. The members differ greatly in size: measured by nominal GDP in US dollars (2025), South Africa accounts for about 91 percent of SACU GDP, followed by Botswana (4 percent), Namibia (3 percent), Eswatini (1 percent), and Lesotho (under 1 percent). AEs, EMs, and SSA represent the medians of advanced economies, emerging market economies, and Sub-Saharan African countries, respectively.</w:t>
            </w:r>
          </w:p>
        </w:tc>
      </w:tr>
    </w:tbl>
    <w:p>
      <w:pPr>
        <w:pStyle w:val="ImageCaption"/>
      </w:pPr>
      <w:r>
        <w:t xml:space="preserve">Public-Sector Debt, Expenditure and Revenue Dynamics in SACU</w:t>
      </w:r>
    </w:p>
    <w:bookmarkEnd w:id="27"/>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p>
      <w:pPr>
        <w:pStyle w:val="BodyText"/>
      </w:pPr>
      <w:r>
        <w:t xml:space="preserve">A second feature compounds the level effect: the public-private wage premium. The right panel of Figure </w:t>
      </w:r>
      <w:hyperlink w:anchor="fig:wage-bill">
        <w:r>
          <w:rPr>
            <w:rStyle w:val="Hyperlink"/>
          </w:rPr>
          <w:t xml:space="preserve">2</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31"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29" name="Picture"/>
                  <a:graphic>
                    <a:graphicData uri="http://schemas.openxmlformats.org/drawingml/2006/picture">
                      <pic:pic>
                        <pic:nvPicPr>
                          <pic:cNvPr descr="figure_wage_bill.jpeg" id="30" name="Picture"/>
                          <pic:cNvPicPr>
                            <a:picLocks noChangeArrowheads="1" noChangeAspect="1"/>
                          </pic:cNvPicPr>
                        </pic:nvPicPr>
                        <pic:blipFill>
                          <a:blip r:embed="rId28"/>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rPr>
                <w:i/>
                <w:iCs/>
              </w:rPr>
              <w:t xml:space="preserve">Left panel</w:t>
            </w:r>
            <w:r>
              <w:t xml:space="preserve">: wage bill share of total expenditure, national authorities and IMF staff estimates.</w:t>
            </w:r>
            <w:r>
              <w:t xml:space="preserve"> </w:t>
            </w:r>
            <w:r>
              <w:rPr>
                <w:i/>
                <w:iCs/>
              </w:rPr>
              <w:t xml:space="preserve">Right panel</w:t>
            </w:r>
            <w:r>
              <w:t xml:space="preserve">: IMF Government-Private Sector Compensation Premium Dataset.</w:t>
            </w:r>
          </w:p>
        </w:tc>
      </w:tr>
    </w:tbl>
    <w:p>
      <w:pPr>
        <w:pStyle w:val="ImageCaption"/>
      </w:pPr>
      <w:r>
        <w:t xml:space="preserve">Public-Sector Wage Bill and Public Wage Premium in SACU</w:t>
      </w:r>
    </w:p>
    <w:bookmarkEnd w:id="31"/>
    <w:bookmarkEnd w:id="32"/>
    <w:bookmarkStart w:id="37"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3</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6"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4" name="Picture"/>
                  <a:graphic>
                    <a:graphicData uri="http://schemas.openxmlformats.org/drawingml/2006/picture">
                      <pic:pic>
                        <pic:nvPicPr>
                          <pic:cNvPr descr="figure_rigidity.jpeg" id="35" name="Picture"/>
                          <pic:cNvPicPr>
                            <a:picLocks noChangeArrowheads="1" noChangeAspect="1"/>
                          </pic:cNvPicPr>
                        </pic:nvPicPr>
                        <pic:blipFill>
                          <a:blip r:embed="rId33"/>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6"/>
    <w:bookmarkEnd w:id="37"/>
    <w:bookmarkStart w:id="38"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8"/>
    <w:bookmarkEnd w:id="39"/>
    <w:bookmarkStart w:id="52"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41"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40"/>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41"/>
    <w:bookmarkStart w:id="51"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4</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4</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5"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3" name="Picture"/>
                  <a:graphic>
                    <a:graphicData uri="http://schemas.openxmlformats.org/drawingml/2006/picture">
                      <pic:pic>
                        <pic:nvPicPr>
                          <pic:cNvPr descr="scoreEvolution_SACU_eff_gap_snapshot.png" id="44" name="Picture"/>
                          <pic:cNvPicPr>
                            <a:picLocks noChangeArrowheads="1" noChangeAspect="1"/>
                          </pic:cNvPicPr>
                        </pic:nvPicPr>
                        <pic:blipFill>
                          <a:blip r:embed="rId42"/>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5"/>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5</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49"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7" name="Picture"/>
                  <a:graphic>
                    <a:graphicData uri="http://schemas.openxmlformats.org/drawingml/2006/picture">
                      <pic:pic>
                        <pic:nvPicPr>
                          <pic:cNvPr descr="scoreEvolution_SACU_infra_dist.png" id="48" name="Picture"/>
                          <pic:cNvPicPr>
                            <a:picLocks noChangeArrowheads="1" noChangeAspect="1"/>
                          </pic:cNvPicPr>
                        </pic:nvPicPr>
                        <pic:blipFill>
                          <a:blip r:embed="rId46"/>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49"/>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50"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50"/>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51"/>
    <w:bookmarkEnd w:id="52"/>
    <w:bookmarkStart w:id="68" w:name="sec:appendix"/>
    <w:p>
      <w:pPr>
        <w:pStyle w:val="Heading1"/>
      </w:pPr>
      <w:r>
        <w:t xml:space="preserve">Appendix: Spending-Efficiency Gaps over Time</w:t>
      </w:r>
    </w:p>
    <w:bookmarkStart w:id="56"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4" name="Picture"/>
                  <a:graphic>
                    <a:graphicData uri="http://schemas.openxmlformats.org/drawingml/2006/picture">
                      <pic:pic>
                        <pic:nvPicPr>
                          <pic:cNvPr descr="scoreEvolution_SACU_eff_gap.png" id="55" name="Picture"/>
                          <pic:cNvPicPr>
                            <a:picLocks noChangeArrowheads="1" noChangeAspect="1"/>
                          </pic:cNvPicPr>
                        </pic:nvPicPr>
                        <pic:blipFill>
                          <a:blip r:embed="rId53"/>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6"/>
    <w:bookmarkStart w:id="67" w:name="refs"/>
    <w:bookmarkStart w:id="57" w:name="ref-bankowskichosher2026"/>
    <w:p>
      <w:pPr>
        <w:pStyle w:val="Bibliography"/>
      </w:pPr>
      <w:r>
        <w:t xml:space="preserve">Bańkowski, Krzysztof, Chloe Hyungsun Cho, and Galen Sher. 2026.</w:t>
      </w:r>
      <w:r>
        <w:t xml:space="preserve"> </w:t>
      </w:r>
      <w:r>
        <w:t xml:space="preserve">“Public Spending Efficiency.”</w:t>
      </w:r>
    </w:p>
    <w:bookmarkEnd w:id="57"/>
    <w:bookmarkStart w:id="58"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8"/>
    <w:bookmarkStart w:id="59"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59"/>
    <w:bookmarkStart w:id="60"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60"/>
    <w:bookmarkStart w:id="61"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61"/>
    <w:bookmarkStart w:id="62"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62"/>
    <w:bookmarkStart w:id="63"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3"/>
    <w:bookmarkStart w:id="64" w:name="ref-imf2026sacu"/>
    <w:p>
      <w:pPr>
        <w:pStyle w:val="Bibliography"/>
      </w:pPr>
      <w:r>
        <w:t xml:space="preserve">———. 2026.</w:t>
      </w:r>
      <w:r>
        <w:t xml:space="preserve"> </w:t>
      </w:r>
      <w:r>
        <w:t xml:space="preserve">“Spending Smarter in SACU: Diagnosis, Modelling, and Policy Implications.”</w:t>
      </w:r>
    </w:p>
    <w:bookmarkEnd w:id="64"/>
    <w:bookmarkStart w:id="65"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5"/>
    <w:bookmarkStart w:id="66"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jpg" /><Relationship Type="http://schemas.openxmlformats.org/officeDocument/2006/relationships/image" Id="rId21" Target="media/rId21.pn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2026-06-05T21:01:03Z</dcterms:created>
  <dcterms:modified xsi:type="dcterms:W3CDTF">2026-06-05T21:01:03Z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