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At the heart of the paper’s quantification, the estimated efficiency gaps enter</w:t>
      </w:r>
      <w:r>
        <w:t xml:space="preserve"> </w:t>
      </w:r>
      <w:r>
        <w:t xml:space="preserve">directly as a wedge on public spending: an efficiency gap of, say, 0.35 implies</w:t>
      </w:r>
      <w:r>
        <w:t xml:space="preserve"> </w:t>
      </w:r>
      <w:r>
        <w:t xml:space="preserve">that 35 percent of each unit spent does not reach the productive public capital</w:t>
      </w:r>
      <w:r>
        <w:t xml:space="preserve"> </w:t>
      </w:r>
      <w:r>
        <w:t xml:space="preserve">stock—lost to over-invoicing, poor project selection, weak implementation, or</w:t>
      </w:r>
      <w:r>
        <w:t xml:space="preserve"> </w:t>
      </w:r>
      <w:r>
        <w:t xml:space="preserve">inadequate maintenance. The appeal of this formulation is that it separates the</w:t>
      </w:r>
      <w:r>
        <w:t xml:space="preserve"> </w:t>
      </w:r>
      <w:r>
        <w:t xml:space="preserve">level of spending from its productivity—a country spending as much as its</w:t>
      </w:r>
      <w:r>
        <w:t xml:space="preserve"> </w:t>
      </w:r>
      <w:r>
        <w:t xml:space="preserve">peers but with a larger gap wastes a higher share—so that closing the gap</w:t>
      </w:r>
      <w:r>
        <w:t xml:space="preserve"> </w:t>
      </w:r>
      <w:r>
        <w:t xml:space="preserve">raises output without additional budget resources.</w:t>
      </w:r>
    </w:p>
    <w:bookmarkEnd w:id="20"/>
    <w:bookmarkStart w:id="33" w:name="sec:efficiency"/>
    <w:p>
      <w:pPr>
        <w:pStyle w:val="Heading1"/>
      </w:pPr>
      <w:r>
        <w:t xml:space="preserve">Measuring Spending Efficiency: Methodology and SACU Results</w:t>
      </w:r>
    </w:p>
    <w:p>
      <w:pPr>
        <w:pStyle w:val="FirstParagraph"/>
      </w:pPr>
      <w:r>
        <w:t xml:space="preserve">This section explains the stochastic-frontier methodology used in the Fiscal</w:t>
      </w:r>
      <w:r>
        <w:t xml:space="preserve"> </w:t>
      </w:r>
      <w:r>
        <w:t xml:space="preserve">Monitor</w:t>
      </w:r>
      <w:r>
        <w:t xml:space="preserve"> </w:t>
      </w:r>
      <w:r>
        <w:t xml:space="preserve">(IMF 2025b)</w:t>
      </w:r>
      <w:r>
        <w:t xml:space="preserve"> </w:t>
      </w:r>
      <w:r>
        <w:t xml:space="preserve">and reports the SACU-specific efficiency-gap</w:t>
      </w:r>
      <w:r>
        <w:t xml:space="preserve"> </w:t>
      </w:r>
      <w:r>
        <w:t xml:space="preserve">estimates that enter the paper’s simulations. Because these gaps conflate</w:t>
      </w:r>
      <w:r>
        <w:t xml:space="preserve"> </w:t>
      </w:r>
      <w:r>
        <w:t xml:space="preserve">several underlying factors—including institutional capacity, governance</w:t>
      </w:r>
      <w:r>
        <w:t xml:space="preserve"> </w:t>
      </w:r>
      <w:r>
        <w:t xml:space="preserve">quality, and country-specific shocks—they do not, on their own, identify</w:t>
      </w:r>
      <w:r>
        <w:t xml:space="preserve"> </w:t>
      </w:r>
      <w:r>
        <w:t xml:space="preserve">the mechanisms by which resources are lost. To address this, Section 4</w:t>
      </w:r>
      <w:r>
        <w:t xml:space="preserve"> </w:t>
      </w:r>
      <w:r>
        <w:t xml:space="preserve">links the measured gaps to institutional evidence from the Public</w:t>
      </w:r>
      <w:r>
        <w:t xml:space="preserve"> </w:t>
      </w:r>
      <w:r>
        <w:t xml:space="preserve">Investment Management Assessments.</w:t>
      </w:r>
    </w:p>
    <w:bookmarkStart w:id="22" w:name="sec:methodology"/>
    <w:p>
      <w:pPr>
        <w:pStyle w:val="Heading2"/>
      </w:pPr>
      <w:r>
        <w:t xml:space="preserve">Methodology</w:t>
      </w:r>
    </w:p>
    <w:p>
      <w:pPr>
        <w:pStyle w:val="FirstParagraph"/>
      </w:pPr>
      <w:r>
        <w:t xml:space="preserve">This paper relies on the spending-efficiency measures established in</w:t>
      </w:r>
      <w:r>
        <w:t xml:space="preserve"> </w:t>
      </w:r>
      <w:r>
        <w:t xml:space="preserve">Bańkowski, Cho, and Sher (2026)</w:t>
      </w:r>
      <w:r>
        <w:t xml:space="preserve">, which underpin the October 2025 Fiscal</w:t>
      </w:r>
      <w:r>
        <w:t xml:space="preserve"> </w:t>
      </w:r>
      <w:r>
        <w:t xml:space="preserve">Monitor</w:t>
      </w:r>
      <w:r>
        <w:t xml:space="preserve"> </w:t>
      </w:r>
      <w:r>
        <w:t xml:space="preserve">(IMF 2025b)</w:t>
      </w:r>
      <w:r>
        <w:t xml:space="preserve">. Their approach compares public spending (the input) with</w:t>
      </w:r>
      <w:r>
        <w:t xml:space="preserve"> </w:t>
      </w:r>
      <w:r>
        <w:t xml:space="preserve">the socioeconomic outcomes it is meant to deliver (the output) in each of the</w:t>
      </w:r>
      <w:r>
        <w:t xml:space="preserve"> </w:t>
      </w:r>
      <w:r>
        <w:t xml:space="preserve">four spending sectors covered by the framework—public investment, education,</w:t>
      </w:r>
      <w:r>
        <w:t xml:space="preserve"> </w:t>
      </w:r>
      <w:r>
        <w:t xml:space="preserve">health, and research and development.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Stochastic frontier analysis (SFA) estimates</w:t>
      </w:r>
      <w:r>
        <w:t xml:space="preserve"> </w:t>
      </w:r>
      <w:r>
        <w:t xml:space="preserve">a best-practice production function from a cross-country panel and measures each</w:t>
      </w:r>
      <w:r>
        <w:t xml:space="preserve"> </w:t>
      </w:r>
      <w:r>
        <w:t xml:space="preserve">country’s efficiency as its distance below that frontier. Unlike non-parametric</w:t>
      </w:r>
      <w:r>
        <w:t xml:space="preserve"> </w:t>
      </w:r>
      <w:r>
        <w:t xml:space="preserve">frontiers such as data envelopment analysis, SFA separates genuine inefficiency</w:t>
      </w:r>
      <w:r>
        <w:t xml:space="preserve"> </w:t>
      </w:r>
      <w:r>
        <w:t xml:space="preserve">from statistical noise. It also handles persistent structural differences</w:t>
      </w:r>
      <w:r>
        <w:t xml:space="preserve"> </w:t>
      </w:r>
      <w:r>
        <w:t xml:space="preserve">between countries—such as being landlocked or having a large private health</w:t>
      </w:r>
      <w:r>
        <w:t xml:space="preserve"> </w:t>
      </w:r>
      <w:r>
        <w:t xml:space="preserve">sector. These are absorbed separately, through the four-component (</w:t>
      </w:r>
      <w:r>
        <w:t xml:space="preserve">“true random</w:t>
      </w:r>
      <w:r>
        <w:t xml:space="preserve"> </w:t>
      </w:r>
      <w:r>
        <w:t xml:space="preserve">effects”</w:t>
      </w:r>
      <w:r>
        <w:t xml:space="preserve">) estimator of</w:t>
      </w:r>
      <w:r>
        <w:t xml:space="preserve"> </w:t>
      </w:r>
      <w:r>
        <w:t xml:space="preserve">Filippini and Greene (2016)</w:t>
      </w:r>
      <w:r>
        <w:t xml:space="preserve">. The estimator</w:t>
      </w:r>
      <w:r>
        <w:t xml:space="preserve"> </w:t>
      </w:r>
      <w:r>
        <w:t xml:space="preserve">distinguishes time-invariant structural heterogeneity from persistent</w:t>
      </w:r>
      <w:r>
        <w:t xml:space="preserve"> </w:t>
      </w:r>
      <w:r>
        <w:t xml:space="preserve">inefficiency, so the former is not mislabelled as the latter.</w:t>
      </w:r>
    </w:p>
    <w:p>
      <w:pPr>
        <w:pStyle w:val="BodyText"/>
      </w:pPr>
      <w:r>
        <w:t xml:space="preserve">Inputs are measured as a five-year moving average of real public spending per</w:t>
      </w:r>
      <w:r>
        <w:t xml:space="preserve"> </w:t>
      </w:r>
      <w:r>
        <w:t xml:space="preserve">capita in purchasing-power-parity terms; outputs combine multiple quantity and</w:t>
      </w:r>
      <w:r>
        <w:t xml:space="preserve"> </w:t>
      </w:r>
      <w:r>
        <w:t xml:space="preserve">quality indicators for each sector (for public investment, for example, road and</w:t>
      </w:r>
      <w:r>
        <w:t xml:space="preserve"> </w:t>
      </w:r>
      <w:r>
        <w:t xml:space="preserve">electricity access alongside infrastructure-quality ratings; for education,</w:t>
      </w:r>
      <w:r>
        <w:t xml:space="preserve"> </w:t>
      </w:r>
      <w:r>
        <w:t xml:space="preserve">enrolment, completion, and learning measures; for health, life expectancy,</w:t>
      </w:r>
      <w:r>
        <w:t xml:space="preserve"> </w:t>
      </w:r>
      <w:r>
        <w:t xml:space="preserve">immunization, and health-system capacity). To avoid sensitivity to any single</w:t>
      </w:r>
      <w:r>
        <w:t xml:space="preserve"> </w:t>
      </w:r>
      <w:r>
        <w:t xml:space="preserve">indicator, scores are averaged across all combinations of the available</w:t>
      </w:r>
      <w:r>
        <w:t xml:space="preserve"> </w:t>
      </w:r>
      <w:r>
        <w:t xml:space="preserve">indicators. Because the estimator is time-varying, it delivers a separate score</w:t>
      </w:r>
      <w:r>
        <w:t xml:space="preserve"> </w:t>
      </w:r>
      <w:r>
        <w:t xml:space="preserve">for each individual country in each individual year, rather than a single</w:t>
      </w:r>
      <w:r>
        <w:t xml:space="preserve"> </w:t>
      </w:r>
      <w:r>
        <w:t xml:space="preserve">cross-sectional snapshot. Each score lies between 0 and 1, with 1 denoting a</w:t>
      </w:r>
      <w:r>
        <w:t xml:space="preserve"> </w:t>
      </w:r>
      <w:r>
        <w:t xml:space="preserve">country on the frontier. Throughout this</w:t>
      </w:r>
      <w:r>
        <w:t xml:space="preserve"> </w:t>
      </w:r>
      <w:r>
        <w:t xml:space="preserve">paper we work with the complementary</w:t>
      </w:r>
      <w:r>
        <w:t xml:space="preserve"> </w:t>
      </w:r>
      <w:r>
        <w:rPr>
          <w:i/>
          <w:iCs/>
        </w:rPr>
        <w:t xml:space="preserve">efficiency gap</w:t>
      </w:r>
      <w:r>
        <w:t xml:space="preserve">—one minus the</w:t>
      </w:r>
      <w:r>
        <w:t xml:space="preserve"> </w:t>
      </w:r>
      <w:r>
        <w:t xml:space="preserve">score—so that 0 denotes full efficiency and higher values denote larger</w:t>
      </w:r>
      <w:r>
        <w:t xml:space="preserve"> </w:t>
      </w:r>
      <w:r>
        <w:t xml:space="preserve">shortfalls. Full methodological detail is given in</w:t>
      </w:r>
      <w:r>
        <w:t xml:space="preserve"> </w:t>
      </w:r>
      <w:r>
        <w:t xml:space="preserve">Bańkowski, Cho, and Sher (2026)</w:t>
      </w:r>
      <w:r>
        <w:t xml:space="preserve"> </w:t>
      </w:r>
      <w:r>
        <w:t xml:space="preserve">and the Fiscal Monitor Online Annex</w:t>
      </w:r>
      <w:r>
        <w:t xml:space="preserve"> </w:t>
      </w:r>
      <w:r>
        <w:t xml:space="preserve">(IMF 2025a)</w:t>
      </w:r>
      <w:r>
        <w:t xml:space="preserve">.</w:t>
      </w:r>
    </w:p>
    <w:bookmarkEnd w:id="22"/>
    <w:bookmarkStart w:id="32" w:name="sec:sacu-results"/>
    <w:p>
      <w:pPr>
        <w:pStyle w:val="Heading2"/>
      </w:pPr>
      <w:r>
        <w:t xml:space="preserve">SACU Results</w:t>
      </w:r>
    </w:p>
    <w:p>
      <w:pPr>
        <w:pStyle w:val="FirstParagraph"/>
      </w:pPr>
      <w:r>
        <w:t xml:space="preserve">Efficiency gaps persist across sectors in SACU. Figure </w:t>
      </w:r>
      <w:hyperlink w:anchor="fig:eff-gap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Fiscal Monitor efficiency gaps for the five SACU countries in three</w:t>
      </w:r>
      <w:r>
        <w:t xml:space="preserve"> </w:t>
      </w:r>
      <w:r>
        <w:t xml:space="preserve">sectors—infrastructure, health, and education—at two points in time (2000</w:t>
      </w:r>
      <w:r>
        <w:t xml:space="preserve"> </w:t>
      </w:r>
      <w:r>
        <w:t xml:space="preserve">and 2023), alongside the unweighted averages for advanced economies, emerging</w:t>
      </w:r>
      <w:r>
        <w:t xml:space="preserve"> </w:t>
      </w:r>
      <w:r>
        <w:t xml:space="preserve">markets, and sub-Saharan Africa. Three patterns stand out. In every sector,</w:t>
      </w:r>
      <w:r>
        <w:t xml:space="preserve"> </w:t>
      </w:r>
      <w:r>
        <w:t xml:space="preserve">SACU gaps sit above the advanced-economy average and close to the</w:t>
      </w:r>
      <w:r>
        <w:t xml:space="preserve"> </w:t>
      </w:r>
      <w:r>
        <w:t xml:space="preserve">emerging-market level. Infrastructure has improved the most since 2000. Health</w:t>
      </w:r>
      <w:r>
        <w:t xml:space="preserve"> </w:t>
      </w:r>
      <w:r>
        <w:t xml:space="preserve">gaps remain the largest and most persistent, while education has stayed broadly</w:t>
      </w:r>
      <w:r>
        <w:t xml:space="preserve"> </w:t>
      </w:r>
      <w:r>
        <w:t xml:space="preserve">flat even when it deteriorated across advanced economies and emerging markets.</w:t>
      </w:r>
    </w:p>
    <w:p>
      <w:pPr>
        <w:pStyle w:val="BodyText"/>
      </w:pPr>
      <w:r>
        <w:rPr>
          <w:i/>
          <w:iCs/>
        </w:rPr>
        <w:t xml:space="preserve">Infrastructure</w:t>
      </w:r>
      <w:r>
        <w:t xml:space="preserve"> </w:t>
      </w:r>
      <w:r>
        <w:t xml:space="preserve">gaps have narrowed but remain wider than peers. The</w:t>
      </w:r>
      <w:r>
        <w:t xml:space="preserve"> </w:t>
      </w:r>
      <w:r>
        <w:t xml:space="preserve">left panel of Figure </w:t>
      </w:r>
      <w:hyperlink w:anchor="fig:eff-gap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that all five SACU countries</w:t>
      </w:r>
      <w:r>
        <w:t xml:space="preserve"> </w:t>
      </w:r>
      <w:r>
        <w:t xml:space="preserve">closed their infrastructure efficiency gaps substantially between 2000 and</w:t>
      </w:r>
      <w:r>
        <w:t xml:space="preserve"> </w:t>
      </w:r>
      <w:r>
        <w:t xml:space="preserve">2023. Even so, the SACU average (0.39 in 2023) remains above the</w:t>
      </w:r>
      <w:r>
        <w:t xml:space="preserve"> </w:t>
      </w:r>
      <w:r>
        <w:t xml:space="preserve">advanced-economy average (0.36) and close to the emerging-market level (0.37). The progress</w:t>
      </w:r>
      <w:r>
        <w:t xml:space="preserve"> </w:t>
      </w:r>
      <w:r>
        <w:t xml:space="preserve">reflects both rising spending and strengthened investment-management</w:t>
      </w:r>
      <w:r>
        <w:t xml:space="preserve"> </w:t>
      </w:r>
      <w:r>
        <w:t xml:space="preserve">frameworks, but the remaining gap points to scope for further gains.</w:t>
      </w:r>
    </w:p>
    <w:p>
      <w:pPr>
        <w:pStyle w:val="BodyText"/>
      </w:pPr>
      <w:r>
        <w:rPr>
          <w:i/>
          <w:iCs/>
        </w:rPr>
        <w:t xml:space="preserve">Health</w:t>
      </w:r>
      <w:r>
        <w:t xml:space="preserve"> </w:t>
      </w:r>
      <w:r>
        <w:t xml:space="preserve">gaps are persistent and larger than peers. The middle panel shows</w:t>
      </w:r>
      <w:r>
        <w:t xml:space="preserve"> </w:t>
      </w:r>
      <w:r>
        <w:t xml:space="preserve">health efficiency gaps of 0.36 to 0.49 for SACU countries, little changed since</w:t>
      </w:r>
      <w:r>
        <w:t xml:space="preserve"> </w:t>
      </w:r>
      <w:r>
        <w:t xml:space="preserve">2000 (when the average gap was 0.42 compared to 0.41 in 2023), and above the peer-group averages.</w:t>
      </w:r>
      <w:r>
        <w:t xml:space="preserve"> </w:t>
      </w:r>
      <w:r>
        <w:t xml:space="preserve">Health outcomes in SACU continue to reflect the lingering effects of the HIV/AIDS epidemic,</w:t>
      </w:r>
      <w:r>
        <w:t xml:space="preserve"> </w:t>
      </w:r>
      <w:r>
        <w:t xml:space="preserve">but also structural features of the health systems—urban-rural coverage gaps, workforce</w:t>
      </w:r>
      <w:r>
        <w:t xml:space="preserve"> </w:t>
      </w:r>
      <w:r>
        <w:t xml:space="preserve">pressures, and supply-chain weaknesses—that limit how efficiently spending</w:t>
      </w:r>
      <w:r>
        <w:t xml:space="preserve"> </w:t>
      </w:r>
      <w:r>
        <w:t xml:space="preserve">translates into outcomes.</w:t>
      </w:r>
    </w:p>
    <w:p>
      <w:pPr>
        <w:pStyle w:val="BodyText"/>
      </w:pPr>
      <w:r>
        <w:rPr>
          <w:i/>
          <w:iCs/>
        </w:rPr>
        <w:t xml:space="preserve">Education</w:t>
      </w:r>
      <w:r>
        <w:t xml:space="preserve"> </w:t>
      </w:r>
      <w:r>
        <w:t xml:space="preserve">gaps have been broadly stable. The right panel shows</w:t>
      </w:r>
      <w:r>
        <w:t xml:space="preserve"> </w:t>
      </w:r>
      <w:r>
        <w:t xml:space="preserve">education efficiency gaps of 0.31 to 0.44 across SACU. Consequently, the</w:t>
      </w:r>
      <w:r>
        <w:t xml:space="preserve"> </w:t>
      </w:r>
      <w:r>
        <w:t xml:space="preserve">SACU average gap (0.35 in 2023) is in line with the emerging-market average</w:t>
      </w:r>
      <w:r>
        <w:t xml:space="preserve"> </w:t>
      </w:r>
      <w:r>
        <w:t xml:space="preserve">(0.35) and below the sub-Saharan Africa average (0.37). Most countries</w:t>
      </w:r>
      <w:r>
        <w:t xml:space="preserve"> </w:t>
      </w:r>
      <w:r>
        <w:t xml:space="preserve">experienced limited change in efficiency between 2000 and 2023. Lesotho</w:t>
      </w:r>
      <w:r>
        <w:t xml:space="preserve"> </w:t>
      </w:r>
      <w:r>
        <w:t xml:space="preserve">stands out as the exception, with its gap narrowing notably from 0.44 to 0.33.</w:t>
      </w:r>
      <w:r>
        <w:t xml:space="preserve"> </w:t>
      </w:r>
      <w:r>
        <w:t xml:space="preserve">The gaps in South Africa and Namibia ended modestly above their</w:t>
      </w:r>
      <w:r>
        <w:t xml:space="preserve"> </w:t>
      </w:r>
      <w:r>
        <w:t xml:space="preserve">2000 levels, reaching 0.41 and 0.37 respectively.</w:t>
      </w:r>
    </w:p>
    <w:bookmarkStart w:id="26" w:name="fig:eff-gap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025086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scoreEvolution_SACU_eff_gap_snapsho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250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jc w:val="center"/>
            </w:pPr>
            <w:r>
              <w:rPr>
                <w:smallCaps/>
              </w:rPr>
              <w:t xml:space="preserve">Note:</w:t>
            </w:r>
            <w:r>
              <w:t xml:space="preserve"> </w:t>
            </w:r>
            <w:r>
              <w:t xml:space="preserve">The chart compares 2000 and 2023 values across three sectors. The thick dark-grey line is the SACU aggregate; thin solid lines show individual countries; dashed/dotted lines show reference averages. The y-axis range is 0.2–0.6; Lesotho’s off-chart 2000 value (0.88) is annotated.</w:t>
            </w:r>
          </w:p>
        </w:tc>
      </w:tr>
    </w:tbl>
    <w:p>
      <w:pPr>
        <w:pStyle w:val="ImageCaption"/>
      </w:pPr>
      <w:r>
        <w:t xml:space="preserve">Efficiency Gaps in Health, Education, and Infrastructure Spending</w:t>
      </w:r>
    </w:p>
    <w:bookmarkEnd w:id="26"/>
    <w:p>
      <w:pPr>
        <w:pStyle w:val="BodyText"/>
      </w:pPr>
      <w:r>
        <w:t xml:space="preserve">Spending-efficiency comparisons reveal notable differences in where SACU countries</w:t>
      </w:r>
      <w:r>
        <w:t xml:space="preserve"> </w:t>
      </w:r>
      <w:r>
        <w:t xml:space="preserve">stand internationally. Figure </w:t>
      </w:r>
      <w:hyperlink w:anchor="fig:infra-dis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sets these gaps in global context, plotting the</w:t>
      </w:r>
      <w:r>
        <w:t xml:space="preserve"> </w:t>
      </w:r>
      <w:r>
        <w:t xml:space="preserve">2023 efficiency gaps for every country in the database across the three sectors,</w:t>
      </w:r>
      <w:r>
        <w:t xml:space="preserve"> </w:t>
      </w:r>
      <w:r>
        <w:t xml:space="preserve">ordered from highest to lowest gap. In infrastructure (top panel), Namibia, Lesotho,</w:t>
      </w:r>
      <w:r>
        <w:t xml:space="preserve"> </w:t>
      </w:r>
      <w:r>
        <w:t xml:space="preserve">and Eswatini sit close to the median of the global distribution, while Botswana and</w:t>
      </w:r>
      <w:r>
        <w:t xml:space="preserve"> </w:t>
      </w:r>
      <w:r>
        <w:t xml:space="preserve">South Africa are below the median. In contrast, health efficiency gaps in SACU</w:t>
      </w:r>
      <w:r>
        <w:t xml:space="preserve"> </w:t>
      </w:r>
      <w:r>
        <w:t xml:space="preserve">are among the widest in the world (middle panel); all five countries sit in the extreme left</w:t>
      </w:r>
      <w:r>
        <w:t xml:space="preserve"> </w:t>
      </w:r>
      <w:r>
        <w:t xml:space="preserve">tail of the global distribution, with Lesotho (2nd largest gap globally), South Africa (5th),</w:t>
      </w:r>
      <w:r>
        <w:t xml:space="preserve"> </w:t>
      </w:r>
      <w:r>
        <w:t xml:space="preserve">Botswana (6th), Eswatini (9th), and Namibia (14th) highlighting severe inefficiencies.</w:t>
      </w:r>
      <w:r>
        <w:t xml:space="preserve"> </w:t>
      </w:r>
      <w:r>
        <w:t xml:space="preserve">In education (bottom panel), the dispersion is similar to infrastructure: South Africa and</w:t>
      </w:r>
      <w:r>
        <w:t xml:space="preserve"> </w:t>
      </w:r>
      <w:r>
        <w:t xml:space="preserve">Namibia sit in the upper part of the global gap distribution, while Botswana, Lesotho, and</w:t>
      </w:r>
      <w:r>
        <w:t xml:space="preserve"> </w:t>
      </w:r>
      <w:r>
        <w:t xml:space="preserve">Eswatini are closer to the global median.</w:t>
      </w:r>
    </w:p>
    <w:bookmarkStart w:id="30" w:name="fig:infra-dist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335718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scoreEvolution_SACU_infra_dis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357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jc w:val="center"/>
            </w:pPr>
            <w:r>
              <w:rPr>
                <w:smallCaps/>
              </w:rPr>
              <w:t xml:space="preserve">Note:</w:t>
            </w:r>
            <w:r>
              <w:t xml:space="preserve"> </w:t>
            </w:r>
            <w:r>
              <w:t xml:space="preserve">Each bar is one country; SACU members highlighted in blue.</w:t>
            </w:r>
          </w:p>
        </w:tc>
      </w:tr>
    </w:tbl>
    <w:p>
      <w:pPr>
        <w:pStyle w:val="ImageCaption"/>
      </w:pPr>
      <w:r>
        <w:t xml:space="preserve">Spending-Efficiency Gaps Across Countries, 2023</w:t>
      </w:r>
    </w:p>
    <w:bookmarkEnd w:id="30"/>
    <w:p>
      <w:pPr>
        <w:pStyle w:val="BodyText"/>
      </w:pPr>
      <w:r>
        <w:t xml:space="preserve">Table </w:t>
      </w:r>
      <w:hyperlink w:anchor="tab:eff-gap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the country-specific efficiency gaps that</w:t>
      </w:r>
      <w:r>
        <w:t xml:space="preserve"> </w:t>
      </w:r>
      <w:r>
        <w:t xml:space="preserve">feed the simulation exercise in Sections 5 and 6. These represent the latest</w:t>
      </w:r>
      <w:r>
        <w:t xml:space="preserve"> </w:t>
      </w:r>
      <w:r>
        <w:t xml:space="preserve">available estimates from the database. For human capital, we report</w:t>
      </w:r>
      <w:r>
        <w:t xml:space="preserve"> </w:t>
      </w:r>
      <w:r>
        <w:t xml:space="preserve">both the education-specific and the health-specific gaps, as well as a</w:t>
      </w:r>
      <w:r>
        <w:t xml:space="preserve"> </w:t>
      </w:r>
      <w:r>
        <w:t xml:space="preserve">blended gap defined as the simple average of the two. The blended gap is</w:t>
      </w:r>
      <w:r>
        <w:t xml:space="preserve"> </w:t>
      </w:r>
      <w:r>
        <w:t xml:space="preserve">used in the model because the Fiscal Monitor DSGE framework treats education</w:t>
      </w:r>
      <w:r>
        <w:t xml:space="preserve"> </w:t>
      </w:r>
      <w:r>
        <w:t xml:space="preserve">and health as a single public human-capital stock (schools and hospitals).</w:t>
      </w:r>
    </w:p>
    <w:bookmarkStart w:id="31" w:name="tab:eff-gaps"/>
    <w:p>
      <w:pPr>
        <w:pStyle w:val="TableCaption"/>
      </w:pPr>
      <w:r>
        <w:t xml:space="preserve">SACU Efficiency Gaps, Latest Available Year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SACU Efficiency Gaps, Latest Available Year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Health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Blended HC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, 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m:oMath>
              <m:sSubSup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H</m:t>
                  </m:r>
                </m:sub>
                <m:sup>
                  <m:r>
                    <m:t> </m:t>
                  </m:r>
                  <m:r>
                    <m:t>e</m:t>
                  </m:r>
                  <m:r>
                    <m:t>d</m:t>
                  </m:r>
                  <m:r>
                    <m:t>u</m:t>
                  </m:r>
                </m:sup>
              </m:sSubSup>
            </m:oMath>
            <w:r>
              <w:t xml:space="preserve">, 2024)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m:oMath>
              <m:sSubSup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H</m:t>
                  </m:r>
                </m:sub>
                <m:sup>
                  <m:r>
                    <m:t> </m:t>
                  </m:r>
                  <m:r>
                    <m:t>h</m:t>
                  </m:r>
                  <m:r>
                    <m:t>l</m:t>
                  </m:r>
                  <m:r>
                    <m:t>t</m:t>
                  </m:r>
                </m:sup>
              </m:sSubSup>
            </m:oMath>
            <w:r>
              <w:t xml:space="preserve">, 2023)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</w:t>
            </w:r>
            <m:oMath>
              <m:sSubSup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H</m:t>
                  </m:r>
                </m:sub>
                <m:sup>
                  <m:r>
                    <m:t> </m:t>
                  </m:r>
                  <m:r>
                    <m:t>b</m:t>
                  </m:r>
                  <m:r>
                    <m:t>l</m:t>
                  </m:r>
                  <m:r>
                    <m:t>e</m:t>
                  </m:r>
                  <m:r>
                    <m:t>n</m:t>
                  </m:r>
                  <m:r>
                    <m:t>d</m:t>
                  </m:r>
                </m:sup>
              </m:sSub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Eswatini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Lesotho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Namibia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 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</w:t>
            </w:r>
          </w:p>
        </w:tc>
      </w:tr>
    </w:tbl>
    <w:bookmarkEnd w:id="31"/>
    <w:p>
      <w:pPr>
        <w:pStyle w:val="BodyText"/>
      </w:pPr>
      <w:r>
        <w:rPr>
          <w:smallCaps/>
        </w:rPr>
        <w:t xml:space="preserve">Note:</w:t>
      </w:r>
      <w:r>
        <w:t xml:space="preserve"> </w:t>
      </w:r>
      <w:r>
        <w:t xml:space="preserve">Blended human-capital gap is the simple average of the education and</w:t>
      </w:r>
      <w:r>
        <w:t xml:space="preserve"> </w:t>
      </w:r>
      <w:r>
        <w:t xml:space="preserve">health gaps.</w:t>
      </w:r>
    </w:p>
    <w:bookmarkEnd w:id="32"/>
    <w:bookmarkEnd w:id="33"/>
    <w:bookmarkStart w:id="44" w:name="sec:appendix"/>
    <w:p>
      <w:pPr>
        <w:pStyle w:val="Heading1"/>
      </w:pPr>
      <w:r>
        <w:t xml:space="preserve">Appendix: Spending-Efficiency Gaps over Time</w:t>
      </w:r>
    </w:p>
    <w:bookmarkStart w:id="37" w:name="fig:eff-gaps-evolution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025086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scoreEvolution_SACU_eff_ga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250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jc w:val="center"/>
            </w:pPr>
            <w:r>
              <w:rPr>
                <w:smallCaps/>
              </w:rPr>
              <w:t xml:space="preserve">Note:</w:t>
            </w:r>
            <w:r>
              <w:t xml:space="preserve"> </w:t>
            </w:r>
            <w:r>
              <w:t xml:space="preserve">The thick dark-grey line is the SACU aggregate (unweighted mean of</w:t>
            </w:r>
            <w:r>
              <w:t xml:space="preserve"> </w:t>
            </w:r>
            <w:r>
              <w:t xml:space="preserve">the five members); thin solid lines show the individual countries; dotted</w:t>
            </w:r>
            <w:r>
              <w:t xml:space="preserve"> </w:t>
            </w:r>
            <w:r>
              <w:t xml:space="preserve">lines show reference averages—advanced economies (AEs), emerging markets</w:t>
            </w:r>
            <w:r>
              <w:t xml:space="preserve"> </w:t>
            </w:r>
            <w:r>
              <w:t xml:space="preserve">(EMs), and sub-Saharan Africa (SSA). Hollow circles mark 2000 and 2023.</w:t>
            </w:r>
          </w:p>
        </w:tc>
      </w:tr>
    </w:tbl>
    <w:p>
      <w:pPr>
        <w:pStyle w:val="ImageCaption"/>
      </w:pPr>
      <w:r>
        <w:t xml:space="preserve">SACU Spending-Efficiency Gaps over Time</w:t>
      </w:r>
    </w:p>
    <w:bookmarkEnd w:id="37"/>
    <w:bookmarkStart w:id="43" w:name="refs"/>
    <w:bookmarkStart w:id="38" w:name="ref-bankowskichosher2026"/>
    <w:p>
      <w:pPr>
        <w:pStyle w:val="Bibliography"/>
      </w:pPr>
      <w:r>
        <w:t xml:space="preserve">Bańkowski, Krzysztof, Chloe Hyungsun Cho, and Galen Sher. 2026.</w:t>
      </w:r>
      <w:r>
        <w:t xml:space="preserve"> </w:t>
      </w:r>
      <w:r>
        <w:t xml:space="preserve">“Public Spending Efficiency.”</w:t>
      </w:r>
    </w:p>
    <w:bookmarkEnd w:id="38"/>
    <w:bookmarkStart w:id="39" w:name="ref-filippinigreene2016"/>
    <w:p>
      <w:pPr>
        <w:pStyle w:val="Bibliography"/>
      </w:pPr>
      <w:r>
        <w:t xml:space="preserve">Filippini, Massimo, and William Greene. 2016.</w:t>
      </w:r>
      <w:r>
        <w:t xml:space="preserve"> </w:t>
      </w:r>
      <w:r>
        <w:t xml:space="preserve">“Persistent and Transient Productive Inefficiency: A Maximum Simulated Likelihood Approach.”</w:t>
      </w:r>
      <w:r>
        <w:t xml:space="preserve"> </w:t>
      </w:r>
      <w:r>
        <w:rPr>
          <w:i/>
          <w:iCs/>
        </w:rPr>
        <w:t xml:space="preserve">Journal of Productivity Analysis</w:t>
      </w:r>
      <w:r>
        <w:t xml:space="preserve"> </w:t>
      </w:r>
      <w:r>
        <w:t xml:space="preserve">45 (2): 187–96.</w:t>
      </w:r>
    </w:p>
    <w:bookmarkEnd w:id="39"/>
    <w:bookmarkStart w:id="40" w:name="ref-imf2025annex"/>
    <w:p>
      <w:pPr>
        <w:pStyle w:val="Bibliography"/>
      </w:pPr>
      <w:r>
        <w:t xml:space="preserve">IMF. 2025a.</w:t>
      </w:r>
      <w:r>
        <w:t xml:space="preserve"> </w:t>
      </w:r>
      <w:r>
        <w:rPr>
          <w:i/>
          <w:iCs/>
        </w:rPr>
        <w:t xml:space="preserve">Fiscal Monitor Online Annex: Methodological Sections</w:t>
      </w:r>
      <w:r>
        <w:t xml:space="preserve">. Washington, DC: International Monetary Fund.</w:t>
      </w:r>
    </w:p>
    <w:bookmarkEnd w:id="40"/>
    <w:bookmarkStart w:id="41" w:name="ref-imf2025fm"/>
    <w:p>
      <w:pPr>
        <w:pStyle w:val="Bibliography"/>
      </w:pPr>
      <w:r>
        <w:t xml:space="preserve">———. 2025b.</w:t>
      </w:r>
      <w:r>
        <w:t xml:space="preserve"> </w:t>
      </w:r>
      <w:r>
        <w:rPr>
          <w:i/>
          <w:iCs/>
        </w:rPr>
        <w:t xml:space="preserve">Fiscal Monitor: Spending Smarter—How Efficient and Well-Allocated Public Spending Can Boost Economic Growth</w:t>
      </w:r>
      <w:r>
        <w:t xml:space="preserve">. Washington, DC: International Monetary Fund.</w:t>
      </w:r>
    </w:p>
    <w:bookmarkEnd w:id="41"/>
    <w:bookmarkStart w:id="42" w:name="ref-imf2026sacu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“Spending Smarter in SACU: Diagnosis, Modelling, and Policy Implications.”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R&amp;D lies outside the scope of</w:t>
      </w:r>
      <w:r>
        <w:t xml:space="preserve"> </w:t>
      </w:r>
      <w:r>
        <w:t xml:space="preserve">this paper and is not considered further; the analysis focuses on public</w:t>
      </w:r>
      <w:r>
        <w:t xml:space="preserve"> </w:t>
      </w:r>
      <w:r>
        <w:t xml:space="preserve">investment, education, and health.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3" Target="media/rId23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2026-06-03T23:49:54Z</dcterms:created>
  <dcterms:modified xsi:type="dcterms:W3CDTF">2026-06-03T23:49:54Z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refs.bib</vt:lpwstr>
  </property>
  <property fmtid="{D5CDD505-2E9C-101B-9397-08002B2CF9AE}" pid="3" name="nocite">
    <vt:lpwstr/>
  </property>
</Properties>
</file>