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Document 9 — Architecture Decision Records, Governance &amp; Documentation Standards</w:t>
      </w:r>
    </w:p>
    <w:p>
      <w:r>
        <w:t>Approved baseline deliverable</w:t>
      </w:r>
    </w:p>
    <w:p>
      <w:pPr>
        <w:pStyle w:val="ListBullet"/>
      </w:pPr>
      <w:r>
        <w:t>Approved documents establish the architecture baseline; significant changes are amendments, not silent rewrites.</w:t>
      </w:r>
    </w:p>
    <w:p>
      <w:pPr>
        <w:pStyle w:val="ListBullet"/>
      </w:pPr>
      <w:r>
        <w:t>Use ADRs selectively for consequential decisions such as database platform, identity, temporal strategy, module boundaries and execution model.</w:t>
      </w:r>
    </w:p>
    <w:p>
      <w:pPr>
        <w:pStyle w:val="ListBullet"/>
      </w:pPr>
      <w:r>
        <w:t>Maintain a structured document hierarchy and version significant documents.</w:t>
      </w:r>
    </w:p>
    <w:p>
      <w:pPr>
        <w:pStyle w:val="ListBullet"/>
      </w:pPr>
      <w:r>
        <w:t>Change flow: identify → assess impact → decide → document → implement → test → update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