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ADR-0009: M4 Tick-Execution Model Decisions</w:t>
      </w:r>
    </w:p>
    <w:p>
      <w:pPr>
        <w:spacing w:after="120"/>
      </w:pPr>
      <w:r>
        <w:rPr>
          <w:i/>
          <w:iCs/>
          <w:color w:val="555555"/>
        </w:rPr>
        <w:t xml:space="preserve">Step cadence; needs-shortfall policy; run and tick traceability on ledger entries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808080" w:sz="4"/>
              <w:left w:val="single" w:color="808080" w:sz="4"/>
              <w:bottom w:val="single" w:color="808080" w:sz="4"/>
              <w:right w:val="single" w:color="808080" w:sz="4"/>
            </w:tcBorders>
            <w:shd w:fill="F2F2F2" w:color="auto" w:val="clear"/>
            <w:tcMar>
              <w:top w:type="dxa" w:w="100"/>
              <w:left w:type="dxa" w:w="150"/>
              <w:bottom w:type="dxa" w:w="100"/>
              <w:right w:type="dxa" w:w="150"/>
            </w:tcMar>
          </w:tcPr>
          <w:p>
            <w:r>
              <w:rPr>
                <w:b/>
                <w:bCs/>
              </w:rPr>
              <w:t xml:space="preserve">Status</w:t>
            </w:r>
          </w:p>
        </w:tc>
        <w:tc>
          <w:tcPr>
            <w:tcW w:type="dxa" w:w="7260"/>
            <w:tcBorders>
              <w:top w:val="single" w:color="808080" w:sz="4"/>
              <w:left w:val="single" w:color="808080" w:sz="4"/>
              <w:bottom w:val="single" w:color="808080" w:sz="4"/>
              <w:right w:val="single" w:color="808080" w:sz="4"/>
            </w:tcBorders>
            <w:tcMar>
              <w:top w:type="dxa" w:w="100"/>
              <w:left w:type="dxa" w:w="150"/>
              <w:bottom w:type="dxa" w:w="100"/>
              <w:right w:type="dxa" w:w="150"/>
            </w:tcMar>
          </w:tcPr>
          <w:p>
            <w:r>
              <w:t xml:space="preserve">Accepted</w:t>
            </w:r>
          </w:p>
        </w:tc>
      </w:tr>
      <w:tr>
        <w:tc>
          <w:tcPr>
            <w:tcW w:type="dxa" w:w="2100"/>
            <w:tcBorders>
              <w:top w:val="single" w:color="808080" w:sz="4"/>
              <w:left w:val="single" w:color="808080" w:sz="4"/>
              <w:bottom w:val="single" w:color="808080" w:sz="4"/>
              <w:right w:val="single" w:color="808080" w:sz="4"/>
            </w:tcBorders>
            <w:shd w:fill="F2F2F2" w:color="auto" w:val="clear"/>
            <w:tcMar>
              <w:top w:type="dxa" w:w="100"/>
              <w:left w:type="dxa" w:w="150"/>
              <w:bottom w:type="dxa" w:w="100"/>
              <w:right w:type="dxa" w:w="150"/>
            </w:tcMar>
          </w:tcPr>
          <w:p>
            <w:r>
              <w:rPr>
                <w:b/>
                <w:bCs/>
              </w:rPr>
              <w:t xml:space="preserve">Date</w:t>
            </w:r>
          </w:p>
        </w:tc>
        <w:tc>
          <w:tcPr>
            <w:tcW w:type="dxa" w:w="7260"/>
            <w:tcBorders>
              <w:top w:val="single" w:color="808080" w:sz="4"/>
              <w:left w:val="single" w:color="808080" w:sz="4"/>
              <w:bottom w:val="single" w:color="808080" w:sz="4"/>
              <w:right w:val="single" w:color="808080" w:sz="4"/>
            </w:tcBorders>
            <w:tcMar>
              <w:top w:type="dxa" w:w="100"/>
              <w:left w:type="dxa" w:w="150"/>
              <w:bottom w:type="dxa" w:w="100"/>
              <w:right w:type="dxa" w:w="150"/>
            </w:tcMar>
          </w:tcPr>
          <w:p>
            <w:r>
              <w:t xml:space="preserve">2026-09-20</w:t>
            </w:r>
          </w:p>
        </w:tc>
      </w:tr>
      <w:tr>
        <w:tc>
          <w:tcPr>
            <w:tcW w:type="dxa" w:w="2100"/>
            <w:tcBorders>
              <w:top w:val="single" w:color="808080" w:sz="4"/>
              <w:left w:val="single" w:color="808080" w:sz="4"/>
              <w:bottom w:val="single" w:color="808080" w:sz="4"/>
              <w:right w:val="single" w:color="808080" w:sz="4"/>
            </w:tcBorders>
            <w:shd w:fill="F2F2F2" w:color="auto" w:val="clear"/>
            <w:tcMar>
              <w:top w:type="dxa" w:w="100"/>
              <w:left w:type="dxa" w:w="150"/>
              <w:bottom w:type="dxa" w:w="100"/>
              <w:right w:type="dxa" w:w="150"/>
            </w:tcMar>
          </w:tcPr>
          <w:p>
            <w:r>
              <w:rPr>
                <w:b/>
                <w:bCs/>
              </w:rPr>
              <w:t xml:space="preserve">Domain</w:t>
            </w:r>
          </w:p>
        </w:tc>
        <w:tc>
          <w:tcPr>
            <w:tcW w:type="dxa" w:w="7260"/>
            <w:tcBorders>
              <w:top w:val="single" w:color="808080" w:sz="4"/>
              <w:left w:val="single" w:color="808080" w:sz="4"/>
              <w:bottom w:val="single" w:color="808080" w:sz="4"/>
              <w:right w:val="single" w:color="808080" w:sz="4"/>
            </w:tcBorders>
            <w:tcMar>
              <w:top w:type="dxa" w:w="100"/>
              <w:left w:type="dxa" w:w="150"/>
              <w:bottom w:type="dxa" w:w="100"/>
              <w:right w:type="dxa" w:w="150"/>
            </w:tcMar>
          </w:tcPr>
          <w:p>
            <w:r>
              <w:t xml:space="preserve">Execution Model (Simulation Core)</w:t>
            </w:r>
          </w:p>
        </w:tc>
      </w:tr>
      <w:tr>
        <w:tc>
          <w:tcPr>
            <w:tcW w:type="dxa" w:w="2100"/>
            <w:tcBorders>
              <w:top w:val="single" w:color="808080" w:sz="4"/>
              <w:left w:val="single" w:color="808080" w:sz="4"/>
              <w:bottom w:val="single" w:color="808080" w:sz="4"/>
              <w:right w:val="single" w:color="808080" w:sz="4"/>
            </w:tcBorders>
            <w:shd w:fill="F2F2F2" w:color="auto" w:val="clear"/>
            <w:tcMar>
              <w:top w:type="dxa" w:w="100"/>
              <w:left w:type="dxa" w:w="150"/>
              <w:bottom w:type="dxa" w:w="100"/>
              <w:right w:type="dxa" w:w="150"/>
            </w:tcMar>
          </w:tcPr>
          <w:p>
            <w:r>
              <w:rPr>
                <w:b/>
                <w:bCs/>
              </w:rPr>
              <w:t xml:space="preserve">Related</w:t>
            </w:r>
          </w:p>
        </w:tc>
        <w:tc>
          <w:tcPr>
            <w:tcW w:type="dxa" w:w="7260"/>
            <w:tcBorders>
              <w:top w:val="single" w:color="808080" w:sz="4"/>
              <w:left w:val="single" w:color="808080" w:sz="4"/>
              <w:bottom w:val="single" w:color="808080" w:sz="4"/>
              <w:right w:val="single" w:color="808080" w:sz="4"/>
            </w:tcBorders>
            <w:tcMar>
              <w:top w:type="dxa" w:w="100"/>
              <w:left w:type="dxa" w:w="150"/>
              <w:bottom w:type="dxa" w:w="100"/>
              <w:right w:type="dxa" w:w="150"/>
            </w:tcMar>
          </w:tcPr>
          <w:p>
            <w:r>
              <w:t xml:space="preserve">ADR-0003, ADR-0005, ADR-0006, ADR-0007, ADR-0008, Document 6, Document 7</w:t>
            </w:r>
          </w:p>
        </w:tc>
      </w:tr>
    </w:tbl>
    <w:p>
      <w:pPr>
        <w:pStyle w:val="Heading1"/>
        <w:spacing w:after="120" w:before="240"/>
      </w:pPr>
      <w:r>
        <w:t xml:space="preserve">Context</w:t>
      </w:r>
    </w:p>
    <w:p>
      <w:pPr>
        <w:spacing w:after="120"/>
      </w:pPr>
      <w:r>
        <w:t xml:space="preserve">Milestone 4 builds the SimulationEngine and tick sequencing. Three execution-model questions surfaced when the M1–M3 build was checked against the tick cycle in Document 6, and none is settled by the approved documents. Per Document 9, they are decided here before implementation, not logged after the fact as ADR-0008 was.</w:t>
      </w:r>
    </w:p>
    <w:p>
      <w:pPr>
        <w:pStyle w:val="ListParagraph"/>
        <w:numPr>
          <w:ilvl w:val="0"/>
          <w:numId w:val="2"/>
        </w:numPr>
        <w:spacing w:after="60"/>
      </w:pPr>
      <w:r>
        <w:t xml:space="preserve">Cadence mismatch. Document 4 fixes the simulation tick at one day, and Document 6's cycle lists production and population steps as if they run every tick. The services actually built are monthly: PopulationService.apply_monthly_aging and ProductionService.execute_monthly_production, matching the monthly grain of the design-concept workbook. NeedsService is daily (rates are per person per day).</w:t>
      </w:r>
    </w:p>
    <w:p>
      <w:pPr>
        <w:pStyle w:val="ListParagraph"/>
        <w:numPr>
          <w:ilvl w:val="0"/>
          <w:numId w:val="2"/>
        </w:numPr>
        <w:spacing w:after="60"/>
      </w:pPr>
      <w:r>
        <w:t xml:space="preserve">No shortage policy for needs. NeedsService only computes what the city needs (ADR-0005). InventoryService raises InsufficientInventoryError rather than let stock go negative, which is right for production but would abort a whole tick if applied to daily consumption.</w:t>
      </w:r>
    </w:p>
    <w:p>
      <w:pPr>
        <w:pStyle w:val="ListParagraph"/>
        <w:numPr>
          <w:ilvl w:val="0"/>
          <w:numId w:val="2"/>
        </w:numPr>
        <w:spacing w:after="60"/>
      </w:pPr>
      <w:r>
        <w:t xml:space="preserve">Ledger traceability. TreasuryLedgerEntry and InventoryLedgerEntry carry only an entry date. Document 7 requires results to be explainable through run, date, rules and inputs. City state is not run-scoped (migration 0009 note, ADR-0003), and SimulationTickID is a per-run counter, so a tick number alone does not identify a tick.</w:t>
      </w:r>
    </w:p>
    <w:p>
      <w:pPr>
        <w:pStyle w:val="Heading1"/>
        <w:spacing w:after="120" w:before="240"/>
      </w:pPr>
      <w:r>
        <w:t xml:space="preserve">Decision 1: Step cadence</w:t>
      </w:r>
    </w:p>
    <w:p>
      <w:pPr>
        <w:spacing w:after="120"/>
      </w:pPr>
      <w:r>
        <w:t xml:space="preserve">One tick is one simulated day. Steps run at one of two cadences, in the Document 6 order:</w:t>
      </w:r>
    </w:p>
    <w:p>
      <w:pPr>
        <w:pStyle w:val="ListParagraph"/>
        <w:numPr>
          <w:ilvl w:val="0"/>
          <w:numId w:val="2"/>
        </w:numPr>
        <w:spacing w:after="60"/>
      </w:pPr>
      <w:r>
        <w:t xml:space="preserve">Every tick: advance date and tick; scheduled changes; needs and consumption; event generation; validation; persistence.</w:t>
      </w:r>
    </w:p>
    <w:p>
      <w:pPr>
        <w:pStyle w:val="ListParagraph"/>
        <w:numPr>
          <w:ilvl w:val="0"/>
          <w:numId w:val="2"/>
        </w:numPr>
        <w:spacing w:after="60"/>
      </w:pPr>
      <w:r>
        <w:t xml:space="preserve">Month-boundary ticks only: population aging, then labor and production. Aging runs before production so production sees the updated labor pool.</w:t>
      </w:r>
    </w:p>
    <w:p>
      <w:pPr>
        <w:spacing w:after="120"/>
      </w:pPr>
      <w:r>
        <w:t xml:space="preserve">A month-boundary tick is a tick whose SimulationDate falls in a different calendar month (year and month) than the run's date before that tick was advanced. Monthly services are called on those ticks with entry_date set to the tick's SimulationDate. The existing monthly services are not changed, and the ADR-0008 production policies remain a relied-upon contract.</w:t>
      </w:r>
    </w:p>
    <w:p>
      <w:pPr>
        <w:spacing w:after="120"/>
      </w:pPr>
      <w:r>
        <w:t xml:space="preserve">Cadence for the Construction Projects queue (ADR-0007), MarketService and vehicle ordering is not decided here. Each will be recorded when that step is built.</w:t>
      </w:r>
    </w:p>
    <w:p>
      <w:pPr>
        <w:pStyle w:val="Heading1"/>
        <w:spacing w:after="120" w:before="240"/>
      </w:pPr>
      <w:r>
        <w:t xml:space="preserve">Decision 2: Needs shortfall policy</w:t>
      </w:r>
    </w:p>
    <w:p>
      <w:pPr>
        <w:spacing w:after="120"/>
      </w:pPr>
      <w:r>
        <w:t xml:space="preserve">The daily needs step consumes what is available and records the rest as a shortfall, rather than aborting the tick:</w:t>
      </w:r>
    </w:p>
    <w:p>
      <w:pPr>
        <w:pStyle w:val="ListParagraph"/>
        <w:numPr>
          <w:ilvl w:val="0"/>
          <w:numId w:val="2"/>
        </w:numPr>
        <w:spacing w:after="60"/>
      </w:pPr>
      <w:r>
        <w:t xml:space="preserve">For each need type, the daily total from NeedsService is converted from float to Decimal (via str) and floored to four decimal places, matching ledger precision and the floor-rounding convention.</w:t>
      </w:r>
    </w:p>
    <w:p>
      <w:pPr>
        <w:pStyle w:val="ListParagraph"/>
        <w:numPr>
          <w:ilvl w:val="0"/>
          <w:numId w:val="2"/>
        </w:numPr>
        <w:spacing w:after="60"/>
      </w:pPr>
      <w:r>
        <w:t xml:space="preserve">Consumed quantity is the lesser of the need and what is available in the resources mapped to that need type (see Open item 1). Consumption is applied through InventoryService as negative ledger entries. No ledger entry is written when the consumed quantity is zero (sparse convention).</w:t>
      </w:r>
    </w:p>
    <w:p>
      <w:pPr>
        <w:pStyle w:val="ListParagraph"/>
        <w:numPr>
          <w:ilvl w:val="0"/>
          <w:numId w:val="2"/>
        </w:numPr>
        <w:spacing w:after="60"/>
      </w:pPr>
      <w:r>
        <w:t xml:space="preserve">If the need exceeds what was consumed, a NeedsShortfall event is written to SimulationEvent for that run, tick, date and city. Its payload holds NeedTypeCode, Needed, Consumed and Shortfall as exact Decimal strings.</w:t>
      </w:r>
    </w:p>
    <w:p>
      <w:pPr>
        <w:pStyle w:val="ListParagraph"/>
        <w:numPr>
          <w:ilvl w:val="0"/>
          <w:numId w:val="2"/>
        </w:numPr>
        <w:spacing w:after="60"/>
      </w:pPr>
      <w:r>
        <w:t xml:space="preserve">The tick continues. InsufficientInventoryError is never an expected outcome of this step; if it occurs it is treated as a defect, and the tick aborts and rolls back.</w:t>
      </w:r>
    </w:p>
    <w:p>
      <w:pPr>
        <w:pStyle w:val="ListParagraph"/>
        <w:numPr>
          <w:ilvl w:val="0"/>
          <w:numId w:val="2"/>
        </w:numPr>
        <w:spacing w:after="60"/>
      </w:pPr>
      <w:r>
        <w:t xml:space="preserve">Shortage has no effect on population in M4. Starvation or growth consequences (the workbook's Food Growth Sensitivity) are a future feature.</w:t>
      </w:r>
    </w:p>
    <w:p>
      <w:pPr>
        <w:pStyle w:val="Heading1"/>
        <w:spacing w:after="120" w:before="240"/>
      </w:pPr>
      <w:r>
        <w:t xml:space="preserve">Decision 3: Run and tick traceability on ledger entries</w:t>
      </w:r>
    </w:p>
    <w:p>
      <w:pPr>
        <w:spacing w:after="120"/>
      </w:pPr>
      <w:r>
        <w:t xml:space="preserve">TreasuryLedgerEntry and InventoryLedgerEntry each gain two nullable columns: SimulationRunID (INT, foreign key to SimulationRun) and SimulationTickID (BIGINT). A CHECK constraint requires both to be NULL or both to be populated.</w:t>
      </w:r>
    </w:p>
    <w:p>
      <w:pPr>
        <w:pStyle w:val="ListParagraph"/>
        <w:numPr>
          <w:ilvl w:val="0"/>
          <w:numId w:val="2"/>
        </w:numPr>
        <w:spacing w:after="60"/>
      </w:pPr>
      <w:r>
        <w:t xml:space="preserve">Both are NULL for entries written before the engine existed (seed data, tests) and for direct service calls made outside a tick. Entries written by the engine always carry both. Existing rows are not backfilled.</w:t>
      </w:r>
    </w:p>
    <w:p>
      <w:pPr>
        <w:pStyle w:val="ListParagraph"/>
        <w:numPr>
          <w:ilvl w:val="0"/>
          <w:numId w:val="2"/>
        </w:numPr>
        <w:spacing w:after="60"/>
      </w:pPr>
      <w:r>
        <w:t xml:space="preserve">Both columns are needed because SimulationTickID repeats across runs. The column set is a refinement of the option approved in discussion (a tick column alone), made for that reason.</w:t>
      </w:r>
    </w:p>
    <w:p>
      <w:pPr>
        <w:pStyle w:val="ListParagraph"/>
        <w:numPr>
          <w:ilvl w:val="0"/>
          <w:numId w:val="2"/>
        </w:numPr>
        <w:spacing w:after="60"/>
      </w:pPr>
      <w:r>
        <w:t xml:space="preserve">City-scoped state is unchanged. Treasury, Population and Inventory remain scoped to City, not run.</w:t>
      </w:r>
    </w:p>
    <w:p>
      <w:pPr>
        <w:pStyle w:val="ListParagraph"/>
        <w:numPr>
          <w:ilvl w:val="0"/>
          <w:numId w:val="2"/>
        </w:numPr>
        <w:spacing w:after="60"/>
      </w:pPr>
      <w:r>
        <w:t xml:space="preserve">Because both tables are already committed, this is an ADR-gated schema change and is delivered as its own additive migration (0020). No committed migration is edited.</w:t>
      </w:r>
    </w:p>
    <w:p>
      <w:pPr>
        <w:pStyle w:val="Heading1"/>
        <w:spacing w:after="120" w:before="240"/>
      </w:pPr>
      <w:r>
        <w:t xml:space="preserve">Open items (not decided here)</w:t>
      </w:r>
    </w:p>
    <w:p>
      <w:pPr>
        <w:pStyle w:val="ListParagraph"/>
        <w:numPr>
          <w:ilvl w:val="0"/>
          <w:numId w:val="2"/>
        </w:numPr>
        <w:spacing w:after="60"/>
      </w:pPr>
      <w:r>
        <w:t xml:space="preserve">Need-to-resource mapping. NeedType (FOOD, HEATING, BASIC_GOODS) is a category only; nothing links it to Resource rows. The workbook's Resource Catalog flags Wheat and Trout as population food, but gives no basis for HEATING or BASIC_GOODS, and none for the allocation order between resources. A mapping, and its allocation order, must be decided before Step 4.4.</w:t>
      </w:r>
    </w:p>
    <w:p>
      <w:pPr>
        <w:pStyle w:val="ListParagraph"/>
        <w:numPr>
          <w:ilvl w:val="0"/>
          <w:numId w:val="2"/>
        </w:numPr>
        <w:spacing w:after="60"/>
      </w:pPr>
      <w:r>
        <w:t xml:space="preserve">Placeholder consumption rates. Migration 0008 seeds FOOD at 1.0 kg/day per adult and 0.5 kg/day per child, roughly 110 kg/day for the seeded 100 adults and 20 children, against an opening stock of 100 Wheat. The workbook default is 10 food units per person per month. The seeds are labeled placeholders, but at these values the baseline run would be in continuous shortfall. Re-baselining requires a new additive migration, since 0008 is committed. Decide before Step 4.4 validation.</w:t>
      </w:r>
    </w:p>
    <w:p>
      <w:pPr>
        <w:pStyle w:val="Heading1"/>
        <w:spacing w:after="120" w:before="240"/>
      </w:pPr>
      <w:r>
        <w:t xml:space="preserve">Consequences</w:t>
      </w:r>
    </w:p>
    <w:p>
      <w:pPr>
        <w:pStyle w:val="ListParagraph"/>
        <w:numPr>
          <w:ilvl w:val="0"/>
          <w:numId w:val="2"/>
        </w:numPr>
        <w:spacing w:after="60"/>
      </w:pPr>
      <w:r>
        <w:t xml:space="preserve">Production arrives in monthly lumps while consumption drains daily, so opening stock and monthly output must together carry the city between production days. Whether the seeded stockpiles do is unvalidated and will be tested in Step 4.4.</w:t>
      </w:r>
    </w:p>
    <w:p>
      <w:pPr>
        <w:pStyle w:val="ListParagraph"/>
        <w:numPr>
          <w:ilvl w:val="0"/>
          <w:numId w:val="2"/>
        </w:numPr>
        <w:spacing w:after="60"/>
      </w:pPr>
      <w:r>
        <w:t xml:space="preserve">SimulationEvent (migration 0019) is the first table in the EVENTS leg of CURRENT STATE + EVENTS + SNAPSHOTS. Snapshots remain a later step (4.7).</w:t>
      </w:r>
    </w:p>
    <w:p>
      <w:pPr>
        <w:pStyle w:val="ListParagraph"/>
        <w:numPr>
          <w:ilvl w:val="0"/>
          <w:numId w:val="2"/>
        </w:numPr>
        <w:spacing w:after="60"/>
      </w:pPr>
      <w:r>
        <w:t xml:space="preserve">Any future change to the month-boundary definition, or a move of a monthly service to daily cadence, requires a new ADR.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Calibri" w:cs="Calibri" w:eastAsia="Calibri" w:hAnsi="Calibri"/>
      <w:b w:val="false"/>
      <w:bCs w:val="false"/>
      <w:sz w:val="56"/>
      <w:szCs w:val="56"/>
    </w:rPr>
  </w:style>
  <w:style w:type="paragraph" w:styleId="Heading1">
    <w:name w:val="Heading 1"/>
    <w:basedOn w:val="Normal"/>
    <w:next w:val="Normal"/>
    <w:qFormat/>
    <w:pPr>
      <w:outlineLvl w:val="0"/>
    </w:pPr>
    <w:rPr>
      <w:rFonts w:ascii="Calibri" w:cs="Calibri" w:eastAsia="Calibri" w:hAnsi="Calibri"/>
      <w:b w:val="false"/>
      <w:bCs w:val="false"/>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2026-09-20T21:58:01.359Z</dcterms:created>
  <dcterms:modified xsi:type="dcterms:W3CDTF">2026-09-20T21:58:01.359Z</dcterms:modified>
</cp:coreProperties>
</file>

<file path=docProps/custom.xml><?xml version="1.0" encoding="utf-8"?>
<Properties xmlns="http://schemas.openxmlformats.org/officeDocument/2006/custom-properties" xmlns:vt="http://schemas.openxmlformats.org/officeDocument/2006/docPropsVTypes"/>
</file>