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ADR-0010: Need-to-Resource Mapping and Consumption Allocation</w:t>
      </w:r>
    </w:p>
    <w:p>
      <w:pPr>
        <w:spacing w:after="120"/>
      </w:pPr>
      <w:r>
        <w:rPr>
          <w:i/>
          <w:iCs/>
          <w:color w:val="555555"/>
        </w:rPr>
        <w:t xml:space="preserve">Which resources satisfy each need, in what order, and what is deferred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Status</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Accepted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Date</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2026-09-21</w:t>
            </w:r>
          </w:p>
        </w:tc>
      </w:tr>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Domain</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Population Needs / Inventory</w:t>
            </w:r>
          </w:p>
        </w:tc>
      </w:tr>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Related</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ADR-0005, ADR-0008, ADR-0009, Document 3, design-concept workbook</w:t>
            </w:r>
          </w:p>
        </w:tc>
      </w:tr>
    </w:tbl>
    <w:p>
      <w:pPr>
        <w:pStyle w:val="Heading1"/>
        <w:spacing w:after="120" w:before="240"/>
      </w:pPr>
      <w:r>
        <w:t xml:space="preserve">Context</w:t>
      </w:r>
    </w:p>
    <w:p>
      <w:pPr>
        <w:spacing w:after="120"/>
      </w:pPr>
      <w:r>
        <w:t xml:space="preserve">ADR-0009 left one structural question open before the needs-consumption step could be built: NeedType (FOOD, HEATING, BASIC_GOODS) is a category only (ADR-0005) and links to no Resource rows, so nothing says what a need consumes. Checking the seed data and the design-concept workbook found three relevant facts.</w:t>
      </w:r>
    </w:p>
    <w:p>
      <w:pPr>
        <w:pStyle w:val="ListParagraph"/>
        <w:numPr>
          <w:ilvl w:val="0"/>
          <w:numId w:val="2"/>
        </w:numPr>
        <w:spacing w:after="60"/>
      </w:pPr>
      <w:r>
        <w:t xml:space="preserve">The workbook's Population sheet already defines the allocation rule for food. Wheat consumed is the lesser of Wheat available and the need. Trout consumed is the lesser of Trout available and whatever the Wheat did not cover. The remainder is the shortage. This is a priority-ordered fallthrough.</w:t>
      </w:r>
    </w:p>
    <w:p>
      <w:pPr>
        <w:pStyle w:val="ListParagraph"/>
        <w:numPr>
          <w:ilvl w:val="0"/>
          <w:numId w:val="2"/>
        </w:numPr>
        <w:spacing w:after="60"/>
      </w:pPr>
      <w:r>
        <w:t xml:space="preserve">The Resource table already carries a PopulationFoodStatus flag (Yes, No, Future). Wheat, Trout, Eggs and Lentils are Yes; Oats and Figs are Future. The flag has no ordering, so it cannot express priority.</w:t>
      </w:r>
    </w:p>
    <w:p>
      <w:pPr>
        <w:pStyle w:val="ListParagraph"/>
        <w:numPr>
          <w:ilvl w:val="0"/>
          <w:numId w:val="2"/>
        </w:numPr>
        <w:spacing w:after="60"/>
      </w:pPr>
      <w:r>
        <w:t xml:space="preserve">Every seeded Resource is in EA (each), while the FOOD and HEATING consumption rates are seeded in KG. No conversion exists anywhere.</w:t>
      </w:r>
    </w:p>
    <w:p>
      <w:pPr>
        <w:pStyle w:val="Heading1"/>
        <w:spacing w:after="120" w:before="240"/>
      </w:pPr>
      <w:r>
        <w:t xml:space="preserve">Decision 1: A NeedTypeResource mapping table with consumption priority</w:t>
      </w:r>
    </w:p>
    <w:p>
      <w:pPr>
        <w:spacing w:after="120"/>
      </w:pPr>
      <w:r>
        <w:t xml:space="preserve">A new table, NeedTypeResource (migration 0021), links a need type to a resource with a ConsumptionPriority. Within a need type, both the resource and the priority are unique, so the order is total and deterministic. Priority 1 is consumed first.</w:t>
      </w:r>
    </w:p>
    <w:p>
      <w:pPr>
        <w:pStyle w:val="ListParagraph"/>
        <w:numPr>
          <w:ilvl w:val="0"/>
          <w:numId w:val="2"/>
        </w:numPr>
        <w:spacing w:after="60"/>
      </w:pPr>
      <w:r>
        <w:t xml:space="preserve">Allocation rule (built in Step 4.4b): for a need, drain the priority-1 resource, then priority-2, and so on, each up to its available stock, until the need is met or the mapped resources run out. Any unmet remainder is a shortfall under ADR-0009 Decision 2.</w:t>
      </w:r>
    </w:p>
    <w:p>
      <w:pPr>
        <w:pStyle w:val="ListParagraph"/>
        <w:numPr>
          <w:ilvl w:val="0"/>
          <w:numId w:val="2"/>
        </w:numPr>
        <w:spacing w:after="60"/>
      </w:pPr>
      <w:r>
        <w:t xml:space="preserve">The mapping is global, like NeedConsumptionRate. It is not scoped to a scenario or a city, and no scenario-specific mapping is built.</w:t>
      </w:r>
    </w:p>
    <w:p>
      <w:pPr>
        <w:pStyle w:val="ListParagraph"/>
        <w:numPr>
          <w:ilvl w:val="0"/>
          <w:numId w:val="2"/>
        </w:numPr>
        <w:spacing w:after="60"/>
      </w:pPr>
      <w:r>
        <w:t xml:space="preserve">PopulationFoodStatus is left untouched. It is now partly redundant with the mapping and is logged as technical debt.</w:t>
      </w:r>
    </w:p>
    <w:p>
      <w:pPr>
        <w:pStyle w:val="Heading1"/>
        <w:spacing w:after="120" w:before="240"/>
      </w:pPr>
      <w:r>
        <w:t xml:space="preserve">Decision 2: Initial mapping</w:t>
      </w:r>
    </w:p>
    <w:p>
      <w:pPr>
        <w:spacing w:after="120"/>
      </w:pPr>
      <w:r>
        <w:t xml:space="preserve">Seeded in migration 0022, approved by the project owner:</w:t>
      </w:r>
    </w:p>
    <w:p>
      <w:pPr>
        <w:pStyle w:val="ListParagraph"/>
        <w:numPr>
          <w:ilvl w:val="0"/>
          <w:numId w:val="2"/>
        </w:numPr>
        <w:spacing w:after="60"/>
      </w:pPr>
      <w:r>
        <w:t xml:space="preserve">FOOD: Wheat (1), Trout (2), Eggs (3), Lentils (4). Wheat then Trout follows the workbook. Eggs and Lentils were added at the owner's direction and are appended in resource-code order after them. The order is data and can change during balancing.</w:t>
      </w:r>
    </w:p>
    <w:p>
      <w:pPr>
        <w:pStyle w:val="ListParagraph"/>
        <w:numPr>
          <w:ilvl w:val="0"/>
          <w:numId w:val="2"/>
        </w:numPr>
        <w:spacing w:after="60"/>
      </w:pPr>
      <w:r>
        <w:t xml:space="preserve">HEATING: Timber (1). Timber is also the Saw Mill input, so heating and lumber production will compete for it. That competition is a balancing question, not decided here.</w:t>
      </w:r>
    </w:p>
    <w:p>
      <w:pPr>
        <w:pStyle w:val="ListParagraph"/>
        <w:numPr>
          <w:ilvl w:val="0"/>
          <w:numId w:val="2"/>
        </w:numPr>
        <w:spacing w:after="60"/>
      </w:pPr>
      <w:r>
        <w:t xml:space="preserve">BASIC_GOODS: deliberately unmapped. Nothing in the current catalog fits, and under the sparse-seeding convention a missing row means none. A need type with no mapping is skipped by the consumption step, with no consumption and no shortfall event. Adding a mapping row later activates it with no code change.</w:t>
      </w:r>
    </w:p>
    <w:p>
      <w:pPr>
        <w:pStyle w:val="ListParagraph"/>
        <w:numPr>
          <w:ilvl w:val="0"/>
          <w:numId w:val="2"/>
        </w:numPr>
        <w:spacing w:after="60"/>
      </w:pPr>
      <w:r>
        <w:t xml:space="preserve">Oats and Figs (PopulationFoodStatus Future) are not mapped.</w:t>
      </w:r>
    </w:p>
    <w:p>
      <w:pPr>
        <w:pStyle w:val="Heading1"/>
        <w:spacing w:after="120" w:before="240"/>
      </w:pPr>
      <w:r>
        <w:t xml:space="preserve">Decision 3: Unit reconciliation is deferred</w:t>
      </w:r>
    </w:p>
    <w:p>
      <w:pPr>
        <w:spacing w:after="120"/>
      </w:pPr>
      <w:r>
        <w:t xml:space="preserve">The project owner will settle unit conversions once the final list of units is complete. Until then, no unit column is added to NeedTypeResource, no unit check is performed, and no rate is relabeled or converted. The consumption step applies a need's quantity 1:1 against stock in the resource's own unit.</w:t>
      </w:r>
    </w:p>
    <w:p>
      <w:pPr>
        <w:pStyle w:val="ListParagraph"/>
        <w:numPr>
          <w:ilvl w:val="0"/>
          <w:numId w:val="2"/>
        </w:numPr>
        <w:spacing w:after="60"/>
      </w:pPr>
      <w:r>
        <w:t xml:space="preserve">This knowingly relaxes the Quantity / UnitOfMeasure separation principle for the skeleton. It is tracked as technical debt and must be resolved before baseline validation and balancing (Milestones 6 and 7).</w:t>
      </w:r>
    </w:p>
    <w:p>
      <w:pPr>
        <w:pStyle w:val="ListParagraph"/>
        <w:numPr>
          <w:ilvl w:val="0"/>
          <w:numId w:val="2"/>
        </w:numPr>
        <w:spacing w:after="60"/>
      </w:pPr>
      <w:r>
        <w:t xml:space="preserve">Numeric rates are placeholders. No balancing is done in Milestone 4 until the skeleton is complete.</w:t>
      </w:r>
    </w:p>
    <w:p>
      <w:pPr>
        <w:pStyle w:val="Heading1"/>
        <w:spacing w:after="120" w:before="240"/>
      </w:pPr>
      <w:r>
        <w:t xml:space="preserve">Consequences</w:t>
      </w:r>
    </w:p>
    <w:p>
      <w:pPr>
        <w:pStyle w:val="ListParagraph"/>
        <w:numPr>
          <w:ilvl w:val="0"/>
          <w:numId w:val="2"/>
        </w:numPr>
        <w:spacing w:after="60"/>
      </w:pPr>
      <w:r>
        <w:t xml:space="preserve">Mapping a need to resources, or reordering priorities, is a data change, not a code change.</w:t>
      </w:r>
    </w:p>
    <w:p>
      <w:pPr>
        <w:pStyle w:val="ListParagraph"/>
        <w:numPr>
          <w:ilvl w:val="0"/>
          <w:numId w:val="2"/>
        </w:numPr>
        <w:spacing w:after="60"/>
      </w:pPr>
      <w:r>
        <w:t xml:space="preserve">Step 4.4a delivers the table, seed and model only. The service that reads the mapping and depletes inventory is Step 4.4b.</w:t>
      </w:r>
    </w:p>
    <w:p>
      <w:pPr>
        <w:pStyle w:val="ListParagraph"/>
        <w:numPr>
          <w:ilvl w:val="0"/>
          <w:numId w:val="2"/>
        </w:numPr>
        <w:spacing w:after="60"/>
      </w:pPr>
      <w:r>
        <w:t xml:space="preserve">Until units are reconciled, the KG-versus-EA mismatch is invisible to the step and to the tests. Nothing will flag it automatically, which is why it is recorded here and in the technical-debt 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Calibri" w:cs="Calibri" w:eastAsia="Calibri" w:hAnsi="Calibri"/>
      <w:b w:val="false"/>
      <w:bCs w:val="false"/>
      <w:sz w:val="56"/>
      <w:szCs w:val="56"/>
    </w:rPr>
  </w:style>
  <w:style w:type="paragraph" w:styleId="Heading1">
    <w:name w:val="Heading 1"/>
    <w:basedOn w:val="Normal"/>
    <w:next w:val="Normal"/>
    <w:qFormat/>
    <w:pPr>
      <w:outlineLvl w:val="0"/>
    </w:pPr>
    <w:rPr>
      <w:rFonts w:ascii="Calibri" w:cs="Calibri" w:eastAsia="Calibri" w:hAnsi="Calibri"/>
      <w:b w:val="false"/>
      <w:bCs w:val="false"/>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2026-09-21T20:03:22.253Z</dcterms:created>
  <dcterms:modified xsi:type="dcterms:W3CDTF">2026-09-21T20:03:22.254Z</dcterms:modified>
</cp:coreProperties>
</file>

<file path=docProps/custom.xml><?xml version="1.0" encoding="utf-8"?>
<Properties xmlns="http://schemas.openxmlformats.org/officeDocument/2006/custom-properties" xmlns:vt="http://schemas.openxmlformats.org/officeDocument/2006/docPropsVTypes"/>
</file>