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ADR-0002: Migration &amp; Environment Configuration Approach</w:t>
      </w:r>
    </w:p>
    <w:p>
      <w:pPr>
        <w:spacing w:after="120"/>
      </w:pPr>
      <w:r>
        <w:rPr>
          <w:i/>
          <w:iCs/>
          <w:color w:val="555555"/>
        </w:rPr>
        <w:t xml:space="preserve">CityScape Simulation Platform (Cinis reference implementation)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2F2F2" w:val="clear"/>
            <w:tcMar>
              <w:top w:type="dxa" w:w="100"/>
              <w:left w:type="dxa" w:w="150"/>
              <w:bottom w:type="dxa" w:w="100"/>
              <w:right w:type="dxa" w:w="150"/>
            </w:tcMar>
          </w:tcPr>
          <w:p>
            <w:r>
              <w:rPr>
                <w:b/>
                <w:bCs/>
              </w:rPr>
              <w:t xml:space="preserve">Status</w:t>
            </w:r>
          </w:p>
        </w:tc>
        <w:tc>
          <w:tcPr>
            <w:tcW w:type="pct" w:w="78%"/>
            <w:tcMar>
              <w:top w:type="dxa" w:w="100"/>
              <w:left w:type="dxa" w:w="150"/>
              <w:bottom w:type="dxa" w:w="100"/>
              <w:right w:type="dxa" w:w="150"/>
            </w:tcMar>
          </w:tcPr>
          <w:p>
            <w:r>
              <w:t xml:space="preserve">Accepted</w:t>
            </w:r>
          </w:p>
        </w:tc>
      </w:tr>
      <w:tr>
        <w:tc>
          <w:tcPr>
            <w:tcW w:type="pct" w:w="22%"/>
            <w:shd w:fill="F2F2F2" w:val="clear"/>
            <w:tcMar>
              <w:top w:type="dxa" w:w="100"/>
              <w:left w:type="dxa" w:w="150"/>
              <w:bottom w:type="dxa" w:w="100"/>
              <w:right w:type="dxa" w:w="150"/>
            </w:tcMar>
          </w:tcPr>
          <w:p>
            <w:r>
              <w:rPr>
                <w:b/>
                <w:bCs/>
              </w:rPr>
              <w:t xml:space="preserve">Date</w:t>
            </w:r>
          </w:p>
        </w:tc>
        <w:tc>
          <w:tcPr>
            <w:tcW w:type="pct" w:w="78%"/>
            <w:tcMar>
              <w:top w:type="dxa" w:w="100"/>
              <w:left w:type="dxa" w:w="150"/>
              <w:bottom w:type="dxa" w:w="100"/>
              <w:right w:type="dxa" w:w="150"/>
            </w:tcMar>
          </w:tcPr>
          <w:p>
            <w:r>
              <w:t xml:space="preserve">2026-08-29</w:t>
            </w:r>
          </w:p>
        </w:tc>
      </w:tr>
      <w:tr>
        <w:tc>
          <w:tcPr>
            <w:tcW w:type="pct" w:w="22%"/>
            <w:shd w:fill="F2F2F2" w:val="clear"/>
            <w:tcMar>
              <w:top w:type="dxa" w:w="100"/>
              <w:left w:type="dxa" w:w="150"/>
              <w:bottom w:type="dxa" w:w="100"/>
              <w:right w:type="dxa" w:w="150"/>
            </w:tcMar>
          </w:tcPr>
          <w:p>
            <w:r>
              <w:rPr>
                <w:b/>
                <w:bCs/>
              </w:rPr>
              <w:t xml:space="preserve">Domain</w:t>
            </w:r>
          </w:p>
        </w:tc>
        <w:tc>
          <w:tcPr>
            <w:tcW w:type="pct" w:w="78%"/>
            <w:tcMar>
              <w:top w:type="dxa" w:w="100"/>
              <w:left w:type="dxa" w:w="150"/>
              <w:bottom w:type="dxa" w:w="100"/>
              <w:right w:type="dxa" w:w="150"/>
            </w:tcMar>
          </w:tcPr>
          <w:p>
            <w:r>
              <w:t xml:space="preserve">Execution Model &amp; Database Platform</w:t>
            </w:r>
          </w:p>
        </w:tc>
      </w:tr>
      <w:tr>
        <w:tc>
          <w:tcPr>
            <w:tcW w:type="pct" w:w="22%"/>
            <w:shd w:fill="F2F2F2" w:val="clear"/>
            <w:tcMar>
              <w:top w:type="dxa" w:w="100"/>
              <w:left w:type="dxa" w:w="150"/>
              <w:bottom w:type="dxa" w:w="100"/>
              <w:right w:type="dxa" w:w="150"/>
            </w:tcMar>
          </w:tcPr>
          <w:p>
            <w:r>
              <w:rPr>
                <w:b/>
                <w:bCs/>
              </w:rPr>
              <w:t xml:space="preserve">Related</w:t>
            </w:r>
          </w:p>
        </w:tc>
        <w:tc>
          <w:tcPr>
            <w:tcW w:type="pct" w:w="78%"/>
            <w:tcMar>
              <w:top w:type="dxa" w:w="100"/>
              <w:left w:type="dxa" w:w="150"/>
              <w:bottom w:type="dxa" w:w="100"/>
              <w:right w:type="dxa" w:w="150"/>
            </w:tcMar>
          </w:tcPr>
          <w:p>
            <w:r>
              <w:t xml:space="preserve">Document 5, Document 6, Document 9</w:t>
            </w:r>
          </w:p>
        </w:tc>
      </w:tr>
    </w:tbl>
    <w:p>
      <w:pPr>
        <w:spacing w:after="240"/>
      </w:pPr>
    </w:p>
    <w:p>
      <w:pPr>
        <w:pStyle w:val="Heading1"/>
        <w:spacing w:after="120" w:before="240"/>
      </w:pPr>
      <w:r>
        <w:t xml:space="preserve">Context</w:t>
      </w:r>
    </w:p>
    <w:p>
      <w:pPr>
        <w:spacing w:after="120"/>
      </w:pPr>
      <w:r>
        <w:t xml:space="preserve">Milestone 1 required a mechanism for applying and tracking SQL Server schema changes, and a way for Python code to read local database connection settings without hardcoding secrets (per the Master Prompt's “No Hardcoded Secrets” guardrail).</w:t>
      </w:r>
    </w:p>
    <w:p>
      <w:pPr>
        <w:spacing w:after="120"/>
      </w:pPr>
      <w:r>
        <w:t xml:space="preserve">The approved runtime dependency whitelist (standard library, SQLAlchemy, pyodbc, pytest, pandas, openpyxl) does not include a dedicated migration tool (e.g. Alembic) or an environment-file loader (e.g. python-dotenv). Introducing either would require either an ADR-approved whitelist exception or a whitelist-compliant alternative.</w:t>
      </w:r>
    </w:p>
    <w:p>
      <w:pPr>
        <w:pStyle w:val="Heading1"/>
        <w:spacing w:after="120" w:before="240"/>
      </w:pPr>
      <w:r>
        <w:t xml:space="preserve">Decision</w:t>
      </w:r>
    </w:p>
    <w:p>
      <w:pPr>
        <w:spacing w:after="120"/>
      </w:pPr>
      <w:r>
        <w:t xml:space="preserve">Migrations are plain, numbered .sql files under database/migrations/ (e.g. 0001_..., 0002_...), applied strictly in ascending filename order and never edited after being committed, per the “Additive, Versioned Migrations” guardrail. A small Python runner (src/cinis/database/migration_runner.py) discovers, applies, and tracks them in a dbo.MigrationHistory table, using only pyodbc and the standard library.</w:t>
      </w:r>
    </w:p>
    <w:p>
      <w:pPr>
        <w:spacing w:after="120"/>
      </w:pPr>
      <w:r>
        <w:t xml:space="preserve">SSMS-style scripts commonly separate batches with a bare GO line, which is a client-side directive rather than valid T-SQL. The runner splits each script on GO before executing, so migration files can be written exactly as they would be in SSMS.</w:t>
      </w:r>
    </w:p>
    <w:p>
      <w:pPr>
        <w:spacing w:after="120"/>
      </w:pPr>
      <w:r>
        <w:t xml:space="preserve">Each migration is applied inside a single transaction: all of its batches commit together, or the whole migration rolls back on any failure, and MigrationHistory is only updated on success. This was verified directly (not just by code inspection) with an integration test that deliberately fails a batch mid-script and confirms the earlier successful batch does not remain committed.</w:t>
      </w:r>
    </w:p>
    <w:p>
      <w:pPr>
        <w:spacing w:after="120"/>
      </w:pPr>
      <w:r>
        <w:t xml:space="preserve">Local environment configuration (.env, based on .env.example) is loaded by a purpose-built, standard-library-only loader (src/cinis/config/dotenv.py) rather than a third-party package. It parses simple KEY=VALUE lines, never overwrites a real environment variable that is already set, and is a no-op if no .env file is present.</w:t>
      </w:r>
    </w:p>
    <w:p>
      <w:pPr>
        <w:pStyle w:val="Heading1"/>
        <w:spacing w:after="120" w:before="240"/>
      </w:pPr>
      <w:r>
        <w:t xml:space="preserve">Consequences</w:t>
      </w:r>
    </w:p>
    <w:p>
      <w:pPr>
        <w:pStyle w:val="ListParagraph"/>
        <w:numPr>
          <w:ilvl w:val="0"/>
          <w:numId w:val="2"/>
        </w:numPr>
        <w:spacing w:after="80"/>
      </w:pPr>
      <w:r>
        <w:t xml:space="preserve">No new runtime dependency was introduced; the approved whitelist remains unchanged.</w:t>
      </w:r>
    </w:p>
    <w:p>
      <w:pPr>
        <w:pStyle w:val="ListParagraph"/>
        <w:numPr>
          <w:ilvl w:val="0"/>
          <w:numId w:val="2"/>
        </w:numPr>
        <w:spacing w:after="80"/>
      </w:pPr>
      <w:r>
        <w:t xml:space="preserve">The custom .env loader is intentionally minimal: it does not support multi-line values, variable expansion, or export syntax. If future work needs those features, that will be a new decision, not an extension of this one.</w:t>
      </w:r>
    </w:p>
    <w:p>
      <w:pPr>
        <w:pStyle w:val="ListParagraph"/>
        <w:numPr>
          <w:ilvl w:val="0"/>
          <w:numId w:val="2"/>
        </w:numPr>
        <w:spacing w:after="80"/>
      </w:pPr>
      <w:r>
        <w:t xml:space="preserve">This migration approach becomes the execution model for every future schema change (Milestones 2–8). Any future move to a dedicated migration tool would itself need a new ADR, since it would replace this one.</w:t>
      </w:r>
    </w:p>
    <w:p>
      <w:pPr>
        <w:pStyle w:val="ListParagraph"/>
        <w:numPr>
          <w:ilvl w:val="0"/>
          <w:numId w:val="2"/>
        </w:numPr>
        <w:spacing w:after="80"/>
      </w:pPr>
      <w:r>
        <w:t xml:space="preserve">This decision was made and implemented before being formally logged as an ADR (the code shipped in Milestone 1 Steps 2 and 2b; this ADR was written afterward as part of a batch). Future consequential decisions should be logged closer to the time they are made where practical.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2026-08-29T15:10:12.777Z</dcterms:created>
  <dcterms:modified xsi:type="dcterms:W3CDTF">2026-08-29T15:10:12.792Z</dcterms:modified>
</cp:coreProperties>
</file>

<file path=docProps/custom.xml><?xml version="1.0" encoding="utf-8"?>
<Properties xmlns="http://schemas.openxmlformats.org/officeDocument/2006/custom-properties" xmlns:vt="http://schemas.openxmlformats.org/officeDocument/2006/docPropsVTypes"/>
</file>