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ADR-0004: Integration Test Data Hygiene Convention</w:t>
      </w:r>
    </w:p>
    <w:p>
      <w:pPr>
        <w:spacing w:after="120"/>
      </w:pPr>
      <w:r>
        <w:rPr>
          <w:i/>
          <w:iCs/>
          <w:color w:val="555555"/>
        </w:rPr>
        <w:t xml:space="preserve">CityScape Simulation Platform (Cinis reference implementation)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Accepted</w:t>
            </w:r>
          </w:p>
        </w:tc>
      </w:tr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2026-08-29</w:t>
            </w:r>
          </w:p>
        </w:tc>
      </w:tr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Testing Standard</w:t>
            </w:r>
          </w:p>
        </w:tc>
      </w:tr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Related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Document 7, Document 9</w:t>
            </w:r>
          </w:p>
        </w:tc>
      </w:tr>
    </w:tbl>
    <w:p>
      <w:pPr>
        <w:spacing w:after="240"/>
      </w:pPr>
    </w:p>
    <w:p>
      <w:pPr>
        <w:pStyle w:val="Heading1"/>
        <w:spacing w:after="120" w:before="240"/>
      </w:pPr>
      <w:r>
        <w:t xml:space="preserve">Context</w:t>
      </w:r>
    </w:p>
    <w:p>
      <w:pPr>
        <w:spacing w:after="120"/>
      </w:pPr>
      <w:r>
        <w:t xml:space="preserve">Milestone 1's first integration tests (tests/integration/test_core_schema.py) each opened their own database connection and committed test rows directly, with no cleanup step. One test committed a City row with IsPrimaryActive = 1 to prove insert mechanics worked, not realizing this would violate the MVP's “exactly one primary active city” invariant against the same developer database used for real work.</w:t>
      </w:r>
    </w:p>
    <w:p>
      <w:pPr>
        <w:spacing w:after="120"/>
      </w:pPr>
      <w:r>
        <w:t xml:space="preserve">This was caught by a later Step 4 integration test (test_cityscape_is_the_one_primary_active_city) correctly failing, which surfaced three primary-active cities where only one should exist. The underlying cause was a test-hygiene gap, not a schema or seed-data defect.</w:t>
      </w:r>
    </w:p>
    <w:p>
      <w:pPr>
        <w:pStyle w:val="Heading1"/>
        <w:spacing w:after="120" w:before="240"/>
      </w:pPr>
      <w:r>
        <w:t xml:space="preserve">Decision</w:t>
      </w:r>
    </w:p>
    <w:p>
      <w:pPr>
        <w:spacing w:after="120"/>
      </w:pPr>
      <w:r>
        <w:t xml:space="preserve">A single, session-scoped connection fixture now lives in tests/integration/conftest.py, shared by every integration test module. It applies all pending migrations once per test session, then — after the entire session finishes — deletes every row whose Name starts with “Test”, in foreign-key-safe order (SimulationRun → Scenario → Simulation → City → Region → World).</w:t>
      </w:r>
    </w:p>
    <w:p>
      <w:pPr>
        <w:spacing w:after="120"/>
      </w:pPr>
      <w:r>
        <w:t xml:space="preserve">Convention: every row created by an integration test must be named with a literal “Test” prefix (e.g. TestCity-{uuid}, TestWorld-{uuid}). This is what the cleanup fixture matches on, so any integration test that does not follow this convention will silently escape cleanup.</w:t>
      </w:r>
    </w:p>
    <w:p>
      <w:pPr>
        <w:spacing w:after="120"/>
      </w:pPr>
      <w:r>
        <w:t xml:space="preserve">No integration test may set a flag or value that could satisfy a real business invariant meant to hold exactly once — the City.IsPrimaryActive test case was corrected to always insert 0, since IsPrimaryActive = 1 belongs only to the real seeded CityScape row.</w:t>
      </w:r>
    </w:p>
    <w:p>
      <w:pPr>
        <w:spacing w:after="120"/>
      </w:pPr>
      <w:r>
        <w:t xml:space="preserve">Already-polluted rows in the shared development database were removed via a one-off, non-migration cleanup script (database/cleanup_test_pollution_one_time.sql), run manually once. This script is not part of the versioned migration history.</w:t>
      </w:r>
    </w:p>
    <w:p>
      <w:pPr>
        <w:pStyle w:val="Heading1"/>
        <w:spacing w:after="120" w:before="240"/>
      </w:pPr>
      <w:r>
        <w:t xml:space="preserve">Consequences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future integration test that forgets the “Test” naming prefix will leave permanent pollution in the shared development database, silently. Code review of new integration tests should check for this.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cleanup only runs at the end of a full pytest session that includes at least one integration test; a test run that crashes hard (e.g. the process is killed) before the session-scoped fixture's teardown executes will still leave pollution. This is an accepted limitation, not solved by this decision.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convention applies to all future milestones' integration tests, not only Milestone 1's. It should be treated as a standing testing-standard requirement alongside Document 7, not a one-time fix.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2026-08-29T15:10:13.173Z</dcterms:created>
  <dcterms:modified xsi:type="dcterms:W3CDTF">2026-08-29T15:10:13.173Z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