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ADR-0005: Domain Model Expansion</w:t>
      </w:r>
    </w:p>
    <w:p>
      <w:pPr>
        <w:spacing w:after="120"/>
      </w:pPr>
      <w:r>
        <w:rPr>
          <w:i/>
          <w:iCs/>
          <w:color w:val="555555"/>
        </w:rPr>
        <w:t xml:space="preserve">Infrastructure &amp; Assets, Actors &amp; Organizations, and Technology domains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2F2" w:val="clear"/>
            <w:tcMar>
              <w:top w:type="dxa" w:w="100"/>
              <w:left w:type="dxa" w:w="150"/>
              <w:bottom w:type="dxa" w:w="100"/>
              <w:right w:type="dxa" w:w="150"/>
            </w:tcMar>
          </w:tcPr>
          <w:p>
            <w:r>
              <w:rPr>
                <w:b/>
                <w:bCs/>
              </w:rPr>
              <w:t xml:space="preserve">Status</w:t>
            </w:r>
          </w:p>
        </w:tc>
        <w:tc>
          <w:tcPr>
            <w:tcW w:type="pct" w:w="78%"/>
            <w:tcMar>
              <w:top w:type="dxa" w:w="100"/>
              <w:left w:type="dxa" w:w="150"/>
              <w:bottom w:type="dxa" w:w="100"/>
              <w:right w:type="dxa" w:w="150"/>
            </w:tcMar>
          </w:tcPr>
          <w:p>
            <w:r>
              <w:t xml:space="preserve">Accepted</w:t>
            </w:r>
          </w:p>
        </w:tc>
      </w:tr>
      <w:tr>
        <w:tc>
          <w:tcPr>
            <w:tcW w:type="pct" w:w="22%"/>
            <w:shd w:fill="F2F2F2" w:val="clear"/>
            <w:tcMar>
              <w:top w:type="dxa" w:w="100"/>
              <w:left w:type="dxa" w:w="150"/>
              <w:bottom w:type="dxa" w:w="100"/>
              <w:right w:type="dxa" w:w="150"/>
            </w:tcMar>
          </w:tcPr>
          <w:p>
            <w:r>
              <w:rPr>
                <w:b/>
                <w:bCs/>
              </w:rPr>
              <w:t xml:space="preserve">Date</w:t>
            </w:r>
          </w:p>
        </w:tc>
        <w:tc>
          <w:tcPr>
            <w:tcW w:type="pct" w:w="78%"/>
            <w:tcMar>
              <w:top w:type="dxa" w:w="100"/>
              <w:left w:type="dxa" w:w="150"/>
              <w:bottom w:type="dxa" w:w="100"/>
              <w:right w:type="dxa" w:w="150"/>
            </w:tcMar>
          </w:tcPr>
          <w:p>
            <w:r>
              <w:t xml:space="preserve">2026-09-12</w:t>
            </w:r>
          </w:p>
        </w:tc>
      </w:tr>
      <w:tr>
        <w:tc>
          <w:tcPr>
            <w:tcW w:type="pct" w:w="22%"/>
            <w:shd w:fill="F2F2F2" w:val="clear"/>
            <w:tcMar>
              <w:top w:type="dxa" w:w="100"/>
              <w:left w:type="dxa" w:w="150"/>
              <w:bottom w:type="dxa" w:w="100"/>
              <w:right w:type="dxa" w:w="150"/>
            </w:tcMar>
          </w:tcPr>
          <w:p>
            <w:r>
              <w:rPr>
                <w:b/>
                <w:bCs/>
              </w:rPr>
              <w:t xml:space="preserve">Domain</w:t>
            </w:r>
          </w:p>
        </w:tc>
        <w:tc>
          <w:tcPr>
            <w:tcW w:type="pct" w:w="78%"/>
            <w:tcMar>
              <w:top w:type="dxa" w:w="100"/>
              <w:left w:type="dxa" w:w="150"/>
              <w:bottom w:type="dxa" w:w="100"/>
              <w:right w:type="dxa" w:w="150"/>
            </w:tcMar>
          </w:tcPr>
          <w:p>
            <w:r>
              <w:t xml:space="preserve">Domain Model / Module Boundaries</w:t>
            </w:r>
          </w:p>
        </w:tc>
      </w:tr>
      <w:tr>
        <w:tc>
          <w:tcPr>
            <w:tcW w:type="pct" w:w="22%"/>
            <w:shd w:fill="F2F2F2" w:val="clear"/>
            <w:tcMar>
              <w:top w:type="dxa" w:w="100"/>
              <w:left w:type="dxa" w:w="150"/>
              <w:bottom w:type="dxa" w:w="100"/>
              <w:right w:type="dxa" w:w="150"/>
            </w:tcMar>
          </w:tcPr>
          <w:p>
            <w:r>
              <w:rPr>
                <w:b/>
                <w:bCs/>
              </w:rPr>
              <w:t xml:space="preserve">Related</w:t>
            </w:r>
          </w:p>
        </w:tc>
        <w:tc>
          <w:tcPr>
            <w:tcW w:type="pct" w:w="78%"/>
            <w:tcMar>
              <w:top w:type="dxa" w:w="100"/>
              <w:left w:type="dxa" w:w="150"/>
              <w:bottom w:type="dxa" w:w="100"/>
              <w:right w:type="dxa" w:w="150"/>
            </w:tcMar>
          </w:tcPr>
          <w:p>
            <w:r>
              <w:t xml:space="preserve">Document 1, Document 3 Amendment 1, Document 8 Amendment 1, Document 9</w:t>
            </w:r>
          </w:p>
        </w:tc>
      </w:tr>
    </w:tbl>
    <w:p>
      <w:pPr>
        <w:spacing w:after="240"/>
      </w:pPr>
    </w:p>
    <w:p>
      <w:pPr>
        <w:pStyle w:val="Heading1"/>
        <w:spacing w:after="120" w:before="240"/>
      </w:pPr>
      <w:r>
        <w:t xml:space="preserve">Context</w:t>
      </w:r>
    </w:p>
    <w:p>
      <w:pPr>
        <w:spacing w:after="120"/>
      </w:pPr>
      <w:r>
        <w:t xml:space="preserve">An expanded design-concept workbook (city_simulation_v1.xlsx, provided 2026-09-12) introduced substantial real content in domains Document 3 does not formally name: vehicles and freight logistics, a construction project queue, a city treasury/budget system, and a tiered technology-unlock system. Before making any change, the question was raised of whether this content requires a major change to the already-approved architecture or build.</w:t>
      </w:r>
    </w:p>
    <w:p>
      <w:pPr>
        <w:spacing w:after="120"/>
      </w:pPr>
      <w:r>
        <w:t xml:space="preserve">Investigation of the project's own origin story (001_ChatHistory_Consolidated.docx) found the answer was already decided at the start of the project: the foundational architecture was designed around six primary domains including Infrastructure &amp; Assets and Actors &amp; Organizations, and an explicit extensibility mechanism (shared platform entities like Assets interacting with specialized domain modules through explicit relationships, not hard-coded tables) was built for exactly this situation. Document 1 also explicitly defers “advanced domains” rather than excluding them, and Document 3's domain list ends with “...and future modules.”</w:t>
      </w:r>
    </w:p>
    <w:p>
      <w:pPr>
        <w:spacing w:after="120"/>
      </w:pPr>
      <w:r>
        <w:t xml:space="preserve">The gap was administrative, not architectural: Document 3's domain list and Document 8's roadmap had not been updated to name what the origin story already intended.</w:t>
      </w:r>
    </w:p>
    <w:p>
      <w:pPr>
        <w:pStyle w:val="Heading1"/>
        <w:spacing w:after="120" w:before="240"/>
      </w:pPr>
      <w:r>
        <w:t xml:space="preserve">Decision</w:t>
      </w:r>
    </w:p>
    <w:p>
      <w:pPr>
        <w:spacing w:after="120"/>
      </w:pPr>
      <w:r>
        <w:t xml:space="preserve">No schema or code already built in Milestone 1 requires any change. Document 3 is amended (Amendment 1) to formally name Infrastructure &amp; Assets, Actors &amp; Organizations, and Technology as domains, closing the gap with the original origin story. Document 8 is amended (Amendment 1) to assign each new piece of content to a specific milestone: City Budget/Treasury and Vehicles &amp; Logistics to Milestone 3; the Construction Projects queue to Milestone 3 or 4 pending a decision at M3 kickoff; and the Technology Tree to Milestone 8, which previously had no defined content.</w:t>
      </w:r>
    </w:p>
    <w:p>
      <w:pPr>
        <w:spacing w:after="120"/>
      </w:pPr>
      <w:r>
        <w:t xml:space="preserve">The cheap change (naming domains, assigning milestones) is made now. The expensive change (building the actual Vehicle, Treasury, ConstructionProject, and Technology tables and logic) is deliberately deferred until each assigned milestone actually starts, per the Master Prompt's “no speculative generality” guardrail and Document 1's “correctness before optimization” principle.</w:t>
      </w:r>
    </w:p>
    <w:p>
      <w:pPr>
        <w:spacing w:after="120"/>
      </w:pPr>
      <w:r>
        <w:t xml:space="preserve">Separately, Milestone 2 (Population Foundation, next up) is confirmed to proceed on the real Adult/Child population structure and aging mechanism from the workbook — that is genuine domain content, not a template. However, the workbook's specific numeric rates (e.g. 1.5%/month aging) are explicitly unvalidated placeholders and must be implemented as configurable data (scenario-level parameters or a rules table), not hardcoded constants.</w:t>
      </w:r>
    </w:p>
    <w:p>
      <w:pPr>
        <w:pStyle w:val="Heading1"/>
        <w:spacing w:after="120" w:before="240"/>
      </w:pPr>
      <w:r>
        <w:t xml:space="preserve">Consequences</w:t>
      </w:r>
    </w:p>
    <w:p>
      <w:pPr>
        <w:pStyle w:val="ListParagraph"/>
        <w:numPr>
          <w:ilvl w:val="0"/>
          <w:numId w:val="2"/>
        </w:numPr>
        <w:spacing w:after="80"/>
      </w:pPr>
      <w:r>
        <w:t xml:space="preserve">Document 3 and Document 8 now have amendments on file (Amendment 1 each); future changes to these documents should be tracked as further amendments, not edits to the amendment text itself, consistent with the additive-versioning pattern already used for database migrations.</w:t>
      </w:r>
    </w:p>
    <w:p>
      <w:pPr>
        <w:pStyle w:val="ListParagraph"/>
        <w:numPr>
          <w:ilvl w:val="0"/>
          <w:numId w:val="2"/>
        </w:numPr>
        <w:spacing w:after="80"/>
      </w:pPr>
      <w:r>
        <w:t xml:space="preserve">Milestone 3's scope is now larger than Document 8 originally described (Economic Foundation now explicitly includes Treasury and Logistics, not just markets/transactions). This should be accounted for in M3 planning and time estimation.</w:t>
      </w:r>
    </w:p>
    <w:p>
      <w:pPr>
        <w:pStyle w:val="ListParagraph"/>
        <w:numPr>
          <w:ilvl w:val="0"/>
          <w:numId w:val="2"/>
        </w:numPr>
        <w:spacing w:after="80"/>
      </w:pPr>
      <w:r>
        <w:t xml:space="preserve">The Construction Projects queue's milestone (3 vs. 4) is left as an open decision, not resolved by this ADR. It should be revisited explicitly when M3 begins, rather than defaulted silently.</w:t>
      </w:r>
    </w:p>
    <w:p>
      <w:pPr>
        <w:pStyle w:val="ListParagraph"/>
        <w:numPr>
          <w:ilvl w:val="0"/>
          <w:numId w:val="2"/>
        </w:numPr>
        <w:spacing w:after="80"/>
      </w:pPr>
      <w:r>
        <w:t xml:space="preserve">No new ADR is required to begin Milestone 2 as planned; this decision does not block or change M2's start.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2026-09-12T18:27:00.563Z</dcterms:created>
  <dcterms:modified xsi:type="dcterms:W3CDTF">2026-09-12T18:27:00.563Z</dcterms:modified>
</cp:coreProperties>
</file>

<file path=docProps/custom.xml><?xml version="1.0" encoding="utf-8"?>
<Properties xmlns="http://schemas.openxmlformats.org/officeDocument/2006/custom-properties" xmlns:vt="http://schemas.openxmlformats.org/officeDocument/2006/docPropsVTypes"/>
</file>