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Document 3 — Amendment 1</w:t>
      </w:r>
    </w:p>
    <w:p>
      <w:pPr>
        <w:spacing w:after="120"/>
      </w:pPr>
      <w:r>
        <w:rPr>
          <w:i/>
          <w:iCs/>
          <w:color w:val="555555"/>
        </w:rPr>
        <w:t xml:space="preserve">Formalizing Infrastructure &amp; Assets and Actors &amp; Organizations as named domains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2F2" w:val="clear"/>
            <w:tcMar>
              <w:top w:type="dxa" w:w="100"/>
              <w:left w:type="dxa" w:w="150"/>
              <w:bottom w:type="dxa" w:w="100"/>
              <w:right w:type="dxa" w:w="150"/>
            </w:tcMar>
          </w:tcPr>
          <w:p>
            <w:r>
              <w:rPr>
                <w:b/>
                <w:bCs/>
              </w:rPr>
              <w:t xml:space="preserve">Status</w:t>
            </w:r>
          </w:p>
        </w:tc>
        <w:tc>
          <w:tcPr>
            <w:tcW w:type="pct" w:w="78%"/>
            <w:tcMar>
              <w:top w:type="dxa" w:w="100"/>
              <w:left w:type="dxa" w:w="150"/>
              <w:bottom w:type="dxa" w:w="100"/>
              <w:right w:type="dxa" w:w="150"/>
            </w:tcMar>
          </w:tcPr>
          <w:p>
            <w:r>
              <w:t xml:space="preserve">Approved amendment</w:t>
            </w:r>
          </w:p>
        </w:tc>
      </w:tr>
      <w:tr>
        <w:tc>
          <w:tcPr>
            <w:tcW w:type="pct" w:w="22%"/>
            <w:shd w:fill="F2F2F2" w:val="clear"/>
            <w:tcMar>
              <w:top w:type="dxa" w:w="100"/>
              <w:left w:type="dxa" w:w="150"/>
              <w:bottom w:type="dxa" w:w="100"/>
              <w:right w:type="dxa" w:w="150"/>
            </w:tcMar>
          </w:tcPr>
          <w:p>
            <w:r>
              <w:rPr>
                <w:b/>
                <w:bCs/>
              </w:rPr>
              <w:t xml:space="preserve">Date</w:t>
            </w:r>
          </w:p>
        </w:tc>
        <w:tc>
          <w:tcPr>
            <w:tcW w:type="pct" w:w="78%"/>
            <w:tcMar>
              <w:top w:type="dxa" w:w="100"/>
              <w:left w:type="dxa" w:w="150"/>
              <w:bottom w:type="dxa" w:w="100"/>
              <w:right w:type="dxa" w:w="150"/>
            </w:tcMar>
          </w:tcPr>
          <w:p>
            <w:r>
              <w:t xml:space="preserve">2026-09-12</w:t>
            </w:r>
          </w:p>
        </w:tc>
      </w:tr>
      <w:tr>
        <w:tc>
          <w:tcPr>
            <w:tcW w:type="pct" w:w="22%"/>
            <w:shd w:fill="F2F2F2" w:val="clear"/>
            <w:tcMar>
              <w:top w:type="dxa" w:w="100"/>
              <w:left w:type="dxa" w:w="150"/>
              <w:bottom w:type="dxa" w:w="100"/>
              <w:right w:type="dxa" w:w="150"/>
            </w:tcMar>
          </w:tcPr>
          <w:p>
            <w:r>
              <w:rPr>
                <w:b/>
                <w:bCs/>
              </w:rPr>
              <w:t xml:space="preserve">Amends</w:t>
            </w:r>
          </w:p>
        </w:tc>
        <w:tc>
          <w:tcPr>
            <w:tcW w:type="pct" w:w="78%"/>
            <w:tcMar>
              <w:top w:type="dxa" w:w="100"/>
              <w:left w:type="dxa" w:w="150"/>
              <w:bottom w:type="dxa" w:w="100"/>
              <w:right w:type="dxa" w:w="150"/>
            </w:tcMar>
          </w:tcPr>
          <w:p>
            <w:r>
              <w:t xml:space="preserve">Document 3 — Domain Model, Relationship Architecture &amp; Implementation Roadmap</w:t>
            </w:r>
          </w:p>
        </w:tc>
      </w:tr>
      <w:tr>
        <w:tc>
          <w:tcPr>
            <w:tcW w:type="pct" w:w="22%"/>
            <w:shd w:fill="F2F2F2" w:val="clear"/>
            <w:tcMar>
              <w:top w:type="dxa" w:w="100"/>
              <w:left w:type="dxa" w:w="150"/>
              <w:bottom w:type="dxa" w:w="100"/>
              <w:right w:type="dxa" w:w="150"/>
            </w:tcMar>
          </w:tcPr>
          <w:p>
            <w:r>
              <w:rPr>
                <w:b/>
                <w:bCs/>
              </w:rPr>
              <w:t xml:space="preserve">Related</w:t>
            </w:r>
          </w:p>
        </w:tc>
        <w:tc>
          <w:tcPr>
            <w:tcW w:type="pct" w:w="78%"/>
            <w:tcMar>
              <w:top w:type="dxa" w:w="100"/>
              <w:left w:type="dxa" w:w="150"/>
              <w:bottom w:type="dxa" w:w="100"/>
              <w:right w:type="dxa" w:w="150"/>
            </w:tcMar>
          </w:tcPr>
          <w:p>
            <w:r>
              <w:t xml:space="preserve">Document 1, Document 8 Amendment 1, ADR-0005</w:t>
            </w:r>
          </w:p>
        </w:tc>
      </w:tr>
    </w:tbl>
    <w:p>
      <w:pPr>
        <w:spacing w:after="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0F2FE" w:val="clear"/>
            <w:tcMar>
              <w:top w:type="dxa" w:w="160"/>
              <w:left w:type="dxa" w:w="200"/>
              <w:bottom w:type="dxa" w:w="160"/>
              <w:right w:type="dxa" w:w="200"/>
            </w:tcMar>
          </w:tcPr>
          <w:p>
            <w:pPr>
              <w:spacing w:after="60"/>
            </w:pPr>
            <w:r>
              <w:rPr>
                <w:b/>
                <w:bCs/>
              </w:rPr>
              <w:t xml:space="preserve">Nature of this amendment</w:t>
            </w:r>
          </w:p>
          <w:p>
            <w:r>
              <w:rPr>
                <w:sz w:val="20"/>
                <w:szCs w:val="20"/>
              </w:rPr>
              <w:t xml:space="preserve">This is an additive amendment, not a rewrite. Document 3's existing logical domains (Geography, Population, Economy, Production, Inventory, Markets, Transactions, Events, History), the World → Region → City geography model, the approved development order, and all determinism/testing principles are unchanged. This amendment only adds two domains that were named in the project's original six-domain origin story (001_ChatHistory_Consolidated.docx) but never formally carried into Document 3's own domain list.</w:t>
            </w:r>
          </w:p>
        </w:tc>
      </w:tr>
    </w:tbl>
    <w:p>
      <w:pPr>
        <w:spacing w:after="200"/>
      </w:pPr>
    </w:p>
    <w:p>
      <w:pPr>
        <w:pStyle w:val="Heading1"/>
        <w:spacing w:after="120" w:before="240"/>
      </w:pPr>
      <w:r>
        <w:t xml:space="preserve">Background</w:t>
      </w:r>
    </w:p>
    <w:p>
      <w:pPr>
        <w:spacing w:after="120"/>
      </w:pPr>
      <w:r>
        <w:t xml:space="preserve">The project's origin story describes six primary domains established from the start of the architecture work: Simulation Context, Geography, Population &amp; Society, Economy, Infrastructure &amp; Assets, and Actors &amp; Organizations. Document 3's own domain list, however, only formally names Geography, Population, Economy, Production, Inventory, Markets, Transactions, Events, and History — closing with “...and future modules,” but never naming Infrastructure &amp; Assets or Actors &amp; Organizations directly.</w:t>
      </w:r>
    </w:p>
    <w:p>
      <w:pPr>
        <w:spacing w:after="120"/>
      </w:pPr>
      <w:r>
        <w:t xml:space="preserve">A significantly expanded design-concept workbook (city_simulation_v1.xlsx, provided 2026-09-12) surfaced real content that belongs to exactly these two un-named domains: vehicles and freight logistics, a construction project queue, and a city treasury/budget system. Rather than force this content into the existing domain list where it does not fit, or leave it permanently informal, this amendment closes the gap between the original intent and the written architecture.</w:t>
      </w:r>
    </w:p>
    <w:p>
      <w:pPr>
        <w:pStyle w:val="Heading1"/>
        <w:spacing w:after="120" w:before="240"/>
      </w:pPr>
      <w:r>
        <w:t xml:space="preserve">Amendment</w:t>
      </w:r>
    </w:p>
    <w:p>
      <w:pPr>
        <w:spacing w:after="120"/>
      </w:pPr>
      <w:r>
        <w:t xml:space="preserve">Document 3's logical domain list is extended to formally include:</w:t>
      </w:r>
    </w:p>
    <w:p>
      <w:pPr>
        <w:pStyle w:val="ListParagraph"/>
        <w:numPr>
          <w:ilvl w:val="0"/>
          <w:numId w:val="2"/>
        </w:numPr>
        <w:spacing w:after="80"/>
      </w:pPr>
      <w:r>
        <w:t xml:space="preserve">Infrastructure &amp; Assets — physical, ownable capacity: buildings (already implicit via Production), vehicles, and other constructed assets not themselves a production chain step. Includes the Construction Projects domain (the queue and lifecycle of building/asset construction, as distinct from the already-approved static “Building” capacity entities in Document 4).</w:t>
      </w:r>
    </w:p>
    <w:p>
      <w:pPr>
        <w:pStyle w:val="ListParagraph"/>
        <w:numPr>
          <w:ilvl w:val="0"/>
          <w:numId w:val="2"/>
        </w:numPr>
        <w:spacing w:after="80"/>
      </w:pPr>
      <w:r>
        <w:t xml:space="preserve">Actors &amp; Organizations — entities that own, operate, or are responsible for Infrastructure &amp; Assets and Economy activity. Not built in any milestone yet; named here so future work (e.g. ownership of a vehicle fleet, or an organization operating a building) has an explicit home rather than being bolted onto Geography or Economy by default.</w:t>
      </w:r>
    </w:p>
    <w:p>
      <w:pPr>
        <w:spacing w:after="120"/>
      </w:pPr>
      <w:r>
        <w:t xml:space="preserve">Within the existing Economy domain (no new domain needed, since Document 5 already anticipated this via the Currency table): City Budget / Treasury is named as explicit in-scope content — monthly income, expenses, and net cash flow at the city level.</w:t>
      </w:r>
    </w:p>
    <w:p>
      <w:pPr>
        <w:spacing w:after="120"/>
      </w:pPr>
      <w:r>
        <w:t xml:space="preserve">A Technology domain is named as a future/deferred domain (see Document 8 Amendment 1 — assigned to Milestone 8), covering tiered technology unlocks referenced by Required Tech ID fields across the building, vehicle, and logistics catalogs in the design-concept workbook. It is named now so it has a defined future home, not because it is in scope for any current milestone.</w:t>
      </w:r>
    </w:p>
    <w:p>
      <w:pPr>
        <w:pStyle w:val="Heading1"/>
        <w:spacing w:after="120" w:before="240"/>
      </w:pPr>
      <w:r>
        <w:t xml:space="preserve">What does not change</w:t>
      </w:r>
    </w:p>
    <w:p>
      <w:pPr>
        <w:pStyle w:val="ListParagraph"/>
        <w:numPr>
          <w:ilvl w:val="0"/>
          <w:numId w:val="2"/>
        </w:numPr>
        <w:spacing w:after="80"/>
      </w:pPr>
      <w:r>
        <w:t xml:space="preserve">No table already built in Milestone 1 (Simulation, Scenario, SimulationRun, Currency, UnitOfMeasure, World, Region, City) requires any structural change as a result of this amendment.</w:t>
      </w:r>
    </w:p>
    <w:p>
      <w:pPr>
        <w:pStyle w:val="ListParagraph"/>
        <w:numPr>
          <w:ilvl w:val="0"/>
          <w:numId w:val="2"/>
        </w:numPr>
        <w:spacing w:after="80"/>
      </w:pPr>
      <w:r>
        <w:t xml:space="preserve">Milestone 1 and Milestone 2's approved scope (Document 8) are unaffected by this amendment on their own; see Document 8 Amendment 1 for where the newly-named domains are slotted into the milestone sequence.</w:t>
      </w:r>
    </w:p>
    <w:p>
      <w:pPr>
        <w:pStyle w:val="ListParagraph"/>
        <w:numPr>
          <w:ilvl w:val="0"/>
          <w:numId w:val="2"/>
        </w:numPr>
        <w:spacing w:after="80"/>
      </w:pPr>
      <w:r>
        <w:t xml:space="preserve">The core geography model (World → Region → City) and the Cinis MVP's single-city, single-currency scope (Document 4) are unchanged.</w:t>
      </w:r>
    </w:p>
    <w:p>
      <w:pPr>
        <w:spacing w:after="240"/>
      </w:pPr>
    </w:p>
    <w:p>
      <w:pPr>
        <w:pBdr>
          <w:bottom w:val="single" w:color="999999" w:sz="6"/>
        </w:pBdr>
        <w:spacing w:after="200"/>
      </w:pPr>
    </w:p>
    <w:p>
      <w:pPr>
        <w:spacing w:after="120"/>
      </w:pPr>
      <w:r>
        <w:rPr>
          <w:i/>
          <w:iCs/>
          <w:color w:val="555555"/>
          <w:sz w:val="20"/>
          <w:szCs w:val="20"/>
        </w:rPr>
        <w:t xml:space="preserve">Per Document 9's change flow (identify → assess impact → decide → document → implement → test → update architecture), this amendment corresponds to the “document” and “update architecture” steps. See ADR-0005 for the decision record and Document 8 Amendment 1 for milestone-sequence impact.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2026-09-12T18:27:00.275Z</dcterms:created>
  <dcterms:modified xsi:type="dcterms:W3CDTF">2026-09-12T18:27:00.285Z</dcterms:modified>
</cp:coreProperties>
</file>

<file path=docProps/custom.xml><?xml version="1.0" encoding="utf-8"?>
<Properties xmlns="http://schemas.openxmlformats.org/officeDocument/2006/custom-properties" xmlns:vt="http://schemas.openxmlformats.org/officeDocument/2006/docPropsVTypes"/>
</file>